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08F5" w14:textId="77777777" w:rsidR="00825497" w:rsidRDefault="00000000">
      <w:pPr>
        <w:pStyle w:val="Heading1"/>
      </w:pPr>
      <w:r>
        <w:t>YOLOv8 Training, Augmentation, Evaluation &amp; Production Summary</w:t>
      </w:r>
    </w:p>
    <w:p w14:paraId="1489970B" w14:textId="77777777" w:rsidR="00825497" w:rsidRDefault="00000000">
      <w:pPr>
        <w:pStyle w:val="Heading2"/>
      </w:pPr>
      <w:r>
        <w:t>1. Introduction</w:t>
      </w:r>
    </w:p>
    <w:p w14:paraId="7D74342B" w14:textId="77777777" w:rsidR="00825497" w:rsidRDefault="00000000">
      <w:r>
        <w:t>This document presents a complete overview of the YOLOv8-based object detection training pipeline for BDD100K—covering dataset preparation, augmentation strategy, model selection decisions, training behaviour, evaluation metrics, failure analysis, and production deployment considerations.</w:t>
      </w:r>
    </w:p>
    <w:p w14:paraId="6E025825" w14:textId="77777777" w:rsidR="00825497" w:rsidRDefault="00000000">
      <w:pPr>
        <w:pStyle w:val="Heading2"/>
      </w:pPr>
      <w:r>
        <w:t>2. Why YOLOv8 – Model Selection Justification</w:t>
      </w:r>
    </w:p>
    <w:p w14:paraId="6AFC6D76" w14:textId="77777777" w:rsidR="00825497" w:rsidRDefault="00000000">
      <w:r>
        <w:t>Based on the EDA insights, YOLOv8 stands out due to the following strengths:</w:t>
      </w:r>
    </w:p>
    <w:p w14:paraId="710048F7" w14:textId="77777777" w:rsidR="00825497" w:rsidRDefault="00000000">
      <w:r>
        <w:t>• Anchor-free design → flexible across scales and shapes.</w:t>
      </w:r>
      <w:r>
        <w:br/>
        <w:t>• Multi-scale feature maps → essential for detecting very small objects.</w:t>
      </w:r>
      <w:r>
        <w:br/>
        <w:t>• Excellent speed/accuracy trade-off → suitable for real-time driving systems.</w:t>
      </w:r>
      <w:r>
        <w:br/>
        <w:t>• Strong generalization and robust training behaviour.</w:t>
      </w:r>
      <w:r>
        <w:br/>
        <w:t>• Native support for advanced augmentations such as Mosaic and MixUp.</w:t>
      </w:r>
    </w:p>
    <w:p w14:paraId="32FC2ABC" w14:textId="77777777" w:rsidR="00825497" w:rsidRDefault="00000000">
      <w:pPr>
        <w:pStyle w:val="Heading2"/>
      </w:pPr>
      <w:r>
        <w:t>3. Dataset Preparation &amp; Custom Splitting</w:t>
      </w:r>
    </w:p>
    <w:p w14:paraId="0F0043A5" w14:textId="69493C3E" w:rsidR="00825497" w:rsidRPr="007145B0" w:rsidRDefault="00000000" w:rsidP="007145B0">
      <w:pPr>
        <w:rPr>
          <w:b/>
          <w:bCs/>
          <w:lang w:val="en-IN"/>
        </w:rPr>
      </w:pPr>
      <w:r>
        <w:t>Instead of relying on the official BDD validation split, the training dataset was split internally (</w:t>
      </w:r>
      <w:r w:rsidR="00383326">
        <w:t>90</w:t>
      </w:r>
      <w:r>
        <w:t>% train, 1</w:t>
      </w:r>
      <w:r w:rsidR="00383326">
        <w:t>0</w:t>
      </w:r>
      <w:r>
        <w:t>% validation). This decision avoids mismatched data distributions and ensures that validation samples reflect the same underlying class and metadata distributions as the training subset.</w:t>
      </w:r>
      <w:r w:rsidR="007145B0">
        <w:br/>
      </w:r>
      <w:r w:rsidR="007145B0">
        <w:br/>
      </w:r>
      <w:r w:rsidR="007145B0" w:rsidRPr="007145B0">
        <w:rPr>
          <w:b/>
          <w:bCs/>
          <w:lang w:val="en-IN"/>
        </w:rPr>
        <w:t>Train split: 62876</w:t>
      </w:r>
      <w:r w:rsidR="007145B0">
        <w:rPr>
          <w:b/>
          <w:bCs/>
          <w:lang w:val="en-IN"/>
        </w:rPr>
        <w:tab/>
      </w:r>
      <w:r w:rsidR="007145B0" w:rsidRPr="007145B0">
        <w:rPr>
          <w:b/>
          <w:bCs/>
          <w:lang w:val="en-IN"/>
        </w:rPr>
        <w:t>Val split:   6987</w:t>
      </w:r>
    </w:p>
    <w:p w14:paraId="7AEB35E9" w14:textId="77777777" w:rsidR="00825497" w:rsidRDefault="00000000">
      <w:pPr>
        <w:pStyle w:val="Heading2"/>
      </w:pPr>
      <w:r>
        <w:t>4. Augmentation Strategy</w:t>
      </w:r>
    </w:p>
    <w:p w14:paraId="2C80301F" w14:textId="77777777" w:rsidR="00825497" w:rsidRDefault="00000000">
      <w:r>
        <w:t>The augmentation pipeline is critical in overcoming dataset imbalances. The following augmentations were applied:</w:t>
      </w:r>
      <w:r>
        <w:br/>
        <w:t>• Mosaic: combines four images, greatly increases small-object representations.</w:t>
      </w:r>
      <w:r>
        <w:br/>
        <w:t>• HSV/Brightness: simulates night/day variability.</w:t>
      </w:r>
      <w:r>
        <w:br/>
        <w:t>• Motion blur: addresses fast-moving objects in driving scenes.</w:t>
      </w:r>
      <w:r>
        <w:br/>
        <w:t>• Fog/Rain simulation: addresses weather imbalance.</w:t>
      </w:r>
      <w:r>
        <w:br/>
        <w:t>• Horizontal flip: increases spatial diversity.</w:t>
      </w:r>
      <w:r>
        <w:br/>
        <w:t>Each augmentation directly addresses an EDA-derived weakness.</w:t>
      </w:r>
    </w:p>
    <w:p w14:paraId="4CC2CE22" w14:textId="77777777" w:rsidR="00825497" w:rsidRDefault="00000000">
      <w:pPr>
        <w:pStyle w:val="Heading2"/>
      </w:pPr>
      <w:r>
        <w:t>5. Hyperparameters &amp; Training Configuration</w:t>
      </w:r>
    </w:p>
    <w:p w14:paraId="686AC305" w14:textId="77777777" w:rsidR="00825497" w:rsidRDefault="00000000">
      <w:r>
        <w:t>The training setup includes learning rate warm-up, momentum optimizer, multi-scale training, and adaptive batch size selection. These hyperparameters stabilize one-epoch convergence and avoid divergence.</w:t>
      </w:r>
    </w:p>
    <w:p w14:paraId="400C5DE4" w14:textId="77777777" w:rsidR="00825497" w:rsidRDefault="00000000">
      <w:pPr>
        <w:pStyle w:val="Heading2"/>
      </w:pPr>
      <w:r>
        <w:lastRenderedPageBreak/>
        <w:t>6. Training Observations</w:t>
      </w:r>
    </w:p>
    <w:p w14:paraId="357ACE91" w14:textId="77777777" w:rsidR="00825497" w:rsidRDefault="00000000">
      <w:r>
        <w:t>Frequent classes (car, traffic sign, traffic light) show rapid convergence even within a single epoch. Rare classes show limited improvement due to insufficient sample size.</w:t>
      </w:r>
    </w:p>
    <w:p w14:paraId="71F93DD2" w14:textId="6026CB7F" w:rsidR="00825497" w:rsidRDefault="00000000" w:rsidP="00137CDC">
      <w:r>
        <w:t>Loss curves are stable and follow expected YOLO convergence behaviour.</w:t>
      </w:r>
    </w:p>
    <w:p w14:paraId="01C59A61" w14:textId="77777777" w:rsidR="00825497" w:rsidRDefault="00000000">
      <w:pPr>
        <w:pStyle w:val="Heading2"/>
      </w:pPr>
      <w:r>
        <w:t>7. Evaluation Metrics &amp; Interpretation</w:t>
      </w:r>
    </w:p>
    <w:p w14:paraId="14C01CBC" w14:textId="6569698C" w:rsidR="00825497" w:rsidRDefault="00000000">
      <w:r>
        <w:t>Evaluation was conducted using mAP@0.5, mAP@0.5:0.95, precision, recall, and per-class AP. The results reflect expected patterns: high AP for frequent classes, low AP for rare ones.</w:t>
      </w:r>
      <w:r w:rsidR="002E1853">
        <w:br/>
      </w:r>
      <w:r w:rsidR="0085003A" w:rsidRPr="0085003A">
        <w:drawing>
          <wp:inline distT="0" distB="0" distL="0" distR="0" wp14:anchorId="180307B6" wp14:editId="54D97339">
            <wp:extent cx="5486400" cy="2065655"/>
            <wp:effectExtent l="0" t="0" r="0" b="0"/>
            <wp:docPr id="190955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4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26CE" w14:textId="77777777" w:rsidR="00825497" w:rsidRDefault="00000000">
      <w:pPr>
        <w:pStyle w:val="Heading2"/>
      </w:pPr>
      <w:r>
        <w:t>8. Failure Mode Analysis</w:t>
      </w:r>
    </w:p>
    <w:p w14:paraId="632964CE" w14:textId="54DBB3A1" w:rsidR="00825497" w:rsidRDefault="00000000">
      <w:r>
        <w:t>Failure analysis shows consistent patterns:</w:t>
      </w:r>
      <w:r>
        <w:br/>
        <w:t>• Performance drops sharply in night scenes.</w:t>
      </w:r>
      <w:r w:rsidR="002B775C">
        <w:t xml:space="preserve"> Missed detecting multiple cars in example below.</w:t>
      </w:r>
      <w:r w:rsidR="002B775C">
        <w:br/>
      </w:r>
      <w:r w:rsidR="002B775C" w:rsidRPr="002B775C">
        <w:drawing>
          <wp:inline distT="0" distB="0" distL="0" distR="0" wp14:anchorId="3C28DECE" wp14:editId="19CE4598">
            <wp:extent cx="3257550" cy="1832372"/>
            <wp:effectExtent l="0" t="0" r="0" b="0"/>
            <wp:docPr id="157050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6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0317" cy="183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• Small objects such as distant pedestrians are typically missed.</w:t>
      </w:r>
      <w:r w:rsidR="002B775C">
        <w:br/>
      </w:r>
      <w:r w:rsidR="002B775C" w:rsidRPr="002B775C">
        <w:lastRenderedPageBreak/>
        <w:drawing>
          <wp:inline distT="0" distB="0" distL="0" distR="0" wp14:anchorId="16059E1F" wp14:editId="6145C5ED">
            <wp:extent cx="3057525" cy="1719858"/>
            <wp:effectExtent l="0" t="0" r="0" b="0"/>
            <wp:docPr id="86919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97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827" cy="17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• Occluded or truncated objects produce misclassifications.</w:t>
      </w:r>
      <w:r w:rsidR="002B775C">
        <w:br/>
      </w:r>
      <w:r w:rsidR="002B775C" w:rsidRPr="002B775C">
        <w:drawing>
          <wp:inline distT="0" distB="0" distL="0" distR="0" wp14:anchorId="0B8712DD" wp14:editId="6B3F3D28">
            <wp:extent cx="3076575" cy="1730573"/>
            <wp:effectExtent l="0" t="0" r="0" b="3175"/>
            <wp:docPr id="9242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7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937" cy="173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These failure patterns match EDA-derived expectations.</w:t>
      </w:r>
    </w:p>
    <w:p w14:paraId="019D0D21" w14:textId="77777777" w:rsidR="00825497" w:rsidRDefault="00000000">
      <w:pPr>
        <w:pStyle w:val="Heading2"/>
      </w:pPr>
      <w:r>
        <w:t>9. Production Deployment Considerations</w:t>
      </w:r>
    </w:p>
    <w:p w14:paraId="010D6955" w14:textId="77777777" w:rsidR="00825497" w:rsidRDefault="00000000">
      <w:r>
        <w:t>YOLOv8 supports direct export to ONNX, TensorRT, CoreML, and other formats. For production deployment, TensorRT is recommended due to its optimized GPU execution.</w:t>
      </w:r>
    </w:p>
    <w:p w14:paraId="7A8E9A26" w14:textId="77777777" w:rsidR="00825497" w:rsidRDefault="00000000">
      <w:r>
        <w:t>MLOps guidance includes tracking dataset drift, monitoring night-scene performance degradation, tracking object frequency drift, and retraining using automated pipelines.</w:t>
      </w:r>
    </w:p>
    <w:p w14:paraId="4BBC98F4" w14:textId="77777777" w:rsidR="00825497" w:rsidRDefault="00000000">
      <w:pPr>
        <w:pStyle w:val="Heading2"/>
      </w:pPr>
      <w:r>
        <w:t>10. Final Recommendations</w:t>
      </w:r>
    </w:p>
    <w:p w14:paraId="1D449E96" w14:textId="77777777" w:rsidR="00825497" w:rsidRDefault="00000000">
      <w:r>
        <w:t>To achieve production-grade performance, the following are recommended:</w:t>
      </w:r>
      <w:r>
        <w:br/>
        <w:t>• Train ≥50 epochs.</w:t>
      </w:r>
      <w:r>
        <w:br/>
        <w:t>• Use larger YOLOv8 variants (YOLOv8-L or YOLOv8-X).</w:t>
      </w:r>
      <w:r>
        <w:br/>
        <w:t>• Add synthetic low-light/weather augmentation.</w:t>
      </w:r>
      <w:r>
        <w:br/>
        <w:t>• Use ensembling or weighted box fusion (WBF).</w:t>
      </w:r>
      <w:r>
        <w:br/>
        <w:t>• Monitor per-class AP over time.</w:t>
      </w:r>
      <w:r>
        <w:br/>
      </w:r>
    </w:p>
    <w:sectPr w:rsidR="008254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44844">
    <w:abstractNumId w:val="8"/>
  </w:num>
  <w:num w:numId="2" w16cid:durableId="1912616489">
    <w:abstractNumId w:val="6"/>
  </w:num>
  <w:num w:numId="3" w16cid:durableId="1683777725">
    <w:abstractNumId w:val="5"/>
  </w:num>
  <w:num w:numId="4" w16cid:durableId="1705671733">
    <w:abstractNumId w:val="4"/>
  </w:num>
  <w:num w:numId="5" w16cid:durableId="185751718">
    <w:abstractNumId w:val="7"/>
  </w:num>
  <w:num w:numId="6" w16cid:durableId="1328436732">
    <w:abstractNumId w:val="3"/>
  </w:num>
  <w:num w:numId="7" w16cid:durableId="1006059156">
    <w:abstractNumId w:val="2"/>
  </w:num>
  <w:num w:numId="8" w16cid:durableId="1814253592">
    <w:abstractNumId w:val="1"/>
  </w:num>
  <w:num w:numId="9" w16cid:durableId="112712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CDC"/>
    <w:rsid w:val="0015074B"/>
    <w:rsid w:val="001672DB"/>
    <w:rsid w:val="0029639D"/>
    <w:rsid w:val="002B775C"/>
    <w:rsid w:val="002E1853"/>
    <w:rsid w:val="00326F90"/>
    <w:rsid w:val="00383326"/>
    <w:rsid w:val="00635263"/>
    <w:rsid w:val="007145B0"/>
    <w:rsid w:val="00825497"/>
    <w:rsid w:val="0085003A"/>
    <w:rsid w:val="00AA1D8D"/>
    <w:rsid w:val="00B47730"/>
    <w:rsid w:val="00CB0664"/>
    <w:rsid w:val="00D43BC5"/>
    <w:rsid w:val="00FC693F"/>
    <w:rsid w:val="00FF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392CC"/>
  <w14:defaultImageDpi w14:val="300"/>
  <w15:docId w15:val="{40567209-9D12-42D5-BFD1-A65F6797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Adhyapak</cp:lastModifiedBy>
  <cp:revision>12</cp:revision>
  <dcterms:created xsi:type="dcterms:W3CDTF">2013-12-23T23:15:00Z</dcterms:created>
  <dcterms:modified xsi:type="dcterms:W3CDTF">2025-11-15T14:47:00Z</dcterms:modified>
  <cp:category/>
</cp:coreProperties>
</file>