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left"/>
      </w:pPr>
      <w:r>
        <w:rPr>
          <w:rFonts w:ascii="Calibri" w:hAnsi="Calibri"/>
          <w:b/>
          <w:color w:val="000000"/>
          <w:sz w:val="32"/>
        </w:rPr>
        <w:t>DermaPod© Subsystem RFQ Analysis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1. Optical &amp; Geometric Summary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Resolution Target: </w:t>
      </w:r>
      <w:r>
        <w:rPr>
          <w:rFonts w:ascii="Calibri" w:hAnsi="Calibri"/>
          <w:sz w:val="21"/>
        </w:rPr>
        <w:t>30 px/mm baseline resolving power on skin surface, scalable up to 60 px/mm.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of Field (DoF): </w:t>
      </w:r>
      <w:r>
        <w:rPr>
          <w:rFonts w:ascii="Calibri" w:hAnsi="Calibri"/>
          <w:sz w:val="21"/>
        </w:rPr>
        <w:t>Maintained sharp focus across a body curvature of ≥ 100 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Circle of Confusion (CoC): </w:t>
      </w:r>
      <w:r>
        <w:rPr>
          <w:rFonts w:ascii="Calibri" w:hAnsi="Calibri"/>
          <w:sz w:val="21"/>
        </w:rPr>
        <w:t>Baseline CoC of 25 µm taken/assumed (not specified in RFQ).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Reference Parameters Used in Calculations: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Lens Aperture: </w:t>
      </w:r>
      <w:r>
        <w:rPr>
          <w:rFonts w:ascii="Calibri" w:hAnsi="Calibri"/>
          <w:sz w:val="21"/>
        </w:rPr>
        <w:t>f/8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Body Curvature Target: </w:t>
      </w:r>
      <w:r>
        <w:rPr>
          <w:rFonts w:ascii="Calibri" w:hAnsi="Calibri"/>
          <w:sz w:val="21"/>
        </w:rPr>
        <w:t>100 mm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 Settle Time: </w:t>
      </w:r>
      <w:r>
        <w:rPr>
          <w:rFonts w:ascii="Calibri" w:hAnsi="Calibri"/>
          <w:sz w:val="21"/>
        </w:rPr>
        <w:t>2.0 seconds per step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Turntable &amp; Column Rotation Time: </w:t>
      </w:r>
      <w:r>
        <w:rPr>
          <w:rFonts w:ascii="Calibri" w:hAnsi="Calibri"/>
          <w:sz w:val="21"/>
        </w:rPr>
        <w:t>5.0 seconds per transit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Slice Exposure Time: </w:t>
      </w:r>
      <w:r>
        <w:rPr>
          <w:rFonts w:ascii="Calibri" w:hAnsi="Calibri"/>
          <w:sz w:val="21"/>
        </w:rPr>
        <w:t>0.2 seconds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Camera Market Pricing Reference: </w:t>
      </w:r>
      <w:r>
        <w:rPr>
          <w:rFonts w:ascii="Calibri" w:hAnsi="Calibri"/>
          <w:sz w:val="21"/>
        </w:rPr>
        <w:t>Verified from Basler web shop catalogue</w:t>
      </w:r>
      <w:r>
        <w:rPr>
          <w:rFonts w:ascii="Calibri" w:hAnsi="Calibri"/>
          <w:color w:val="0000FF"/>
          <w:sz w:val="19"/>
          <w:u w:val="single"/>
        </w:rPr>
        <w:t xml:space="preserve"> (https://www.baslerweb.com/en/cameras/?sensor_resolution_mp_range=60&amp;sensor_resolution_mp_range=127#products)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2. 3D Simulation &amp; Architectural Evaluation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Comparative review of the simulated gantry models using direct 3D visualizer captures: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1: Option A — Single-Column Rotating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Single vertical column rotating 360°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continuous 360° rotational sweep around the patient to capture overlapping frames and reconstruct a full 3D model.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Minimal camera count, lowest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Drive vibration during continuous rotation; patient postural sway/breathing during rotation.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Model 1 sweep timing and rotational speed should be explored and optimized based on Structure-from-Motion (SfM) algorithms to ensure proper overlap.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Assistance: </w:t>
      </w:r>
      <w:r>
        <w:rPr>
          <w:rFonts w:ascii="Calibri" w:hAnsi="Calibri"/>
          <w:sz w:val="21"/>
        </w:rPr>
        <w:t>Auxiliary sensors like solid-state LiDAR may need to be integrated to provide absolute reference depth maps and correct for rotational mapping drift.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Artifact Risks: </w:t>
      </w:r>
      <w:r>
        <w:rPr>
          <w:rFonts w:ascii="Calibri" w:hAnsi="Calibri"/>
          <w:sz w:val="21"/>
        </w:rPr>
        <w:t>The rotating column movement can trigger tracking reactions or balance adjustments, which needs to be evaluated for patient motion artifacts.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1 Sensor Optimization Matrix (Target: 30 px/mm, CoC = 25 µm, Aperture = f/8, Depth Envelope = 0.6m):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2052mm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$71,500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2363mm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$68,000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317mm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2190mm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41.1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$96,000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1_visual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2: Option B — Dual-Column Parallel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Multiple parallel columns (upgraded to 3 columns to span the horizontal 1000mm width at 30 px/mm resolving power)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segmented step-by-step horizontal rotation sweep, stopping at 4 discrete poses (0°, 90°, 180°, 270°) to capture complete patient coverage.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High camera count and high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Calibration complexity for multi-column geometries; high data ingestion bandwidth.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dictated by the column rotation transit and stop exposure time. Baselines assume 5.0s rotation transit time and 2.0s settle time per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2 Sensor Optimization Matrix (Target: 30 px/mm, 3 Columns, CoC = 25 µm, Aperture = f/8):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 Needed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Scan Time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883mm × 2052mm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33 (3 × 11)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$214,500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1044mm × 2363mm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$204,000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442mm × 315mm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1193mm × 2190mm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40.6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$288,000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27.8s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2_visual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3: Option C — Turntable Scanning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Static columns with motorized vertical carriages; patient stands on a rotating turntable.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Turntable rotates patient to 4 poses (0°, 90°, 180°, 270°); carriages sweep vertically at each stop.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Low camera count, low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Patient Pose Guidelines: </w:t>
      </w:r>
      <w:r>
        <w:rPr>
          <w:rFonts w:ascii="Calibri" w:hAnsi="Calibri"/>
          <w:sz w:val="21"/>
        </w:rPr>
        <w:t>Patient must dynamically adjust leg stance (forward/backward) and stretch hands based on the active camera pose location to prevent occlusions.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dependent on turntable rotation speed and vertical carriage travel steps. Baselines assume 5.0s turntable rotation time and 2.0s settle time per vertical sweep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3 Sensor Optimization Matrix (Target: 30 px/mm, CoC = 25 µm, Aperture = f/8, Carriage Travel):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Sensor Profile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FOV (W×H)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Array FOV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Motor Steps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Avg Env Density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DoF (CoC=25µm)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Cams Needed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Cost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Scan Time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GMAX3265 (65MP)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326mm × 216mm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1110mm × 550mm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21.3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82.8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$78,000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115.8s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IMX927/IMX937 (105MP)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387mm × 303mm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1316mm × 773mm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23.8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98.0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$102,000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82.2s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Sony IMX661 (127MP)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444mm × 316mm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1133mm × 807mm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25.4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41.1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(3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91.8s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3_visualiz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