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RFQ Analysis</w:t>
      </w:r>
    </w:p>
    <w:p>
      <w:pPr>
        <w:pStyle w:val="Normal"/>
        <w:rPr/>
      </w:pPr>
      <w:r>
        <w:rPr>
          <w:color w:val="000000"/>
        </w:rPr>
        <w:t>The DermaPod™ camera hardware subsystem requirements specified in the RFQ (AIS-DPD-2026-001 Rev B) are divided into five primary engineering sections:</w:t>
      </w:r>
    </w:p>
    <w:p>
      <w:pPr>
        <w:pStyle w:val="ListBullet"/>
        <w:numPr>
          <w:ilvl w:val="0"/>
          <w:numId w:val="1"/>
        </w:numPr>
        <w:rPr/>
      </w:pPr>
      <w:r>
        <w:rPr>
          <w:color w:val="000000"/>
        </w:rPr>
        <w:t>1. Camera Geometry &amp; Architecture</w:t>
      </w:r>
    </w:p>
    <w:p>
      <w:pPr>
        <w:pStyle w:val="ListBullet"/>
        <w:numPr>
          <w:ilvl w:val="0"/>
          <w:numId w:val="1"/>
        </w:numPr>
        <w:rPr/>
      </w:pPr>
      <w:r>
        <w:rPr>
          <w:color w:val="000000"/>
        </w:rPr>
        <w:t>2. Image Calibration &amp; Quality</w:t>
      </w:r>
    </w:p>
    <w:p>
      <w:pPr>
        <w:pStyle w:val="ListBullet"/>
        <w:numPr>
          <w:ilvl w:val="0"/>
          <w:numId w:val="1"/>
        </w:numPr>
        <w:rPr/>
      </w:pPr>
      <w:r>
        <w:rPr>
          <w:color w:val="000000"/>
        </w:rPr>
        <w:t>3. Mechanical &amp; Pose Repeatability of Robot</w:t>
      </w:r>
    </w:p>
    <w:p>
      <w:pPr>
        <w:pStyle w:val="ListBullet"/>
        <w:numPr>
          <w:ilvl w:val="0"/>
          <w:numId w:val="1"/>
        </w:numPr>
        <w:rPr/>
      </w:pPr>
      <w:r>
        <w:rPr>
          <w:color w:val="000000"/>
        </w:rPr>
        <w:t>4. Illumination Subsystem</w:t>
      </w:r>
    </w:p>
    <w:p>
      <w:pPr>
        <w:pStyle w:val="ListBullet"/>
        <w:numPr>
          <w:ilvl w:val="0"/>
          <w:numId w:val="1"/>
        </w:numPr>
        <w:rPr/>
      </w:pPr>
      <w:r>
        <w:rPr>
          <w:color w:val="000000"/>
        </w:rPr>
        <w:t>5. Memory &amp; Data Management</w:t>
      </w:r>
    </w:p>
    <w:p>
      <w:pPr>
        <w:pStyle w:val="Heading1"/>
        <w:rPr/>
      </w:pPr>
      <w:r>
        <w:rPr>
          <w:color w:val="000000"/>
        </w:rPr>
        <w:t>Primary Architectural Goal &amp; System Complexity</w:t>
      </w:r>
    </w:p>
    <w:p>
      <w:pPr>
        <w:pStyle w:val="Normal"/>
        <w:rPr/>
      </w:pPr>
      <w:r>
        <w:rPr>
          <w:color w:val="000000"/>
        </w:rPr>
        <w:t>The most complex engineering challenge when defining the system architecture is simultaneously satisfying four coupled primary parameters:</w:t>
      </w:r>
    </w:p>
    <w:p>
      <w:pPr>
        <w:pStyle w:val="ListBullet"/>
        <w:numPr>
          <w:ilvl w:val="0"/>
          <w:numId w:val="1"/>
        </w:numPr>
        <w:rPr/>
      </w:pPr>
      <w:r>
        <w:rPr>
          <w:color w:val="000000"/>
        </w:rPr>
        <w:t>Resolving Power ROI: 30 px/mm baseline spatial resolution across the target skin surface (IMG-3).</w:t>
      </w:r>
    </w:p>
    <w:p>
      <w:pPr>
        <w:pStyle w:val="ListBullet"/>
        <w:numPr>
          <w:ilvl w:val="0"/>
          <w:numId w:val="1"/>
        </w:numPr>
        <w:rPr/>
      </w:pPr>
      <w:r>
        <w:rPr>
          <w:color w:val="000000"/>
        </w:rPr>
        <w:t>Depth of Field (DoF ≥ 100 mm): Maintaining focus across full body curvature (IMG-7).</w:t>
      </w:r>
    </w:p>
    <w:p>
      <w:pPr>
        <w:pStyle w:val="ListBullet"/>
        <w:numPr>
          <w:ilvl w:val="0"/>
          <w:numId w:val="1"/>
        </w:numPr>
        <w:rPr/>
      </w:pPr>
      <w:r>
        <w:rPr>
          <w:color w:val="000000"/>
        </w:rPr>
        <w:t>Patient Cycle Time: Total session execution time ≤ 90 seconds (ROB-5).</w:t>
      </w:r>
    </w:p>
    <w:p>
      <w:pPr>
        <w:pStyle w:val="ListBullet"/>
        <w:numPr>
          <w:ilvl w:val="0"/>
          <w:numId w:val="1"/>
        </w:numPr>
        <w:rPr/>
      </w:pPr>
      <w:r>
        <w:rPr>
          <w:color w:val="000000"/>
        </w:rPr>
        <w:t>Full Envelope &amp; 98% Body Coverage: Achieving 98% anatomical skin coverage across the 1.0 m (W) × 0.6 m (D) × 2.0 m (H) patient scan volume (MEC-1 / IMG-5).</w:t>
      </w:r>
    </w:p>
    <w:p>
      <w:pPr>
        <w:pStyle w:val="Heading1"/>
        <w:rPr/>
      </w:pPr>
      <w:r>
        <w:rPr>
          <w:color w:val="000000"/>
        </w:rPr>
        <w:t>Circle of Confusion (CoC) Definition</w:t>
      </w:r>
    </w:p>
    <w:p>
      <w:pPr>
        <w:pStyle w:val="Normal"/>
        <w:rPr/>
      </w:pPr>
      <w:r>
        <w:rPr>
          <w:color w:val="000000"/>
        </w:rPr>
        <w:t>Definition &amp; Assumption: Before evaluating optical Depth of Field (DoF), we must first define the Circle of Confusion (CoC). Because CoC is not explicitly defined in the RFQ document for the DoF requirement (IMG-7), we have established CoC = 25 µm based on sensor pixel pitch and target spatial resolving power.</w:t>
      </w:r>
    </w:p>
    <w:p>
      <w:pPr>
        <w:pStyle w:val="Heading1"/>
        <w:rPr/>
      </w:pPr>
      <w:r>
        <w:rPr>
          <w:color w:val="000000"/>
        </w:rPr>
        <w:t>Optical Trade-Off &amp; System Architecture Analysis</w:t>
      </w:r>
    </w:p>
    <w:p>
      <w:pPr>
        <w:pStyle w:val="ListBullet"/>
        <w:numPr>
          <w:ilvl w:val="0"/>
          <w:numId w:val="1"/>
        </w:numPr>
        <w:rPr/>
      </w:pPr>
      <w:r>
        <w:rPr>
          <w:color w:val="000000"/>
        </w:rPr>
        <w:t>Pixel Density vs. FOV: As required pixel density increases (to achieve 30 px/mm), single-camera Field of View (FOV) decreases proportionally.</w:t>
      </w:r>
    </w:p>
    <w:p>
      <w:pPr>
        <w:pStyle w:val="ListBullet"/>
        <w:numPr>
          <w:ilvl w:val="0"/>
          <w:numId w:val="1"/>
        </w:numPr>
        <w:rPr/>
      </w:pPr>
      <w:r>
        <w:rPr>
          <w:color w:val="000000"/>
        </w:rPr>
        <w:t>FOV vs. Depth of Field (DoF): As Field of View (FOV) decreases (higher magnification), optical Depth of Field (DoF) also decreases. Maintaining DoF ≥ 100 mm across smaller FOVs requires smaller optical apertures (higher f-number), which in turn demands higher illumination power.</w:t>
      </w:r>
    </w:p>
    <w:p>
      <w:pPr>
        <w:pStyle w:val="ListBullet"/>
        <w:numPr>
          <w:ilvl w:val="0"/>
          <w:numId w:val="1"/>
        </w:numPr>
        <w:rPr/>
      </w:pPr>
      <w:r>
        <w:rPr>
          <w:color w:val="000000"/>
        </w:rPr>
        <w:t>High-Resolution Sensor Strategy &amp; Cost Trade-Off: By selecting high-resolution sensors (≥ 60 MP to 105 MP), each camera captures a significantly larger FOV while preserving 30 px/mm spatial density. Although individual high-resolution camera unit cost increases, it prevents an exponential increase in total camera count, thereby optimizing overall subsystem BOM cost, cabling, and optical DoF.</w:t>
      </w:r>
    </w:p>
    <w:p>
      <w:pPr>
        <w:pStyle w:val="Heading1"/>
        <w:rPr/>
      </w:pPr>
      <w:r>
        <w:rPr>
          <w:color w:val="000000"/>
        </w:rPr>
        <w:t>Proposed Architectural Models</w:t>
      </w:r>
    </w:p>
    <w:p>
      <w:pPr>
        <w:pStyle w:val="ListBullet"/>
        <w:numPr>
          <w:ilvl w:val="0"/>
          <w:numId w:val="1"/>
        </w:numPr>
        <w:rPr/>
      </w:pPr>
      <w:r>
        <w:rPr>
          <w:color w:val="000000"/>
        </w:rPr>
        <w:t>Model 2 (2D Scanning Carriage Model): A vertical carriage scanning gantry combined with a rotating patient turntable for controlled 2D surface imaging.</w:t>
      </w:r>
    </w:p>
    <w:p>
      <w:pPr>
        <w:pStyle w:val="Heading1"/>
        <w:rPr/>
      </w:pPr>
      <w:r>
        <w:rPr>
          <w:color w:val="000000"/>
        </w:rPr>
        <w:t>Benchmark Comparison (iTBoS vs. Commercial Systems)</w:t>
      </w:r>
    </w:p>
    <w:p>
      <w:pPr>
        <w:pStyle w:val="ListBullet"/>
        <w:numPr>
          <w:ilvl w:val="0"/>
          <w:numId w:val="1"/>
        </w:numPr>
        <w:rPr/>
      </w:pPr>
      <w:r>
        <w:rPr>
          <w:color w:val="000000"/>
        </w:rPr>
        <w:t>iTBoS Reference: Engineered specifically for uniform pixel density across skin contours via complex 3D calibration.</w:t>
      </w:r>
    </w:p>
    <w:p>
      <w:pPr>
        <w:pStyle w:val="ListBullet"/>
        <w:numPr>
          <w:ilvl w:val="0"/>
          <w:numId w:val="1"/>
        </w:numPr>
        <w:rPr/>
      </w:pPr>
      <w:r>
        <w:rPr>
          <w:color w:val="000000"/>
        </w:rPr>
        <w:t>Commercial Reality (Vectra, FotoFinder, IntelliStudio): All commercial systems have variable pixel density across body contours due to distance variations.</w:t>
      </w:r>
    </w:p>
    <w:p>
      <w:pPr>
        <w:pStyle w:val="ListBullet"/>
        <w:numPr>
          <w:ilvl w:val="0"/>
          <w:numId w:val="1"/>
        </w:numPr>
        <w:rPr/>
      </w:pPr>
      <w:r>
        <w:rPr>
          <w:color w:val="000000"/>
        </w:rPr>
        <w:t>DermaPod Alignment: Aligns with commercial standards, ensuring worst-case distance still satisfies baseline 30 px/mm ROI.</w:t>
      </w:r>
    </w:p>
    <w:p>
      <w:pPr>
        <w:pStyle w:val="ListBullet"/>
        <w:numPr>
          <w:ilvl w:val="0"/>
          <w:numId w:val="0"/>
        </w:numPr>
        <w:ind w:hanging="0" w:start="0"/>
        <w:rPr/>
      </w:pPr>
      <w:r>
        <w:rPr/>
      </w:r>
    </w:p>
    <w:p>
      <w:pPr>
        <w:pStyle w:val="Normal"/>
        <w:keepNext w:val="true"/>
        <w:spacing w:before="240" w:after="80"/>
        <w:rPr/>
      </w:pPr>
      <w:r>
        <w:rPr>
          <w:color w:val="000000"/>
        </w:rPr>
        <w:t>Reference Parameters Used in Calculations:</w:t>
      </w:r>
    </w:p>
    <w:p>
      <w:pPr>
        <w:pStyle w:val="ListBullet"/>
        <w:numPr>
          <w:ilvl w:val="0"/>
          <w:numId w:val="1"/>
        </w:numPr>
        <w:spacing w:lineRule="auto" w:line="276" w:before="0" w:after="60"/>
        <w:contextualSpacing/>
        <w:rPr/>
      </w:pPr>
      <w:r>
        <w:rPr>
          <w:color w:val="000000"/>
        </w:rPr>
        <w:t>Lens Aperture: f/8</w:t>
      </w:r>
    </w:p>
    <w:p>
      <w:pPr>
        <w:pStyle w:val="ListBullet"/>
        <w:numPr>
          <w:ilvl w:val="0"/>
          <w:numId w:val="1"/>
        </w:numPr>
        <w:spacing w:lineRule="auto" w:line="276" w:before="0" w:after="60"/>
        <w:contextualSpacing/>
        <w:rPr/>
      </w:pPr>
      <w:r>
        <w:rPr>
          <w:color w:val="000000"/>
        </w:rPr>
        <w:t>Body Curvature Target: 100 mm</w:t>
      </w:r>
    </w:p>
    <w:p>
      <w:pPr>
        <w:pStyle w:val="ListBullet"/>
        <w:numPr>
          <w:ilvl w:val="0"/>
          <w:numId w:val="1"/>
        </w:numPr>
        <w:spacing w:lineRule="auto" w:line="276" w:before="0" w:after="60"/>
        <w:contextualSpacing/>
        <w:rPr/>
      </w:pPr>
      <w:r>
        <w:rPr>
          <w:color w:val="000000"/>
        </w:rPr>
        <w:t>Mechanical Settle Time: 2.0 seconds per step</w:t>
      </w:r>
    </w:p>
    <w:p>
      <w:pPr>
        <w:pStyle w:val="ListBullet"/>
        <w:numPr>
          <w:ilvl w:val="0"/>
          <w:numId w:val="1"/>
        </w:numPr>
        <w:spacing w:lineRule="auto" w:line="276" w:before="0" w:after="60"/>
        <w:contextualSpacing/>
        <w:rPr/>
      </w:pPr>
      <w:r>
        <w:rPr>
          <w:color w:val="000000"/>
        </w:rPr>
        <w:t>Turntable &amp; Column Rotation Time: 5.0 seconds per transit</w:t>
      </w:r>
    </w:p>
    <w:p>
      <w:pPr>
        <w:pStyle w:val="ListBullet"/>
        <w:numPr>
          <w:ilvl w:val="0"/>
          <w:numId w:val="1"/>
        </w:numPr>
        <w:spacing w:lineRule="auto" w:line="276" w:before="0" w:after="60"/>
        <w:contextualSpacing/>
        <w:rPr/>
      </w:pPr>
      <w:r>
        <w:rPr>
          <w:color w:val="000000"/>
        </w:rPr>
        <w:t>Focus Slice Exposure Time: 0.2 seconds</w:t>
      </w:r>
    </w:p>
    <w:p>
      <w:pPr>
        <w:pStyle w:val="ListBullet"/>
        <w:numPr>
          <w:ilvl w:val="0"/>
          <w:numId w:val="0"/>
        </w:numPr>
        <w:spacing w:lineRule="auto" w:line="276" w:before="0" w:after="60"/>
        <w:ind w:hanging="0" w:start="360"/>
        <w:contextualSpacing/>
        <w:rPr>
          <w:rFonts w:ascii="Calibri" w:hAnsi="Calibri"/>
          <w:color w:val="0000FF"/>
          <w:sz w:val="19"/>
          <w:u w:val="single"/>
        </w:rPr>
      </w:pPr>
      <w:r>
        <w:rPr>
          <w:rFonts w:ascii="Calibri" w:hAnsi="Calibri"/>
          <w:color w:val="0000FF"/>
          <w:sz w:val="19"/>
          <w:u w:val="single"/>
        </w:rPr>
      </w:r>
    </w:p>
    <w:p>
      <w:pPr>
        <w:pStyle w:val="Normal"/>
        <w:keepNext w:val="true"/>
        <w:spacing w:before="360" w:after="120"/>
        <w:rPr/>
      </w:pPr>
      <w:r>
        <w:rPr>
          <w:color w:val="000000"/>
        </w:rPr>
        <w:t>2. 3D Simulation &amp; Architectural Evaluation</w:t>
      </w:r>
    </w:p>
    <w:p>
      <w:pPr>
        <w:pStyle w:val="Normal"/>
        <w:spacing w:lineRule="auto" w:line="276" w:before="0" w:after="120"/>
        <w:rPr>
          <w:rFonts w:ascii="Calibri" w:hAnsi="Calibri"/>
          <w:color w:val="000000"/>
          <w:sz w:val="21"/>
        </w:rPr>
      </w:pPr>
      <w:r>
        <w:rPr>
          <w:rFonts w:ascii="Calibri" w:hAnsi="Calibri"/>
          <w:color w:val="000000"/>
          <w:sz w:val="21"/>
        </w:rPr>
      </w:r>
    </w:p>
    <w:p>
      <w:pPr>
        <w:pStyle w:val="Normal"/>
        <w:spacing w:lineRule="auto" w:line="276" w:before="0" w:after="80"/>
        <w:rPr/>
      </w:pPr>
      <w:r>
        <w:rPr/>
      </w:r>
    </w:p>
    <w:p>
      <w:pPr>
        <w:pStyle w:val="Normal"/>
        <w:spacing w:before="80" w:after="160"/>
        <w:jc w:val="center"/>
        <w:rPr/>
      </w:pPr>
      <w:r>
        <w:rPr/>
        <w:drawing>
          <wp:inline distT="0" distB="0" distL="0" distR="0">
            <wp:extent cx="4389120" cy="202882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4389120" cy="2028825"/>
                    </a:xfrm>
                    <a:prstGeom prst="rect">
                      <a:avLst/>
                    </a:prstGeom>
                    <a:noFill/>
                  </pic:spPr>
                </pic:pic>
              </a:graphicData>
            </a:graphic>
          </wp:inline>
        </w:drawing>
      </w:r>
    </w:p>
    <w:p>
      <w:pPr>
        <w:pStyle w:val="Heading2"/>
        <w:spacing w:before="200" w:after="160"/>
        <w:rPr/>
      </w:pPr>
      <w:r>
        <w:rPr>
          <w:b/>
        </w:rPr>
        <w:t>Model 1: Option A — Dual-Column Parallel Gantry</w:t>
      </w:r>
    </w:p>
    <w:p>
      <w:pPr>
        <w:pStyle w:val="ListBullet"/>
        <w:numPr>
          <w:ilvl w:val="0"/>
          <w:numId w:val="1"/>
        </w:numPr>
        <w:spacing w:before="0" w:after="40"/>
        <w:contextualSpacing/>
        <w:rPr/>
      </w:pPr>
      <w:r>
        <w:rPr>
          <w:b/>
        </w:rPr>
        <w:t>Mechanical:</w:t>
      </w:r>
      <w:r>
        <w:rPr/>
        <w:t xml:space="preserve"> Multiple parallel columns (upgraded to 3 columns to span the horizontal 1000mm width at 30 px/mm resolving power) on an elliptical track.</w:t>
      </w:r>
    </w:p>
    <w:p>
      <w:pPr>
        <w:pStyle w:val="ListBullet"/>
        <w:numPr>
          <w:ilvl w:val="0"/>
          <w:numId w:val="1"/>
        </w:numPr>
        <w:spacing w:before="0" w:after="40"/>
        <w:contextualSpacing/>
        <w:rPr/>
      </w:pPr>
      <w:r>
        <w:rPr>
          <w:b/>
        </w:rPr>
        <w:t>Acquisition:</w:t>
      </w:r>
      <w:r>
        <w:rPr/>
        <w:t xml:space="preserve"> Performs a segmented step-by-step horizontal rotation sweep, stopping at 4 discrete poses (0°, 90°, 180°, 270°) to capture complete patient coverage.</w:t>
      </w:r>
    </w:p>
    <w:p>
      <w:pPr>
        <w:pStyle w:val="ListBullet"/>
        <w:numPr>
          <w:ilvl w:val="0"/>
          <w:numId w:val="1"/>
        </w:numPr>
        <w:spacing w:before="0" w:after="40"/>
        <w:contextualSpacing/>
        <w:rPr/>
      </w:pPr>
      <w:r>
        <w:rPr>
          <w:b/>
        </w:rPr>
        <w:t>Cost:</w:t>
      </w:r>
      <w:r>
        <w:rPr/>
        <w:t xml:space="preserve"> High camera count and high BOM cost.</w:t>
      </w:r>
    </w:p>
    <w:p>
      <w:pPr>
        <w:pStyle w:val="ListBullet"/>
        <w:numPr>
          <w:ilvl w:val="0"/>
          <w:numId w:val="1"/>
        </w:numPr>
        <w:spacing w:before="0" w:after="40"/>
        <w:contextualSpacing/>
        <w:rPr/>
      </w:pPr>
      <w:r>
        <w:rPr>
          <w:b/>
        </w:rPr>
        <w:t>Risk:</w:t>
      </w:r>
      <w:r>
        <w:rPr/>
        <w:t xml:space="preserve"> Calibration complexity for multi-column geometries; high data ingestion bandwidth.</w:t>
      </w:r>
    </w:p>
    <w:p>
      <w:pPr>
        <w:pStyle w:val="ListBullet"/>
        <w:numPr>
          <w:ilvl w:val="0"/>
          <w:numId w:val="1"/>
        </w:numPr>
        <w:spacing w:before="0" w:after="40"/>
        <w:contextualSpacing/>
        <w:rPr/>
      </w:pPr>
      <w:r>
        <w:rPr>
          <w:b/>
        </w:rPr>
        <w:t>Timing Considerations:</w:t>
      </w:r>
      <w:r>
        <w:rPr/>
        <w:t xml:space="preserve"> Scan time is dictated by the column rotation transit and stop exposure time. Baselines assume 5.0s rotation transit time and 2.0s settle time per step.</w:t>
      </w:r>
    </w:p>
    <w:p>
      <w:pPr>
        <w:pStyle w:val="Normal"/>
        <w:spacing w:before="0" w:after="160"/>
        <w:rPr/>
      </w:pPr>
      <w:r>
        <w:rPr>
          <w:b/>
        </w:rPr>
        <w:t>Model 1 Sensor Optimization Matrix (Target: 30 px/mm, 3 Columns, CoC = 25 µm, Aperture = f/8):</w:t>
      </w:r>
    </w:p>
    <w:tbl>
      <w:tblPr>
        <w:tblStyle w:val="TableGrid"/>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779"/>
        <w:gridCol w:w="781"/>
        <w:gridCol w:w="780"/>
        <w:gridCol w:w="779"/>
        <w:gridCol w:w="781"/>
        <w:gridCol w:w="780"/>
        <w:gridCol w:w="779"/>
        <w:gridCol w:w="781"/>
        <w:gridCol w:w="780"/>
        <w:gridCol w:w="779"/>
        <w:gridCol w:w="781"/>
        <w:gridCol w:w="780"/>
      </w:tblGrid>
      <w:tr>
        <w:trPr/>
        <w:tc>
          <w:tcPr>
            <w:tcW w:w="779" w:type="dxa"/>
            <w:tcBorders/>
          </w:tcPr>
          <w:p>
            <w:pPr>
              <w:pStyle w:val="Normal"/>
              <w:spacing w:before="80" w:after="80"/>
              <w:jc w:val="center"/>
              <w:rPr/>
            </w:pPr>
            <w:r>
              <w:rPr>
                <w:b/>
              </w:rPr>
              <w:t>Sensor Profile</w:t>
            </w:r>
          </w:p>
        </w:tc>
        <w:tc>
          <w:tcPr>
            <w:tcW w:w="781" w:type="dxa"/>
            <w:tcBorders/>
          </w:tcPr>
          <w:p>
            <w:pPr>
              <w:pStyle w:val="Normal"/>
              <w:spacing w:before="80" w:after="80"/>
              <w:jc w:val="center"/>
              <w:rPr/>
            </w:pPr>
            <w:r>
              <w:rPr>
                <w:b/>
              </w:rPr>
              <w:t>FOV (W×H)</w:t>
            </w:r>
          </w:p>
        </w:tc>
        <w:tc>
          <w:tcPr>
            <w:tcW w:w="780" w:type="dxa"/>
            <w:tcBorders/>
          </w:tcPr>
          <w:p>
            <w:pPr>
              <w:pStyle w:val="Normal"/>
              <w:spacing w:before="80" w:after="80"/>
              <w:jc w:val="center"/>
              <w:rPr/>
            </w:pPr>
            <w:r>
              <w:rPr>
                <w:b/>
              </w:rPr>
              <w:t>Total Array FOV</w:t>
            </w:r>
          </w:p>
        </w:tc>
        <w:tc>
          <w:tcPr>
            <w:tcW w:w="779" w:type="dxa"/>
            <w:tcBorders/>
          </w:tcPr>
          <w:p>
            <w:pPr>
              <w:pStyle w:val="Normal"/>
              <w:spacing w:before="80" w:after="80"/>
              <w:jc w:val="center"/>
              <w:rPr/>
            </w:pPr>
            <w:r>
              <w:rPr>
                <w:b/>
              </w:rPr>
              <w:t>Horiz Steps</w:t>
            </w:r>
          </w:p>
        </w:tc>
        <w:tc>
          <w:tcPr>
            <w:tcW w:w="781" w:type="dxa"/>
            <w:tcBorders/>
          </w:tcPr>
          <w:p>
            <w:pPr>
              <w:pStyle w:val="Normal"/>
              <w:spacing w:before="80" w:after="80"/>
              <w:jc w:val="center"/>
              <w:rPr/>
            </w:pPr>
            <w:r>
              <w:rPr>
                <w:b/>
              </w:rPr>
              <w:t>Vert Steps</w:t>
            </w:r>
          </w:p>
        </w:tc>
        <w:tc>
          <w:tcPr>
            <w:tcW w:w="780" w:type="dxa"/>
            <w:tcBorders/>
          </w:tcPr>
          <w:p>
            <w:pPr>
              <w:pStyle w:val="Normal"/>
              <w:spacing w:before="80" w:after="80"/>
              <w:jc w:val="center"/>
              <w:rPr/>
            </w:pPr>
            <w:r>
              <w:rPr>
                <w:b/>
              </w:rPr>
              <w:t>Combined Steps</w:t>
            </w:r>
          </w:p>
        </w:tc>
        <w:tc>
          <w:tcPr>
            <w:tcW w:w="779" w:type="dxa"/>
            <w:tcBorders/>
          </w:tcPr>
          <w:p>
            <w:pPr>
              <w:pStyle w:val="Normal"/>
              <w:spacing w:before="80" w:after="80"/>
              <w:jc w:val="center"/>
              <w:rPr/>
            </w:pPr>
            <w:r>
              <w:rPr>
                <w:b/>
              </w:rPr>
              <w:t>Avg Env Density</w:t>
            </w:r>
          </w:p>
        </w:tc>
        <w:tc>
          <w:tcPr>
            <w:tcW w:w="781" w:type="dxa"/>
            <w:tcBorders/>
          </w:tcPr>
          <w:p>
            <w:pPr>
              <w:pStyle w:val="Normal"/>
              <w:spacing w:before="80" w:after="80"/>
              <w:jc w:val="center"/>
              <w:rPr/>
            </w:pPr>
            <w:r>
              <w:rPr>
                <w:b/>
              </w:rPr>
              <w:t>Lowest Env Density</w:t>
            </w:r>
          </w:p>
        </w:tc>
        <w:tc>
          <w:tcPr>
            <w:tcW w:w="780" w:type="dxa"/>
            <w:tcBorders/>
          </w:tcPr>
          <w:p>
            <w:pPr>
              <w:pStyle w:val="Normal"/>
              <w:spacing w:before="80" w:after="80"/>
              <w:jc w:val="center"/>
              <w:rPr/>
            </w:pPr>
            <w:r>
              <w:rPr>
                <w:b/>
              </w:rPr>
              <w:t>DoF (CoC=25µm)</w:t>
            </w:r>
          </w:p>
        </w:tc>
        <w:tc>
          <w:tcPr>
            <w:tcW w:w="779" w:type="dxa"/>
            <w:tcBorders/>
          </w:tcPr>
          <w:p>
            <w:pPr>
              <w:pStyle w:val="Normal"/>
              <w:spacing w:before="80" w:after="80"/>
              <w:jc w:val="center"/>
              <w:rPr/>
            </w:pPr>
            <w:r>
              <w:rPr>
                <w:b/>
              </w:rPr>
              <w:t>Cams Needed</w:t>
            </w:r>
          </w:p>
        </w:tc>
        <w:tc>
          <w:tcPr>
            <w:tcW w:w="781" w:type="dxa"/>
            <w:tcBorders/>
          </w:tcPr>
          <w:p>
            <w:pPr>
              <w:pStyle w:val="Normal"/>
              <w:spacing w:before="80" w:after="80"/>
              <w:jc w:val="center"/>
              <w:rPr/>
            </w:pPr>
            <w:r>
              <w:rPr>
                <w:b/>
              </w:rPr>
              <w:t>Total Cost</w:t>
            </w:r>
          </w:p>
        </w:tc>
        <w:tc>
          <w:tcPr>
            <w:tcW w:w="780" w:type="dxa"/>
            <w:tcBorders/>
          </w:tcPr>
          <w:p>
            <w:pPr>
              <w:pStyle w:val="Normal"/>
              <w:spacing w:before="80" w:after="80"/>
              <w:jc w:val="center"/>
              <w:rPr/>
            </w:pPr>
            <w:r>
              <w:rPr>
                <w:b/>
              </w:rPr>
              <w:t>Scan Time</w:t>
            </w:r>
          </w:p>
        </w:tc>
      </w:tr>
      <w:tr>
        <w:trPr/>
        <w:tc>
          <w:tcPr>
            <w:tcW w:w="779" w:type="dxa"/>
            <w:tcBorders/>
          </w:tcPr>
          <w:p>
            <w:pPr>
              <w:pStyle w:val="Normal"/>
              <w:spacing w:before="80" w:after="80"/>
              <w:jc w:val="start"/>
              <w:rPr/>
            </w:pPr>
            <w:r>
              <w:rPr/>
              <w:t>GMAX3265 (65.4MP)</w:t>
            </w:r>
          </w:p>
        </w:tc>
        <w:tc>
          <w:tcPr>
            <w:tcW w:w="781" w:type="dxa"/>
            <w:tcBorders/>
          </w:tcPr>
          <w:p>
            <w:pPr>
              <w:pStyle w:val="Normal"/>
              <w:spacing w:before="80" w:after="80"/>
              <w:jc w:val="start"/>
              <w:rPr/>
            </w:pPr>
            <w:r>
              <w:rPr/>
              <w:t>311mm × 233mm</w:t>
            </w:r>
          </w:p>
        </w:tc>
        <w:tc>
          <w:tcPr>
            <w:tcW w:w="780" w:type="dxa"/>
            <w:tcBorders/>
          </w:tcPr>
          <w:p>
            <w:pPr>
              <w:pStyle w:val="Normal"/>
              <w:spacing w:before="80" w:after="80"/>
              <w:jc w:val="start"/>
              <w:rPr/>
            </w:pPr>
            <w:r>
              <w:rPr/>
              <w:t>840mm × 2176mm</w:t>
            </w:r>
          </w:p>
        </w:tc>
        <w:tc>
          <w:tcPr>
            <w:tcW w:w="779" w:type="dxa"/>
            <w:tcBorders/>
          </w:tcPr>
          <w:p>
            <w:pPr>
              <w:pStyle w:val="Normal"/>
              <w:spacing w:before="80" w:after="80"/>
              <w:jc w:val="start"/>
              <w:rPr/>
            </w:pPr>
            <w:r>
              <w:rPr/>
              <w:t>4 steps</w:t>
            </w:r>
          </w:p>
        </w:tc>
        <w:tc>
          <w:tcPr>
            <w:tcW w:w="781" w:type="dxa"/>
            <w:tcBorders/>
          </w:tcPr>
          <w:p>
            <w:pPr>
              <w:pStyle w:val="Normal"/>
              <w:spacing w:before="80" w:after="80"/>
              <w:jc w:val="start"/>
              <w:rPr/>
            </w:pPr>
            <w:r>
              <w:rPr/>
              <w:t>1 step</w:t>
            </w:r>
          </w:p>
        </w:tc>
        <w:tc>
          <w:tcPr>
            <w:tcW w:w="780" w:type="dxa"/>
            <w:tcBorders/>
          </w:tcPr>
          <w:p>
            <w:pPr>
              <w:pStyle w:val="Normal"/>
              <w:spacing w:before="80" w:after="80"/>
              <w:jc w:val="start"/>
              <w:rPr/>
            </w:pPr>
            <w:r>
              <w:rPr/>
              <w:t>4 steps</w:t>
            </w:r>
          </w:p>
        </w:tc>
        <w:tc>
          <w:tcPr>
            <w:tcW w:w="779" w:type="dxa"/>
            <w:tcBorders/>
          </w:tcPr>
          <w:p>
            <w:pPr>
              <w:pStyle w:val="Normal"/>
              <w:spacing w:before="80" w:after="80"/>
              <w:jc w:val="start"/>
              <w:rPr/>
            </w:pPr>
            <w:r>
              <w:rPr/>
              <w:t>31.5 px/mm</w:t>
            </w:r>
          </w:p>
        </w:tc>
        <w:tc>
          <w:tcPr>
            <w:tcW w:w="781" w:type="dxa"/>
            <w:tcBorders/>
          </w:tcPr>
          <w:p>
            <w:pPr>
              <w:pStyle w:val="Normal"/>
              <w:spacing w:before="80" w:after="80"/>
              <w:jc w:val="start"/>
              <w:rPr/>
            </w:pPr>
            <w:r>
              <w:rPr/>
              <w:t>24.7 px/mm</w:t>
            </w:r>
          </w:p>
        </w:tc>
        <w:tc>
          <w:tcPr>
            <w:tcW w:w="780" w:type="dxa"/>
            <w:tcBorders/>
          </w:tcPr>
          <w:p>
            <w:pPr>
              <w:pStyle w:val="Normal"/>
              <w:spacing w:before="80" w:after="80"/>
              <w:jc w:val="start"/>
              <w:rPr/>
            </w:pPr>
            <w:r>
              <w:rPr/>
              <w:t>82.8 mm</w:t>
            </w:r>
          </w:p>
        </w:tc>
        <w:tc>
          <w:tcPr>
            <w:tcW w:w="779" w:type="dxa"/>
            <w:tcBorders/>
          </w:tcPr>
          <w:p>
            <w:pPr>
              <w:pStyle w:val="Normal"/>
              <w:spacing w:before="80" w:after="80"/>
              <w:jc w:val="start"/>
              <w:rPr/>
            </w:pPr>
            <w:r>
              <w:rPr/>
              <w:t>33 (3 × 11)</w:t>
            </w:r>
          </w:p>
        </w:tc>
        <w:tc>
          <w:tcPr>
            <w:tcW w:w="781" w:type="dxa"/>
            <w:tcBorders/>
          </w:tcPr>
          <w:p>
            <w:pPr>
              <w:spacing w:before="80" w:after="80"/>
            </w:pPr>
            <w:r>
              <w:t>$292,050</w:t>
            </w:r>
          </w:p>
        </w:tc>
        <w:tc>
          <w:tcPr>
            <w:tcW w:w="780" w:type="dxa"/>
            <w:tcBorders/>
          </w:tcPr>
          <w:p>
            <w:pPr>
              <w:pStyle w:val="Normal"/>
              <w:spacing w:before="80" w:after="80"/>
              <w:jc w:val="start"/>
              <w:rPr/>
            </w:pPr>
            <w:r>
              <w:rPr/>
              <w:t>26.2s (+20s to +30s)</w:t>
            </w:r>
          </w:p>
        </w:tc>
      </w:tr>
      <w:tr>
        <w:trPr/>
        <w:tc>
          <w:tcPr>
            <w:tcW w:w="779" w:type="dxa"/>
            <w:tcBorders/>
          </w:tcPr>
          <w:p>
            <w:pPr>
              <w:pStyle w:val="Normal"/>
              <w:spacing w:before="80" w:after="80"/>
              <w:jc w:val="start"/>
              <w:rPr/>
            </w:pPr>
            <w:r>
              <w:rPr/>
              <w:t>IMX927/IMX937 (105MP)</w:t>
            </w:r>
          </w:p>
        </w:tc>
        <w:tc>
          <w:tcPr>
            <w:tcW w:w="781" w:type="dxa"/>
            <w:tcBorders/>
          </w:tcPr>
          <w:p>
            <w:pPr>
              <w:pStyle w:val="Normal"/>
              <w:spacing w:before="80" w:after="80"/>
              <w:jc w:val="start"/>
              <w:rPr/>
            </w:pPr>
            <w:r>
              <w:rPr/>
              <w:t>341mm × 341mm</w:t>
            </w:r>
          </w:p>
        </w:tc>
        <w:tc>
          <w:tcPr>
            <w:tcW w:w="780" w:type="dxa"/>
            <w:tcBorders/>
          </w:tcPr>
          <w:p>
            <w:pPr>
              <w:pStyle w:val="Normal"/>
              <w:spacing w:before="80" w:after="80"/>
              <w:jc w:val="start"/>
              <w:rPr/>
            </w:pPr>
            <w:r>
              <w:rPr/>
              <w:t>921mm × 2028mm</w:t>
            </w:r>
          </w:p>
        </w:tc>
        <w:tc>
          <w:tcPr>
            <w:tcW w:w="779" w:type="dxa"/>
            <w:tcBorders/>
          </w:tcPr>
          <w:p>
            <w:pPr>
              <w:pStyle w:val="Normal"/>
              <w:spacing w:before="80" w:after="80"/>
              <w:jc w:val="start"/>
              <w:rPr/>
            </w:pPr>
            <w:r>
              <w:rPr/>
              <w:t>4 steps</w:t>
            </w:r>
          </w:p>
        </w:tc>
        <w:tc>
          <w:tcPr>
            <w:tcW w:w="781" w:type="dxa"/>
            <w:tcBorders/>
          </w:tcPr>
          <w:p>
            <w:pPr>
              <w:pStyle w:val="Normal"/>
              <w:spacing w:before="80" w:after="80"/>
              <w:jc w:val="start"/>
              <w:rPr/>
            </w:pPr>
            <w:r>
              <w:rPr/>
              <w:t>1 step</w:t>
            </w:r>
          </w:p>
        </w:tc>
        <w:tc>
          <w:tcPr>
            <w:tcW w:w="780" w:type="dxa"/>
            <w:tcBorders/>
          </w:tcPr>
          <w:p>
            <w:pPr>
              <w:pStyle w:val="Normal"/>
              <w:spacing w:before="80" w:after="80"/>
              <w:jc w:val="start"/>
              <w:rPr/>
            </w:pPr>
            <w:r>
              <w:rPr/>
              <w:t>4 steps</w:t>
            </w:r>
          </w:p>
        </w:tc>
        <w:tc>
          <w:tcPr>
            <w:tcW w:w="779" w:type="dxa"/>
            <w:tcBorders/>
          </w:tcPr>
          <w:p>
            <w:pPr>
              <w:pStyle w:val="Normal"/>
              <w:spacing w:before="80" w:after="80"/>
              <w:jc w:val="start"/>
              <w:rPr/>
            </w:pPr>
            <w:r>
              <w:rPr/>
              <w:t>31.3 px/mm</w:t>
            </w:r>
          </w:p>
        </w:tc>
        <w:tc>
          <w:tcPr>
            <w:tcW w:w="781" w:type="dxa"/>
            <w:tcBorders/>
          </w:tcPr>
          <w:p>
            <w:pPr>
              <w:pStyle w:val="Normal"/>
              <w:spacing w:before="80" w:after="80"/>
              <w:jc w:val="start"/>
              <w:rPr/>
            </w:pPr>
            <w:r>
              <w:rPr/>
              <w:t>24.9 px/mm</w:t>
            </w:r>
          </w:p>
        </w:tc>
        <w:tc>
          <w:tcPr>
            <w:tcW w:w="780" w:type="dxa"/>
            <w:tcBorders/>
          </w:tcPr>
          <w:p>
            <w:pPr>
              <w:pStyle w:val="Normal"/>
              <w:spacing w:before="80" w:after="80"/>
              <w:jc w:val="start"/>
              <w:rPr/>
            </w:pPr>
            <w:r>
              <w:rPr/>
              <w:t>98.0 mm</w:t>
            </w:r>
          </w:p>
        </w:tc>
        <w:tc>
          <w:tcPr>
            <w:tcW w:w="779" w:type="dxa"/>
            <w:tcBorders/>
          </w:tcPr>
          <w:p>
            <w:pPr>
              <w:pStyle w:val="Normal"/>
              <w:spacing w:before="80" w:after="80"/>
              <w:jc w:val="start"/>
              <w:rPr/>
            </w:pPr>
            <w:r>
              <w:rPr/>
              <w:t>21 (3 × 7)</w:t>
            </w:r>
          </w:p>
        </w:tc>
        <w:tc>
          <w:tcPr>
            <w:tcW w:w="781" w:type="dxa"/>
            <w:tcBorders/>
          </w:tcPr>
          <w:p>
            <w:pPr>
              <w:spacing w:before="80" w:after="80"/>
            </w:pPr>
            <w:r>
              <w:t>$356,895</w:t>
            </w:r>
          </w:p>
        </w:tc>
        <w:tc>
          <w:tcPr>
            <w:tcW w:w="780" w:type="dxa"/>
            <w:tcBorders/>
          </w:tcPr>
          <w:p>
            <w:pPr>
              <w:pStyle w:val="Normal"/>
              <w:spacing w:before="80" w:after="80"/>
              <w:jc w:val="start"/>
              <w:rPr/>
            </w:pPr>
            <w:r>
              <w:rPr/>
              <w:t>26.2s (+20s to +30s)</w:t>
            </w:r>
          </w:p>
        </w:tc>
      </w:tr>
      <w:tr>
        <w:trPr/>
        <w:tc>
          <w:tcPr>
            <w:tcW w:w="779" w:type="dxa"/>
            <w:tcBorders/>
          </w:tcPr>
          <w:p>
            <w:pPr>
              <w:pStyle w:val="Normal"/>
              <w:spacing w:before="80" w:after="80"/>
              <w:jc w:val="start"/>
              <w:rPr/>
            </w:pPr>
            <w:r>
              <w:rPr/>
              <w:t>Sony IMX661 (127.7MP)</w:t>
            </w:r>
          </w:p>
        </w:tc>
        <w:tc>
          <w:tcPr>
            <w:tcW w:w="781" w:type="dxa"/>
            <w:tcBorders/>
          </w:tcPr>
          <w:p>
            <w:pPr>
              <w:pStyle w:val="Normal"/>
              <w:spacing w:before="80" w:after="80"/>
              <w:jc w:val="start"/>
              <w:rPr/>
            </w:pPr>
            <w:r>
              <w:rPr/>
              <w:t>445mm × 317mm</w:t>
            </w:r>
          </w:p>
        </w:tc>
        <w:tc>
          <w:tcPr>
            <w:tcW w:w="780" w:type="dxa"/>
            <w:tcBorders/>
          </w:tcPr>
          <w:p>
            <w:pPr>
              <w:pStyle w:val="Normal"/>
              <w:spacing w:before="80" w:after="80"/>
              <w:jc w:val="start"/>
              <w:rPr/>
            </w:pPr>
            <w:r>
              <w:rPr/>
              <w:t>1201mm × 2159mm</w:t>
            </w:r>
          </w:p>
        </w:tc>
        <w:tc>
          <w:tcPr>
            <w:tcW w:w="779" w:type="dxa"/>
            <w:tcBorders/>
          </w:tcPr>
          <w:p>
            <w:pPr>
              <w:pStyle w:val="Normal"/>
              <w:spacing w:before="80" w:after="80"/>
              <w:jc w:val="start"/>
              <w:rPr/>
            </w:pPr>
            <w:r>
              <w:rPr/>
              <w:t>4 steps</w:t>
            </w:r>
          </w:p>
        </w:tc>
        <w:tc>
          <w:tcPr>
            <w:tcW w:w="781" w:type="dxa"/>
            <w:tcBorders/>
          </w:tcPr>
          <w:p>
            <w:pPr>
              <w:pStyle w:val="Normal"/>
              <w:spacing w:before="80" w:after="80"/>
              <w:jc w:val="start"/>
              <w:rPr/>
            </w:pPr>
            <w:r>
              <w:rPr/>
              <w:t>1 step</w:t>
            </w:r>
          </w:p>
        </w:tc>
        <w:tc>
          <w:tcPr>
            <w:tcW w:w="780" w:type="dxa"/>
            <w:tcBorders/>
          </w:tcPr>
          <w:p>
            <w:pPr>
              <w:pStyle w:val="Normal"/>
              <w:spacing w:before="80" w:after="80"/>
              <w:jc w:val="start"/>
              <w:rPr/>
            </w:pPr>
            <w:r>
              <w:rPr/>
              <w:t>4 steps</w:t>
            </w:r>
          </w:p>
        </w:tc>
        <w:tc>
          <w:tcPr>
            <w:tcW w:w="779" w:type="dxa"/>
            <w:tcBorders/>
          </w:tcPr>
          <w:p>
            <w:pPr>
              <w:pStyle w:val="Normal"/>
              <w:spacing w:before="80" w:after="80"/>
              <w:jc w:val="start"/>
              <w:rPr/>
            </w:pPr>
            <w:r>
              <w:rPr/>
              <w:t>32.2 px/mm</w:t>
            </w:r>
          </w:p>
        </w:tc>
        <w:tc>
          <w:tcPr>
            <w:tcW w:w="781" w:type="dxa"/>
            <w:tcBorders/>
          </w:tcPr>
          <w:p>
            <w:pPr>
              <w:pStyle w:val="Normal"/>
              <w:spacing w:before="80" w:after="80"/>
              <w:jc w:val="start"/>
              <w:rPr/>
            </w:pPr>
            <w:r>
              <w:rPr/>
              <w:t>23.8 px/mm</w:t>
            </w:r>
          </w:p>
        </w:tc>
        <w:tc>
          <w:tcPr>
            <w:tcW w:w="780" w:type="dxa"/>
            <w:tcBorders/>
          </w:tcPr>
          <w:p>
            <w:pPr>
              <w:pStyle w:val="Normal"/>
              <w:spacing w:before="80" w:after="80"/>
              <w:jc w:val="start"/>
              <w:rPr/>
            </w:pPr>
            <w:r>
              <w:rPr/>
              <w:t>41.1 mm</w:t>
            </w:r>
          </w:p>
        </w:tc>
        <w:tc>
          <w:tcPr>
            <w:tcW w:w="779" w:type="dxa"/>
            <w:tcBorders/>
          </w:tcPr>
          <w:p>
            <w:pPr>
              <w:pStyle w:val="Normal"/>
              <w:spacing w:before="80" w:after="80"/>
              <w:jc w:val="start"/>
              <w:rPr/>
            </w:pPr>
            <w:r>
              <w:rPr/>
              <w:t>24 (3 × 8)</w:t>
            </w:r>
          </w:p>
        </w:tc>
        <w:tc>
          <w:tcPr>
            <w:tcW w:w="781" w:type="dxa"/>
            <w:tcBorders/>
          </w:tcPr>
          <w:p>
            <w:pPr>
              <w:spacing w:before="80" w:after="80"/>
            </w:pPr>
            <w:r>
              <w:t>$228,000</w:t>
            </w:r>
          </w:p>
        </w:tc>
        <w:tc>
          <w:tcPr>
            <w:tcW w:w="780" w:type="dxa"/>
            <w:tcBorders/>
          </w:tcPr>
          <w:p>
            <w:pPr>
              <w:pStyle w:val="Normal"/>
              <w:spacing w:before="80" w:after="80"/>
              <w:jc w:val="start"/>
              <w:rPr/>
            </w:pPr>
            <w:r>
              <w:rPr/>
              <w:t>27.8s (+20s to +30s)</w:t>
            </w:r>
          </w:p>
        </w:tc>
      </w:tr>
      <w:tr>
        <w:trPr/>
        <w:tc>
          <w:tcPr>
            <w:tcW w:w="779" w:type="dxa"/>
            <w:tcBorders/>
          </w:tcPr>
          <w:p>
            <w:pPr>
              <w:pStyle w:val="Normal"/>
              <w:spacing w:before="80" w:after="80"/>
              <w:jc w:val="start"/>
              <w:rPr/>
            </w:pPr>
            <w:r>
              <w:rPr/>
              <w:t>Sony IMX411 (151MP)</w:t>
            </w:r>
          </w:p>
        </w:tc>
        <w:tc>
          <w:tcPr>
            <w:tcW w:w="781" w:type="dxa"/>
            <w:tcBorders/>
          </w:tcPr>
          <w:p>
            <w:pPr>
              <w:pStyle w:val="Normal"/>
              <w:spacing w:before="80" w:after="80"/>
              <w:jc w:val="start"/>
              <w:rPr/>
            </w:pPr>
            <w:r>
              <w:rPr/>
              <w:t>473mm × 354mm</w:t>
            </w:r>
          </w:p>
        </w:tc>
        <w:tc>
          <w:tcPr>
            <w:tcW w:w="780" w:type="dxa"/>
            <w:tcBorders/>
          </w:tcPr>
          <w:p>
            <w:pPr>
              <w:pStyle w:val="Normal"/>
              <w:spacing w:before="80" w:after="80"/>
              <w:jc w:val="start"/>
              <w:rPr/>
            </w:pPr>
            <w:r>
              <w:rPr/>
              <w:t>1277mm × 2106mm</w:t>
            </w:r>
          </w:p>
        </w:tc>
        <w:tc>
          <w:tcPr>
            <w:tcW w:w="779" w:type="dxa"/>
            <w:tcBorders/>
          </w:tcPr>
          <w:p>
            <w:pPr>
              <w:pStyle w:val="Normal"/>
              <w:spacing w:before="80" w:after="80"/>
              <w:jc w:val="start"/>
              <w:rPr/>
            </w:pPr>
            <w:r>
              <w:rPr/>
              <w:t>4 steps</w:t>
            </w:r>
          </w:p>
        </w:tc>
        <w:tc>
          <w:tcPr>
            <w:tcW w:w="781" w:type="dxa"/>
            <w:tcBorders/>
          </w:tcPr>
          <w:p>
            <w:pPr>
              <w:pStyle w:val="Normal"/>
              <w:spacing w:before="80" w:after="80"/>
              <w:jc w:val="start"/>
              <w:rPr/>
            </w:pPr>
            <w:r>
              <w:rPr/>
              <w:t>1 step</w:t>
            </w:r>
          </w:p>
        </w:tc>
        <w:tc>
          <w:tcPr>
            <w:tcW w:w="780" w:type="dxa"/>
            <w:tcBorders/>
          </w:tcPr>
          <w:p>
            <w:pPr>
              <w:pStyle w:val="Normal"/>
              <w:spacing w:before="80" w:after="80"/>
              <w:jc w:val="start"/>
              <w:rPr/>
            </w:pPr>
            <w:r>
              <w:rPr/>
              <w:t>4 steps</w:t>
            </w:r>
          </w:p>
        </w:tc>
        <w:tc>
          <w:tcPr>
            <w:tcW w:w="779" w:type="dxa"/>
            <w:tcBorders/>
          </w:tcPr>
          <w:p>
            <w:pPr>
              <w:pStyle w:val="Normal"/>
              <w:spacing w:before="80" w:after="80"/>
              <w:jc w:val="start"/>
              <w:rPr/>
            </w:pPr>
            <w:r>
              <w:rPr/>
              <w:t>32.6 px/mm</w:t>
            </w:r>
          </w:p>
        </w:tc>
        <w:tc>
          <w:tcPr>
            <w:tcW w:w="781" w:type="dxa"/>
            <w:tcBorders/>
          </w:tcPr>
          <w:p>
            <w:pPr>
              <w:pStyle w:val="Normal"/>
              <w:spacing w:before="80" w:after="80"/>
              <w:jc w:val="start"/>
              <w:rPr/>
            </w:pPr>
            <w:r>
              <w:rPr/>
              <w:t>23.4 px/mm</w:t>
            </w:r>
          </w:p>
        </w:tc>
        <w:tc>
          <w:tcPr>
            <w:tcW w:w="780" w:type="dxa"/>
            <w:tcBorders/>
          </w:tcPr>
          <w:p>
            <w:pPr>
              <w:pStyle w:val="Normal"/>
              <w:spacing w:before="80" w:after="80"/>
              <w:jc w:val="start"/>
              <w:rPr/>
            </w:pPr>
            <w:r>
              <w:rPr/>
              <w:t>31.4 mm</w:t>
            </w:r>
          </w:p>
        </w:tc>
        <w:tc>
          <w:tcPr>
            <w:tcW w:w="779" w:type="dxa"/>
            <w:tcBorders/>
          </w:tcPr>
          <w:p>
            <w:pPr>
              <w:pStyle w:val="Normal"/>
              <w:spacing w:before="80" w:after="80"/>
              <w:jc w:val="start"/>
              <w:rPr/>
            </w:pPr>
            <w:r>
              <w:rPr/>
              <w:t>21 (3 × 7)</w:t>
            </w:r>
          </w:p>
        </w:tc>
        <w:tc>
          <w:tcPr>
            <w:tcW w:w="781" w:type="dxa"/>
            <w:tcBorders/>
          </w:tcPr>
          <w:p>
            <w:pPr>
              <w:spacing w:before="80" w:after="80"/>
            </w:pPr>
            <w:r>
              <w:t>$226,800</w:t>
            </w:r>
          </w:p>
        </w:tc>
        <w:tc>
          <w:tcPr>
            <w:tcW w:w="780" w:type="dxa"/>
            <w:tcBorders/>
          </w:tcPr>
          <w:p>
            <w:pPr>
              <w:pStyle w:val="Normal"/>
              <w:spacing w:before="80" w:after="80"/>
              <w:jc w:val="start"/>
              <w:rPr/>
            </w:pPr>
            <w:r>
              <w:rPr/>
              <w:t>26.2s (+20s to +30s)</w:t>
            </w:r>
          </w:p>
        </w:tc>
      </w:tr>
    </w:tbl>
    <w:p>
      <w:pPr>
        <w:pStyle w:val="Normal"/>
        <w:rPr/>
      </w:pPr>
      <w:r>
        <w:rPr/>
      </w:r>
    </w:p>
    <w:p>
      <w:pPr>
        <w:pStyle w:val="Normal"/>
        <w:keepNext w:val="true"/>
        <w:spacing w:before="240" w:after="80"/>
        <w:rPr/>
      </w:pPr>
      <w:r>
        <w:rPr>
          <w:b/>
        </w:rPr>
        <w:t>Model 2: Option B — Turntable Scanning Gantry</w:t>
      </w:r>
    </w:p>
    <w:p>
      <w:pPr>
        <w:pStyle w:val="ListBullet"/>
        <w:numPr>
          <w:ilvl w:val="0"/>
          <w:numId w:val="1"/>
        </w:numPr>
        <w:spacing w:lineRule="auto" w:line="276" w:before="0" w:after="60"/>
        <w:contextualSpacing/>
        <w:rPr/>
      </w:pPr>
      <w:r>
        <w:rPr>
          <w:color w:val="000000"/>
        </w:rPr>
        <w:t>Mechanical: Static columns with motorized vertical carriages; patient stands on a rotating turntable.</w:t>
      </w:r>
    </w:p>
    <w:p>
      <w:pPr>
        <w:pStyle w:val="ListBullet"/>
        <w:numPr>
          <w:ilvl w:val="0"/>
          <w:numId w:val="1"/>
        </w:numPr>
        <w:spacing w:lineRule="auto" w:line="276" w:before="0" w:after="60"/>
        <w:contextualSpacing/>
        <w:rPr/>
      </w:pPr>
      <w:r>
        <w:rPr>
          <w:color w:val="000000"/>
        </w:rPr>
        <w:t>Acquisition: Turntable rotates patient to 4 poses (0°, 90°, 180°, 270°); carriages sweep vertically at each stop.</w:t>
      </w:r>
    </w:p>
    <w:p>
      <w:pPr>
        <w:pStyle w:val="ListBullet"/>
        <w:numPr>
          <w:ilvl w:val="0"/>
          <w:numId w:val="1"/>
        </w:numPr>
        <w:spacing w:lineRule="auto" w:line="276" w:before="0" w:after="60"/>
        <w:contextualSpacing/>
        <w:rPr/>
      </w:pPr>
      <w:r>
        <w:rPr>
          <w:color w:val="000000"/>
        </w:rPr>
        <w:t>Cost: Low camera count, low BOM cost.</w:t>
      </w:r>
    </w:p>
    <w:p>
      <w:pPr>
        <w:pStyle w:val="ListBullet"/>
        <w:numPr>
          <w:ilvl w:val="0"/>
          <w:numId w:val="1"/>
        </w:numPr>
        <w:spacing w:lineRule="auto" w:line="276" w:before="0" w:after="60"/>
        <w:contextualSpacing/>
        <w:rPr/>
      </w:pPr>
      <w:r>
        <w:rPr>
          <w:color w:val="000000"/>
        </w:rPr>
        <w:t>Patient Pose Guidelines: Patient must dynamically adjust leg stance (forward/backward) and stretch hands based on the active camera pose location to prevent occlusions.</w:t>
      </w:r>
    </w:p>
    <w:p>
      <w:pPr>
        <w:pStyle w:val="ListBullet"/>
        <w:numPr>
          <w:ilvl w:val="0"/>
          <w:numId w:val="1"/>
        </w:numPr>
        <w:spacing w:lineRule="auto" w:line="276" w:before="0" w:after="60"/>
        <w:contextualSpacing/>
        <w:rPr/>
      </w:pPr>
      <w:r>
        <w:rPr>
          <w:color w:val="000000"/>
        </w:rPr>
        <w:t>Timing Considerations: Scan time is dependent on turntable rotation speed and vertical carriage travel steps. Baselines assume 5.0s turntable rotation time and 2.0s settle time per vertical sweep step.</w:t>
      </w:r>
    </w:p>
    <w:p>
      <w:pPr>
        <w:pStyle w:val="Normal"/>
        <w:spacing w:lineRule="auto" w:line="276" w:before="120" w:after="80"/>
        <w:rPr/>
      </w:pPr>
      <w:r>
        <w:rPr>
          <w:b/>
        </w:rPr>
        <w:t>Sensor Optimization Matrix (Target: 30 px/mm, CoC = 25 µm, Aperture = f/8, Carriage Travel):</w:t>
      </w:r>
    </w:p>
    <w:tbl>
      <w:tblPr>
        <w:tblStyle w:val="TableGrid"/>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779"/>
        <w:gridCol w:w="781"/>
        <w:gridCol w:w="780"/>
        <w:gridCol w:w="779"/>
        <w:gridCol w:w="781"/>
        <w:gridCol w:w="780"/>
        <w:gridCol w:w="779"/>
        <w:gridCol w:w="781"/>
        <w:gridCol w:w="780"/>
        <w:gridCol w:w="779"/>
        <w:gridCol w:w="781"/>
        <w:gridCol w:w="780"/>
      </w:tblGrid>
      <w:tr>
        <w:trPr/>
        <w:tc>
          <w:tcPr>
            <w:tcW w:w="779" w:type="dxa"/>
            <w:tcBorders/>
          </w:tcPr>
          <w:p>
            <w:pPr>
              <w:pStyle w:val="Normal"/>
              <w:widowControl/>
              <w:suppressAutoHyphens w:val="true"/>
              <w:bidi w:val="0"/>
              <w:spacing w:lineRule="auto" w:line="276" w:before="80" w:after="80"/>
              <w:jc w:val="start"/>
              <w:rPr/>
            </w:pPr>
            <w:r>
              <w:rPr>
                <w:b/>
                <w:color w:val="000000"/>
                <w:sz w:val="16"/>
              </w:rPr>
              <w:t>Sensor Profile</w:t>
            </w:r>
          </w:p>
        </w:tc>
        <w:tc>
          <w:tcPr>
            <w:tcW w:w="781" w:type="dxa"/>
            <w:tcBorders/>
          </w:tcPr>
          <w:p>
            <w:pPr>
              <w:pStyle w:val="Normal"/>
              <w:widowControl/>
              <w:suppressAutoHyphens w:val="true"/>
              <w:bidi w:val="0"/>
              <w:spacing w:lineRule="auto" w:line="276" w:before="80" w:after="80"/>
              <w:jc w:val="start"/>
              <w:rPr/>
            </w:pPr>
            <w:r>
              <w:rPr>
                <w:b/>
                <w:color w:val="000000"/>
                <w:sz w:val="16"/>
              </w:rPr>
              <w:t>FOV (W×H)</w:t>
            </w:r>
          </w:p>
        </w:tc>
        <w:tc>
          <w:tcPr>
            <w:tcW w:w="780" w:type="dxa"/>
            <w:tcBorders/>
          </w:tcPr>
          <w:p>
            <w:pPr>
              <w:pStyle w:val="Normal"/>
              <w:widowControl/>
              <w:suppressAutoHyphens w:val="true"/>
              <w:bidi w:val="0"/>
              <w:spacing w:lineRule="auto" w:line="276" w:before="80" w:after="80"/>
              <w:jc w:val="start"/>
              <w:rPr/>
            </w:pPr>
            <w:r>
              <w:rPr>
                <w:b/>
                <w:color w:val="000000"/>
                <w:sz w:val="16"/>
              </w:rPr>
              <w:t>Total Array FOV</w:t>
            </w:r>
          </w:p>
        </w:tc>
        <w:tc>
          <w:tcPr>
            <w:tcW w:w="779" w:type="dxa"/>
            <w:tcBorders/>
          </w:tcPr>
          <w:p>
            <w:pPr>
              <w:pStyle w:val="Normal"/>
              <w:widowControl/>
              <w:suppressAutoHyphens w:val="true"/>
              <w:bidi w:val="0"/>
              <w:spacing w:lineRule="auto" w:line="276" w:before="80" w:after="80"/>
              <w:jc w:val="start"/>
              <w:rPr/>
            </w:pPr>
            <w:r>
              <w:rPr>
                <w:b/>
                <w:color w:val="000000"/>
                <w:sz w:val="16"/>
              </w:rPr>
              <w:t>Horiz Steps</w:t>
            </w:r>
          </w:p>
        </w:tc>
        <w:tc>
          <w:tcPr>
            <w:tcW w:w="781" w:type="dxa"/>
            <w:tcBorders/>
          </w:tcPr>
          <w:p>
            <w:pPr>
              <w:pStyle w:val="Normal"/>
              <w:widowControl/>
              <w:suppressAutoHyphens w:val="true"/>
              <w:bidi w:val="0"/>
              <w:spacing w:lineRule="auto" w:line="276" w:before="80" w:after="80"/>
              <w:jc w:val="start"/>
              <w:rPr/>
            </w:pPr>
            <w:r>
              <w:rPr>
                <w:b/>
                <w:color w:val="000000"/>
                <w:sz w:val="16"/>
              </w:rPr>
              <w:t>Vert Steps</w:t>
            </w:r>
          </w:p>
        </w:tc>
        <w:tc>
          <w:tcPr>
            <w:tcW w:w="780" w:type="dxa"/>
            <w:tcBorders/>
          </w:tcPr>
          <w:p>
            <w:pPr>
              <w:pStyle w:val="Normal"/>
              <w:widowControl/>
              <w:suppressAutoHyphens w:val="true"/>
              <w:bidi w:val="0"/>
              <w:spacing w:lineRule="auto" w:line="276" w:before="80" w:after="80"/>
              <w:jc w:val="start"/>
              <w:rPr/>
            </w:pPr>
            <w:r>
              <w:rPr>
                <w:b/>
                <w:color w:val="000000"/>
                <w:sz w:val="16"/>
              </w:rPr>
              <w:t>Combined Steps</w:t>
            </w:r>
          </w:p>
        </w:tc>
        <w:tc>
          <w:tcPr>
            <w:tcW w:w="779" w:type="dxa"/>
            <w:tcBorders/>
          </w:tcPr>
          <w:p>
            <w:pPr>
              <w:pStyle w:val="Normal"/>
              <w:widowControl/>
              <w:suppressAutoHyphens w:val="true"/>
              <w:bidi w:val="0"/>
              <w:spacing w:lineRule="auto" w:line="276" w:before="80" w:after="80"/>
              <w:jc w:val="start"/>
              <w:rPr/>
            </w:pPr>
            <w:r>
              <w:rPr/>
              <w:t>Avg Env Density</w:t>
            </w:r>
          </w:p>
        </w:tc>
        <w:tc>
          <w:tcPr>
            <w:tcW w:w="781" w:type="dxa"/>
            <w:tcBorders/>
          </w:tcPr>
          <w:p>
            <w:pPr>
              <w:pStyle w:val="Normal"/>
              <w:widowControl/>
              <w:suppressAutoHyphens w:val="true"/>
              <w:bidi w:val="0"/>
              <w:spacing w:lineRule="auto" w:line="276" w:before="80" w:after="80"/>
              <w:jc w:val="start"/>
              <w:rPr/>
            </w:pPr>
            <w:r>
              <w:rPr/>
              <w:t>Lowest Env Density</w:t>
            </w:r>
          </w:p>
        </w:tc>
        <w:tc>
          <w:tcPr>
            <w:tcW w:w="780" w:type="dxa"/>
            <w:tcBorders/>
          </w:tcPr>
          <w:p>
            <w:pPr>
              <w:pStyle w:val="Normal"/>
              <w:widowControl/>
              <w:suppressAutoHyphens w:val="true"/>
              <w:bidi w:val="0"/>
              <w:spacing w:lineRule="auto" w:line="276" w:before="80" w:after="80"/>
              <w:jc w:val="start"/>
              <w:rPr/>
            </w:pPr>
            <w:r>
              <w:rPr>
                <w:b/>
                <w:color w:val="000000"/>
                <w:sz w:val="16"/>
              </w:rPr>
              <w:t>DoF (CoC=25µm)</w:t>
            </w:r>
          </w:p>
        </w:tc>
        <w:tc>
          <w:tcPr>
            <w:tcW w:w="779" w:type="dxa"/>
            <w:tcBorders/>
          </w:tcPr>
          <w:p>
            <w:pPr>
              <w:pStyle w:val="Normal"/>
              <w:widowControl/>
              <w:suppressAutoHyphens w:val="true"/>
              <w:bidi w:val="0"/>
              <w:spacing w:lineRule="auto" w:line="276" w:before="80" w:after="80"/>
              <w:jc w:val="start"/>
              <w:rPr/>
            </w:pPr>
            <w:r>
              <w:rPr>
                <w:b/>
                <w:color w:val="000000"/>
                <w:sz w:val="16"/>
              </w:rPr>
              <w:t>Cams Needed</w:t>
            </w:r>
          </w:p>
        </w:tc>
        <w:tc>
          <w:tcPr>
            <w:tcW w:w="781" w:type="dxa"/>
            <w:tcBorders/>
          </w:tcPr>
          <w:p>
            <w:pPr>
              <w:pStyle w:val="Normal"/>
              <w:widowControl/>
              <w:suppressAutoHyphens w:val="true"/>
              <w:bidi w:val="0"/>
              <w:spacing w:lineRule="auto" w:line="276" w:before="80" w:after="80"/>
              <w:jc w:val="start"/>
              <w:rPr/>
            </w:pPr>
            <w:r>
              <w:rPr>
                <w:b/>
                <w:color w:val="000000"/>
                <w:sz w:val="16"/>
              </w:rPr>
              <w:t>Total Cost</w:t>
            </w:r>
          </w:p>
        </w:tc>
        <w:tc>
          <w:tcPr>
            <w:tcW w:w="780" w:type="dxa"/>
            <w:tcBorders/>
          </w:tcPr>
          <w:p>
            <w:pPr>
              <w:pStyle w:val="Normal"/>
              <w:widowControl/>
              <w:suppressAutoHyphens w:val="true"/>
              <w:bidi w:val="0"/>
              <w:spacing w:lineRule="auto" w:line="276" w:before="80" w:after="80"/>
              <w:jc w:val="start"/>
              <w:rPr/>
            </w:pPr>
            <w:r>
              <w:rPr>
                <w:b/>
                <w:color w:val="000000"/>
                <w:sz w:val="16"/>
              </w:rPr>
              <w:t>Scan Time</w:t>
            </w:r>
          </w:p>
        </w:tc>
      </w:tr>
      <w:tr>
        <w:trPr/>
        <w:tc>
          <w:tcPr>
            <w:tcW w:w="779" w:type="dxa"/>
            <w:tcBorders/>
          </w:tcPr>
          <w:p>
            <w:pPr>
              <w:pStyle w:val="Normal"/>
              <w:widowControl/>
              <w:suppressAutoHyphens w:val="true"/>
              <w:bidi w:val="0"/>
              <w:spacing w:lineRule="auto" w:line="276" w:before="80" w:after="80"/>
              <w:jc w:val="start"/>
              <w:rPr/>
            </w:pPr>
            <w:r>
              <w:rPr>
                <w:color w:val="000000"/>
                <w:sz w:val="15"/>
              </w:rPr>
              <w:t>GMAX3265 (65.4MP)</w:t>
            </w:r>
          </w:p>
        </w:tc>
        <w:tc>
          <w:tcPr>
            <w:tcW w:w="781" w:type="dxa"/>
            <w:tcBorders/>
          </w:tcPr>
          <w:p>
            <w:pPr>
              <w:pStyle w:val="Normal"/>
              <w:widowControl/>
              <w:suppressAutoHyphens w:val="true"/>
              <w:bidi w:val="0"/>
              <w:spacing w:lineRule="auto" w:line="276" w:before="80" w:after="80"/>
              <w:jc w:val="start"/>
              <w:rPr/>
            </w:pPr>
            <w:r>
              <w:rPr>
                <w:color w:val="000000"/>
                <w:sz w:val="15"/>
              </w:rPr>
              <w:t>311mm × 233mm</w:t>
            </w:r>
          </w:p>
        </w:tc>
        <w:tc>
          <w:tcPr>
            <w:tcW w:w="780" w:type="dxa"/>
            <w:tcBorders/>
          </w:tcPr>
          <w:p>
            <w:pPr>
              <w:pStyle w:val="Normal"/>
              <w:widowControl/>
              <w:suppressAutoHyphens w:val="true"/>
              <w:bidi w:val="0"/>
              <w:spacing w:lineRule="auto" w:line="276" w:before="80" w:after="80"/>
              <w:jc w:val="start"/>
              <w:rPr/>
            </w:pPr>
            <w:r>
              <w:rPr>
                <w:color w:val="000000"/>
                <w:sz w:val="15"/>
              </w:rPr>
              <w:t>1057mm × 594mm</w:t>
            </w:r>
          </w:p>
        </w:tc>
        <w:tc>
          <w:tcPr>
            <w:tcW w:w="779" w:type="dxa"/>
            <w:tcBorders/>
          </w:tcPr>
          <w:p>
            <w:pPr>
              <w:pStyle w:val="Normal"/>
              <w:widowControl/>
              <w:suppressAutoHyphens w:val="true"/>
              <w:bidi w:val="0"/>
              <w:spacing w:lineRule="auto" w:line="276" w:before="80" w:after="80"/>
              <w:jc w:val="start"/>
              <w:rPr/>
            </w:pPr>
            <w:r>
              <w:rPr>
                <w:color w:val="000000"/>
                <w:sz w:val="15"/>
              </w:rPr>
              <w:t>4 steps</w:t>
            </w:r>
          </w:p>
        </w:tc>
        <w:tc>
          <w:tcPr>
            <w:tcW w:w="781" w:type="dxa"/>
            <w:tcBorders/>
          </w:tcPr>
          <w:p>
            <w:pPr>
              <w:pStyle w:val="Normal"/>
              <w:widowControl/>
              <w:suppressAutoHyphens w:val="true"/>
              <w:bidi w:val="0"/>
              <w:spacing w:lineRule="auto" w:line="276" w:before="80" w:after="80"/>
              <w:jc w:val="start"/>
              <w:rPr/>
            </w:pPr>
            <w:r>
              <w:rPr>
                <w:color w:val="000000"/>
                <w:sz w:val="15"/>
              </w:rPr>
              <w:t>9 steps</w:t>
            </w:r>
          </w:p>
        </w:tc>
        <w:tc>
          <w:tcPr>
            <w:tcW w:w="780" w:type="dxa"/>
            <w:tcBorders/>
          </w:tcPr>
          <w:p>
            <w:pPr>
              <w:pStyle w:val="Normal"/>
              <w:widowControl/>
              <w:suppressAutoHyphens w:val="true"/>
              <w:bidi w:val="0"/>
              <w:spacing w:lineRule="auto" w:line="276" w:before="80" w:after="80"/>
              <w:jc w:val="start"/>
              <w:rPr/>
            </w:pPr>
            <w:r>
              <w:rPr>
                <w:color w:val="000000"/>
                <w:sz w:val="15"/>
              </w:rPr>
              <w:t>36 steps</w:t>
            </w:r>
          </w:p>
        </w:tc>
        <w:tc>
          <w:tcPr>
            <w:tcW w:w="779" w:type="dxa"/>
            <w:tcBorders/>
          </w:tcPr>
          <w:p>
            <w:pPr>
              <w:pStyle w:val="Normal"/>
              <w:widowControl/>
              <w:suppressAutoHyphens w:val="true"/>
              <w:bidi w:val="0"/>
              <w:spacing w:lineRule="auto" w:line="276" w:before="80" w:after="80"/>
              <w:jc w:val="start"/>
              <w:rPr/>
            </w:pPr>
            <w:r>
              <w:rPr>
                <w:color w:val="000000"/>
                <w:sz w:val="15"/>
              </w:rPr>
              <w:t>31.5 px/mm</w:t>
            </w:r>
          </w:p>
        </w:tc>
        <w:tc>
          <w:tcPr>
            <w:tcW w:w="781" w:type="dxa"/>
            <w:tcBorders/>
          </w:tcPr>
          <w:p>
            <w:pPr>
              <w:pStyle w:val="Normal"/>
              <w:widowControl/>
              <w:suppressAutoHyphens w:val="true"/>
              <w:bidi w:val="0"/>
              <w:spacing w:lineRule="auto" w:line="276" w:before="80" w:after="80"/>
              <w:jc w:val="start"/>
              <w:rPr/>
            </w:pPr>
            <w:r>
              <w:rPr>
                <w:color w:val="000000"/>
                <w:sz w:val="15"/>
              </w:rPr>
              <w:t>24.7 px/mm</w:t>
            </w:r>
          </w:p>
        </w:tc>
        <w:tc>
          <w:tcPr>
            <w:tcW w:w="780" w:type="dxa"/>
            <w:tcBorders/>
          </w:tcPr>
          <w:p>
            <w:pPr>
              <w:pStyle w:val="Normal"/>
              <w:widowControl/>
              <w:suppressAutoHyphens w:val="true"/>
              <w:bidi w:val="0"/>
              <w:spacing w:lineRule="auto" w:line="276" w:before="80" w:after="80"/>
              <w:jc w:val="start"/>
              <w:rPr/>
            </w:pPr>
            <w:r>
              <w:rPr>
                <w:color w:val="000000"/>
                <w:sz w:val="15"/>
              </w:rPr>
              <w:t>82.8 mm</w:t>
            </w:r>
          </w:p>
        </w:tc>
        <w:tc>
          <w:tcPr>
            <w:tcW w:w="779" w:type="dxa"/>
            <w:tcBorders/>
          </w:tcPr>
          <w:p>
            <w:pPr>
              <w:pStyle w:val="Normal"/>
              <w:widowControl/>
              <w:suppressAutoHyphens w:val="true"/>
              <w:bidi w:val="0"/>
              <w:spacing w:lineRule="auto" w:line="276" w:before="80" w:after="80"/>
              <w:jc w:val="start"/>
              <w:rPr/>
            </w:pPr>
            <w:r>
              <w:rPr>
                <w:color w:val="000000"/>
                <w:sz w:val="15"/>
              </w:rPr>
              <w:t>12 (4 × 3)</w:t>
            </w:r>
          </w:p>
        </w:tc>
        <w:tc>
          <w:tcPr>
            <w:tcW w:w="781" w:type="dxa"/>
            <w:tcBorders/>
          </w:tcPr>
          <w:p>
            <w:pPr>
              <w:spacing w:before="80" w:after="80"/>
            </w:pPr>
            <w:r>
              <w:t>$106,200</w:t>
            </w:r>
          </w:p>
        </w:tc>
        <w:tc>
          <w:tcPr>
            <w:tcW w:w="780" w:type="dxa"/>
            <w:tcBorders/>
          </w:tcPr>
          <w:p>
            <w:pPr>
              <w:pStyle w:val="Normal"/>
              <w:widowControl/>
              <w:suppressAutoHyphens w:val="true"/>
              <w:bidi w:val="0"/>
              <w:spacing w:lineRule="auto" w:line="276" w:before="80" w:after="80"/>
              <w:jc w:val="start"/>
              <w:rPr/>
            </w:pPr>
            <w:r>
              <w:rPr>
                <w:color w:val="000000"/>
                <w:sz w:val="15"/>
              </w:rPr>
              <w:t>115.8s (+20s to +30s)</w:t>
            </w:r>
          </w:p>
        </w:tc>
      </w:tr>
      <w:tr>
        <w:trPr/>
        <w:tc>
          <w:tcPr>
            <w:tcW w:w="779" w:type="dxa"/>
            <w:tcBorders/>
          </w:tcPr>
          <w:p>
            <w:pPr>
              <w:pStyle w:val="Normal"/>
              <w:widowControl/>
              <w:suppressAutoHyphens w:val="true"/>
              <w:bidi w:val="0"/>
              <w:spacing w:lineRule="auto" w:line="276" w:before="80" w:after="80"/>
              <w:jc w:val="start"/>
              <w:rPr/>
            </w:pPr>
            <w:r>
              <w:rPr>
                <w:color w:val="000000"/>
                <w:sz w:val="15"/>
              </w:rPr>
              <w:t>IMX927/IMX937 (105MP)</w:t>
            </w:r>
          </w:p>
        </w:tc>
        <w:tc>
          <w:tcPr>
            <w:tcW w:w="781" w:type="dxa"/>
            <w:tcBorders/>
          </w:tcPr>
          <w:p>
            <w:pPr>
              <w:pStyle w:val="Normal"/>
              <w:widowControl/>
              <w:suppressAutoHyphens w:val="true"/>
              <w:bidi w:val="0"/>
              <w:spacing w:lineRule="auto" w:line="276" w:before="80" w:after="80"/>
              <w:jc w:val="start"/>
              <w:rPr/>
            </w:pPr>
            <w:r>
              <w:rPr>
                <w:color w:val="000000"/>
                <w:sz w:val="15"/>
              </w:rPr>
              <w:t>341mm × 341mm</w:t>
            </w:r>
          </w:p>
        </w:tc>
        <w:tc>
          <w:tcPr>
            <w:tcW w:w="780" w:type="dxa"/>
            <w:tcBorders/>
          </w:tcPr>
          <w:p>
            <w:pPr>
              <w:pStyle w:val="Normal"/>
              <w:widowControl/>
              <w:suppressAutoHyphens w:val="true"/>
              <w:bidi w:val="0"/>
              <w:spacing w:lineRule="auto" w:line="276" w:before="80" w:after="80"/>
              <w:jc w:val="start"/>
              <w:rPr/>
            </w:pPr>
            <w:r>
              <w:rPr>
                <w:color w:val="000000"/>
                <w:sz w:val="15"/>
              </w:rPr>
              <w:t>1159mm × 870mm</w:t>
            </w:r>
          </w:p>
        </w:tc>
        <w:tc>
          <w:tcPr>
            <w:tcW w:w="779" w:type="dxa"/>
            <w:tcBorders/>
          </w:tcPr>
          <w:p>
            <w:pPr>
              <w:pStyle w:val="Normal"/>
              <w:widowControl/>
              <w:suppressAutoHyphens w:val="true"/>
              <w:bidi w:val="0"/>
              <w:spacing w:lineRule="auto" w:line="276" w:before="80" w:after="80"/>
              <w:jc w:val="start"/>
              <w:rPr/>
            </w:pPr>
            <w:r>
              <w:rPr>
                <w:color w:val="000000"/>
                <w:sz w:val="15"/>
              </w:rPr>
              <w:t>4 steps</w:t>
            </w:r>
          </w:p>
        </w:tc>
        <w:tc>
          <w:tcPr>
            <w:tcW w:w="781" w:type="dxa"/>
            <w:tcBorders/>
          </w:tcPr>
          <w:p>
            <w:pPr>
              <w:pStyle w:val="Normal"/>
              <w:widowControl/>
              <w:suppressAutoHyphens w:val="true"/>
              <w:bidi w:val="0"/>
              <w:spacing w:lineRule="auto" w:line="276" w:before="80" w:after="80"/>
              <w:jc w:val="start"/>
              <w:rPr/>
            </w:pPr>
            <w:r>
              <w:rPr>
                <w:color w:val="000000"/>
                <w:sz w:val="15"/>
              </w:rPr>
              <w:t>5 steps</w:t>
            </w:r>
          </w:p>
        </w:tc>
        <w:tc>
          <w:tcPr>
            <w:tcW w:w="780" w:type="dxa"/>
            <w:tcBorders/>
          </w:tcPr>
          <w:p>
            <w:pPr>
              <w:pStyle w:val="Normal"/>
              <w:widowControl/>
              <w:suppressAutoHyphens w:val="true"/>
              <w:bidi w:val="0"/>
              <w:spacing w:lineRule="auto" w:line="276" w:before="80" w:after="80"/>
              <w:jc w:val="start"/>
              <w:rPr/>
            </w:pPr>
            <w:r>
              <w:rPr>
                <w:color w:val="000000"/>
                <w:sz w:val="15"/>
              </w:rPr>
              <w:t>20 steps</w:t>
            </w:r>
          </w:p>
        </w:tc>
        <w:tc>
          <w:tcPr>
            <w:tcW w:w="779" w:type="dxa"/>
            <w:tcBorders/>
          </w:tcPr>
          <w:p>
            <w:pPr>
              <w:pStyle w:val="Normal"/>
              <w:widowControl/>
              <w:suppressAutoHyphens w:val="true"/>
              <w:bidi w:val="0"/>
              <w:spacing w:lineRule="auto" w:line="276" w:before="80" w:after="80"/>
              <w:jc w:val="start"/>
              <w:rPr/>
            </w:pPr>
            <w:r>
              <w:rPr>
                <w:color w:val="000000"/>
                <w:sz w:val="15"/>
              </w:rPr>
              <w:t>31.3 px/mm</w:t>
            </w:r>
          </w:p>
        </w:tc>
        <w:tc>
          <w:tcPr>
            <w:tcW w:w="781" w:type="dxa"/>
            <w:tcBorders/>
          </w:tcPr>
          <w:p>
            <w:pPr>
              <w:pStyle w:val="Normal"/>
              <w:widowControl/>
              <w:suppressAutoHyphens w:val="true"/>
              <w:bidi w:val="0"/>
              <w:spacing w:lineRule="auto" w:line="276" w:before="80" w:after="80"/>
              <w:jc w:val="start"/>
              <w:rPr/>
            </w:pPr>
            <w:r>
              <w:rPr>
                <w:color w:val="000000"/>
                <w:sz w:val="15"/>
              </w:rPr>
              <w:t>24.9 px/mm</w:t>
            </w:r>
          </w:p>
        </w:tc>
        <w:tc>
          <w:tcPr>
            <w:tcW w:w="780" w:type="dxa"/>
            <w:tcBorders/>
          </w:tcPr>
          <w:p>
            <w:pPr>
              <w:pStyle w:val="Normal"/>
              <w:widowControl/>
              <w:suppressAutoHyphens w:val="true"/>
              <w:bidi w:val="0"/>
              <w:spacing w:lineRule="auto" w:line="276" w:before="80" w:after="80"/>
              <w:jc w:val="start"/>
              <w:rPr/>
            </w:pPr>
            <w:r>
              <w:rPr>
                <w:color w:val="000000"/>
                <w:sz w:val="15"/>
              </w:rPr>
              <w:t>98.0 mm</w:t>
            </w:r>
          </w:p>
        </w:tc>
        <w:tc>
          <w:tcPr>
            <w:tcW w:w="779" w:type="dxa"/>
            <w:tcBorders/>
          </w:tcPr>
          <w:p>
            <w:pPr>
              <w:pStyle w:val="Normal"/>
              <w:widowControl/>
              <w:suppressAutoHyphens w:val="true"/>
              <w:bidi w:val="0"/>
              <w:spacing w:lineRule="auto" w:line="276" w:before="80" w:after="80"/>
              <w:jc w:val="start"/>
              <w:rPr/>
            </w:pPr>
            <w:r>
              <w:rPr>
                <w:color w:val="000000"/>
                <w:sz w:val="15"/>
              </w:rPr>
              <w:t>9 (3 × 3)</w:t>
            </w:r>
          </w:p>
        </w:tc>
        <w:tc>
          <w:tcPr>
            <w:tcW w:w="781" w:type="dxa"/>
            <w:tcBorders/>
          </w:tcPr>
          <w:p>
            <w:pPr>
              <w:spacing w:before="80" w:after="80"/>
            </w:pPr>
            <w:r>
              <w:t>$152,955</w:t>
            </w:r>
          </w:p>
        </w:tc>
        <w:tc>
          <w:tcPr>
            <w:tcW w:w="780" w:type="dxa"/>
            <w:tcBorders/>
          </w:tcPr>
          <w:p>
            <w:pPr>
              <w:pStyle w:val="Normal"/>
              <w:widowControl/>
              <w:suppressAutoHyphens w:val="true"/>
              <w:bidi w:val="0"/>
              <w:spacing w:lineRule="auto" w:line="276" w:before="80" w:after="80"/>
              <w:jc w:val="start"/>
              <w:rPr/>
            </w:pPr>
            <w:r>
              <w:rPr>
                <w:color w:val="000000"/>
                <w:sz w:val="15"/>
              </w:rPr>
              <w:t>71.4s (+20s to +30s)</w:t>
            </w:r>
          </w:p>
        </w:tc>
      </w:tr>
      <w:tr>
        <w:trPr/>
        <w:tc>
          <w:tcPr>
            <w:tcW w:w="779" w:type="dxa"/>
            <w:tcBorders/>
          </w:tcPr>
          <w:p>
            <w:pPr>
              <w:pStyle w:val="Normal"/>
              <w:widowControl/>
              <w:suppressAutoHyphens w:val="true"/>
              <w:bidi w:val="0"/>
              <w:spacing w:lineRule="auto" w:line="276" w:before="80" w:after="80"/>
              <w:jc w:val="start"/>
              <w:rPr/>
            </w:pPr>
            <w:r>
              <w:rPr>
                <w:color w:val="000000"/>
                <w:sz w:val="15"/>
              </w:rPr>
              <w:t>Sony IMX661 (127.7MP)</w:t>
            </w:r>
          </w:p>
        </w:tc>
        <w:tc>
          <w:tcPr>
            <w:tcW w:w="781" w:type="dxa"/>
            <w:tcBorders/>
          </w:tcPr>
          <w:p>
            <w:pPr>
              <w:pStyle w:val="Normal"/>
              <w:widowControl/>
              <w:suppressAutoHyphens w:val="true"/>
              <w:bidi w:val="0"/>
              <w:spacing w:lineRule="auto" w:line="276" w:before="80" w:after="80"/>
              <w:jc w:val="start"/>
              <w:rPr/>
            </w:pPr>
            <w:r>
              <w:rPr>
                <w:color w:val="000000"/>
                <w:sz w:val="15"/>
              </w:rPr>
              <w:t>445mm × 317mm</w:t>
            </w:r>
          </w:p>
        </w:tc>
        <w:tc>
          <w:tcPr>
            <w:tcW w:w="780" w:type="dxa"/>
            <w:tcBorders/>
          </w:tcPr>
          <w:p>
            <w:pPr>
              <w:pStyle w:val="Normal"/>
              <w:widowControl/>
              <w:suppressAutoHyphens w:val="true"/>
              <w:bidi w:val="0"/>
              <w:spacing w:lineRule="auto" w:line="276" w:before="80" w:after="80"/>
              <w:jc w:val="start"/>
              <w:rPr/>
            </w:pPr>
            <w:r>
              <w:rPr>
                <w:color w:val="000000"/>
                <w:sz w:val="15"/>
              </w:rPr>
              <w:t>1133mm × 807mm</w:t>
            </w:r>
          </w:p>
        </w:tc>
        <w:tc>
          <w:tcPr>
            <w:tcW w:w="779" w:type="dxa"/>
            <w:tcBorders/>
          </w:tcPr>
          <w:p>
            <w:pPr>
              <w:pStyle w:val="Normal"/>
              <w:widowControl/>
              <w:suppressAutoHyphens w:val="true"/>
              <w:bidi w:val="0"/>
              <w:spacing w:lineRule="auto" w:line="276" w:before="80" w:after="80"/>
              <w:jc w:val="start"/>
              <w:rPr/>
            </w:pPr>
            <w:r>
              <w:rPr>
                <w:color w:val="000000"/>
                <w:sz w:val="15"/>
              </w:rPr>
              <w:t>4 steps</w:t>
            </w:r>
          </w:p>
        </w:tc>
        <w:tc>
          <w:tcPr>
            <w:tcW w:w="781" w:type="dxa"/>
            <w:tcBorders/>
          </w:tcPr>
          <w:p>
            <w:pPr>
              <w:pStyle w:val="Normal"/>
              <w:widowControl/>
              <w:suppressAutoHyphens w:val="true"/>
              <w:bidi w:val="0"/>
              <w:spacing w:lineRule="auto" w:line="276" w:before="80" w:after="80"/>
              <w:jc w:val="start"/>
              <w:rPr/>
            </w:pPr>
            <w:r>
              <w:rPr>
                <w:color w:val="000000"/>
                <w:sz w:val="15"/>
              </w:rPr>
              <w:t>6 steps</w:t>
            </w:r>
          </w:p>
        </w:tc>
        <w:tc>
          <w:tcPr>
            <w:tcW w:w="780" w:type="dxa"/>
            <w:tcBorders/>
          </w:tcPr>
          <w:p>
            <w:pPr>
              <w:pStyle w:val="Normal"/>
              <w:widowControl/>
              <w:suppressAutoHyphens w:val="true"/>
              <w:bidi w:val="0"/>
              <w:spacing w:lineRule="auto" w:line="276" w:before="80" w:after="80"/>
              <w:jc w:val="start"/>
              <w:rPr/>
            </w:pPr>
            <w:r>
              <w:rPr>
                <w:color w:val="000000"/>
                <w:sz w:val="15"/>
              </w:rPr>
              <w:t>24 steps</w:t>
            </w:r>
          </w:p>
        </w:tc>
        <w:tc>
          <w:tcPr>
            <w:tcW w:w="779" w:type="dxa"/>
            <w:tcBorders/>
          </w:tcPr>
          <w:p>
            <w:pPr>
              <w:pStyle w:val="Normal"/>
              <w:widowControl/>
              <w:suppressAutoHyphens w:val="true"/>
              <w:bidi w:val="0"/>
              <w:spacing w:lineRule="auto" w:line="276" w:before="80" w:after="80"/>
              <w:jc w:val="start"/>
              <w:rPr/>
            </w:pPr>
            <w:r>
              <w:rPr>
                <w:color w:val="000000"/>
                <w:sz w:val="15"/>
              </w:rPr>
              <w:t>32.2 px/mm</w:t>
            </w:r>
          </w:p>
        </w:tc>
        <w:tc>
          <w:tcPr>
            <w:tcW w:w="781" w:type="dxa"/>
            <w:tcBorders/>
          </w:tcPr>
          <w:p>
            <w:pPr>
              <w:pStyle w:val="Normal"/>
              <w:widowControl/>
              <w:suppressAutoHyphens w:val="true"/>
              <w:bidi w:val="0"/>
              <w:spacing w:lineRule="auto" w:line="276" w:before="80" w:after="80"/>
              <w:jc w:val="start"/>
              <w:rPr/>
            </w:pPr>
            <w:r>
              <w:rPr>
                <w:color w:val="000000"/>
                <w:sz w:val="15"/>
              </w:rPr>
              <w:t>23.8 px/mm</w:t>
            </w:r>
          </w:p>
        </w:tc>
        <w:tc>
          <w:tcPr>
            <w:tcW w:w="780" w:type="dxa"/>
            <w:tcBorders/>
          </w:tcPr>
          <w:p>
            <w:pPr>
              <w:pStyle w:val="Normal"/>
              <w:widowControl/>
              <w:suppressAutoHyphens w:val="true"/>
              <w:bidi w:val="0"/>
              <w:spacing w:lineRule="auto" w:line="276" w:before="80" w:after="80"/>
              <w:jc w:val="start"/>
              <w:rPr/>
            </w:pPr>
            <w:r>
              <w:rPr>
                <w:color w:val="000000"/>
                <w:sz w:val="15"/>
              </w:rPr>
              <w:t>41.1 mm</w:t>
            </w:r>
          </w:p>
        </w:tc>
        <w:tc>
          <w:tcPr>
            <w:tcW w:w="779" w:type="dxa"/>
            <w:tcBorders/>
          </w:tcPr>
          <w:p>
            <w:pPr>
              <w:pStyle w:val="Normal"/>
              <w:widowControl/>
              <w:suppressAutoHyphens w:val="true"/>
              <w:bidi w:val="0"/>
              <w:spacing w:lineRule="auto" w:line="276" w:before="80" w:after="80"/>
              <w:jc w:val="start"/>
              <w:rPr/>
            </w:pPr>
            <w:r>
              <w:rPr>
                <w:color w:val="000000"/>
                <w:sz w:val="15"/>
              </w:rPr>
              <w:t>9 (3 × 3)</w:t>
            </w:r>
          </w:p>
        </w:tc>
        <w:tc>
          <w:tcPr>
            <w:tcW w:w="781" w:type="dxa"/>
            <w:tcBorders/>
          </w:tcPr>
          <w:p>
            <w:pPr>
              <w:spacing w:before="80" w:after="80"/>
            </w:pPr>
            <w:r>
              <w:t>$85,500</w:t>
            </w:r>
          </w:p>
        </w:tc>
        <w:tc>
          <w:tcPr>
            <w:tcW w:w="780" w:type="dxa"/>
            <w:tcBorders/>
          </w:tcPr>
          <w:p>
            <w:pPr>
              <w:pStyle w:val="Normal"/>
              <w:widowControl/>
              <w:suppressAutoHyphens w:val="true"/>
              <w:bidi w:val="0"/>
              <w:spacing w:lineRule="auto" w:line="276" w:before="80" w:after="80"/>
              <w:jc w:val="start"/>
              <w:rPr/>
            </w:pPr>
            <w:r>
              <w:rPr>
                <w:color w:val="000000"/>
                <w:sz w:val="15"/>
              </w:rPr>
              <w:t>91.8s (+20s to +30s)</w:t>
            </w:r>
          </w:p>
        </w:tc>
      </w:tr>
      <w:tr>
        <w:trPr/>
        <w:tc>
          <w:tcPr>
            <w:tcW w:w="779" w:type="dxa"/>
            <w:tcBorders/>
          </w:tcPr>
          <w:p>
            <w:pPr>
              <w:pStyle w:val="Normal"/>
              <w:widowControl/>
              <w:suppressAutoHyphens w:val="true"/>
              <w:bidi w:val="0"/>
              <w:spacing w:lineRule="auto" w:line="276" w:before="80" w:after="80"/>
              <w:jc w:val="start"/>
              <w:rPr/>
            </w:pPr>
            <w:r>
              <w:rPr>
                <w:color w:val="000000"/>
                <w:sz w:val="15"/>
              </w:rPr>
              <w:t>Sony IMX411 (151MP)</w:t>
            </w:r>
          </w:p>
        </w:tc>
        <w:tc>
          <w:tcPr>
            <w:tcW w:w="781" w:type="dxa"/>
            <w:tcBorders/>
          </w:tcPr>
          <w:p>
            <w:pPr>
              <w:pStyle w:val="Normal"/>
              <w:widowControl/>
              <w:suppressAutoHyphens w:val="true"/>
              <w:bidi w:val="0"/>
              <w:spacing w:lineRule="auto" w:line="276" w:before="80" w:after="80"/>
              <w:jc w:val="start"/>
              <w:rPr/>
            </w:pPr>
            <w:r>
              <w:rPr>
                <w:color w:val="000000"/>
                <w:sz w:val="15"/>
              </w:rPr>
              <w:t>473mm × 354mm</w:t>
            </w:r>
          </w:p>
        </w:tc>
        <w:tc>
          <w:tcPr>
            <w:tcW w:w="780" w:type="dxa"/>
            <w:tcBorders/>
          </w:tcPr>
          <w:p>
            <w:pPr>
              <w:pStyle w:val="Normal"/>
              <w:widowControl/>
              <w:suppressAutoHyphens w:val="true"/>
              <w:bidi w:val="0"/>
              <w:spacing w:lineRule="auto" w:line="276" w:before="80" w:after="80"/>
              <w:jc w:val="start"/>
              <w:rPr/>
            </w:pPr>
            <w:r>
              <w:rPr>
                <w:color w:val="000000"/>
                <w:sz w:val="15"/>
              </w:rPr>
              <w:t>1206mm × 903mm</w:t>
            </w:r>
          </w:p>
        </w:tc>
        <w:tc>
          <w:tcPr>
            <w:tcW w:w="779" w:type="dxa"/>
            <w:tcBorders/>
          </w:tcPr>
          <w:p>
            <w:pPr>
              <w:pStyle w:val="Normal"/>
              <w:widowControl/>
              <w:suppressAutoHyphens w:val="true"/>
              <w:bidi w:val="0"/>
              <w:spacing w:lineRule="auto" w:line="276" w:before="80" w:after="80"/>
              <w:jc w:val="start"/>
              <w:rPr/>
            </w:pPr>
            <w:r>
              <w:rPr>
                <w:color w:val="000000"/>
                <w:sz w:val="15"/>
              </w:rPr>
              <w:t>4 steps</w:t>
            </w:r>
          </w:p>
        </w:tc>
        <w:tc>
          <w:tcPr>
            <w:tcW w:w="781" w:type="dxa"/>
            <w:tcBorders/>
          </w:tcPr>
          <w:p>
            <w:pPr>
              <w:pStyle w:val="Normal"/>
              <w:widowControl/>
              <w:suppressAutoHyphens w:val="true"/>
              <w:bidi w:val="0"/>
              <w:spacing w:lineRule="auto" w:line="276" w:before="80" w:after="80"/>
              <w:jc w:val="start"/>
              <w:rPr/>
            </w:pPr>
            <w:r>
              <w:rPr>
                <w:color w:val="000000"/>
                <w:sz w:val="15"/>
              </w:rPr>
              <w:t>5 steps</w:t>
            </w:r>
          </w:p>
        </w:tc>
        <w:tc>
          <w:tcPr>
            <w:tcW w:w="780" w:type="dxa"/>
            <w:tcBorders/>
          </w:tcPr>
          <w:p>
            <w:pPr>
              <w:pStyle w:val="Normal"/>
              <w:widowControl/>
              <w:suppressAutoHyphens w:val="true"/>
              <w:bidi w:val="0"/>
              <w:spacing w:lineRule="auto" w:line="276" w:before="80" w:after="80"/>
              <w:jc w:val="start"/>
              <w:rPr/>
            </w:pPr>
            <w:r>
              <w:rPr>
                <w:color w:val="000000"/>
                <w:sz w:val="15"/>
              </w:rPr>
              <w:t>20 steps</w:t>
            </w:r>
          </w:p>
        </w:tc>
        <w:tc>
          <w:tcPr>
            <w:tcW w:w="779" w:type="dxa"/>
            <w:tcBorders/>
          </w:tcPr>
          <w:p>
            <w:pPr>
              <w:pStyle w:val="Normal"/>
              <w:widowControl/>
              <w:suppressAutoHyphens w:val="true"/>
              <w:bidi w:val="0"/>
              <w:spacing w:lineRule="auto" w:line="276" w:before="80" w:after="80"/>
              <w:jc w:val="start"/>
              <w:rPr/>
            </w:pPr>
            <w:r>
              <w:rPr>
                <w:color w:val="000000"/>
                <w:sz w:val="15"/>
              </w:rPr>
              <w:t>32.6 px/mm</w:t>
            </w:r>
          </w:p>
        </w:tc>
        <w:tc>
          <w:tcPr>
            <w:tcW w:w="781" w:type="dxa"/>
            <w:tcBorders/>
          </w:tcPr>
          <w:p>
            <w:pPr>
              <w:pStyle w:val="Normal"/>
              <w:widowControl/>
              <w:suppressAutoHyphens w:val="true"/>
              <w:bidi w:val="0"/>
              <w:spacing w:lineRule="auto" w:line="276" w:before="80" w:after="80"/>
              <w:jc w:val="start"/>
              <w:rPr/>
            </w:pPr>
            <w:r>
              <w:rPr>
                <w:color w:val="000000"/>
                <w:sz w:val="15"/>
              </w:rPr>
              <w:t>23.4 px/mm</w:t>
            </w:r>
          </w:p>
        </w:tc>
        <w:tc>
          <w:tcPr>
            <w:tcW w:w="780" w:type="dxa"/>
            <w:tcBorders/>
          </w:tcPr>
          <w:p>
            <w:pPr>
              <w:pStyle w:val="Normal"/>
              <w:widowControl/>
              <w:suppressAutoHyphens w:val="true"/>
              <w:bidi w:val="0"/>
              <w:spacing w:lineRule="auto" w:line="276" w:before="80" w:after="80"/>
              <w:jc w:val="start"/>
              <w:rPr/>
            </w:pPr>
            <w:r>
              <w:rPr>
                <w:color w:val="000000"/>
                <w:sz w:val="15"/>
              </w:rPr>
              <w:t>31.4 mm</w:t>
            </w:r>
          </w:p>
        </w:tc>
        <w:tc>
          <w:tcPr>
            <w:tcW w:w="779" w:type="dxa"/>
            <w:tcBorders/>
          </w:tcPr>
          <w:p>
            <w:pPr>
              <w:pStyle w:val="Normal"/>
              <w:widowControl/>
              <w:suppressAutoHyphens w:val="true"/>
              <w:bidi w:val="0"/>
              <w:spacing w:lineRule="auto" w:line="276" w:before="80" w:after="80"/>
              <w:jc w:val="start"/>
              <w:rPr/>
            </w:pPr>
            <w:r>
              <w:rPr>
                <w:color w:val="000000"/>
                <w:sz w:val="15"/>
              </w:rPr>
              <w:t>9 (3 × 3)</w:t>
            </w:r>
          </w:p>
        </w:tc>
        <w:tc>
          <w:tcPr>
            <w:tcW w:w="781" w:type="dxa"/>
            <w:tcBorders/>
          </w:tcPr>
          <w:p>
            <w:pPr>
              <w:spacing w:before="80" w:after="80"/>
            </w:pPr>
            <w:r>
              <w:t>$97,200</w:t>
            </w:r>
          </w:p>
        </w:tc>
        <w:tc>
          <w:tcPr>
            <w:tcW w:w="780" w:type="dxa"/>
            <w:tcBorders/>
          </w:tcPr>
          <w:p>
            <w:pPr>
              <w:pStyle w:val="Normal"/>
              <w:widowControl/>
              <w:suppressAutoHyphens w:val="true"/>
              <w:bidi w:val="0"/>
              <w:spacing w:lineRule="auto" w:line="276" w:before="80" w:after="80"/>
              <w:jc w:val="start"/>
              <w:rPr/>
            </w:pPr>
            <w:r>
              <w:rPr>
                <w:color w:val="000000"/>
                <w:sz w:val="15"/>
              </w:rPr>
              <w:t>71.4s (+20s to +30s)</w:t>
            </w:r>
          </w:p>
        </w:tc>
      </w:tr>
    </w:tbl>
    <w:p>
      <w:pPr>
        <w:pStyle w:val="Normal"/>
        <w:spacing w:lineRule="auto" w:line="276" w:before="0" w:after="80"/>
        <w:rPr/>
      </w:pPr>
      <w:r>
        <w:rPr/>
      </w:r>
    </w:p>
    <w:p>
      <w:pPr>
        <w:pStyle w:val="Normal"/>
        <w:spacing w:before="80" w:after="160"/>
        <w:jc w:val="center"/>
        <w:rPr/>
      </w:pPr>
      <w:r>
        <w:rPr/>
        <w:drawing>
          <wp:inline distT="0" distB="0" distL="0" distR="0">
            <wp:extent cx="4389120" cy="202882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3"/>
                    <a:stretch>
                      <a:fillRect/>
                    </a:stretch>
                  </pic:blipFill>
                  <pic:spPr bwMode="auto">
                    <a:xfrm>
                      <a:off x="0" y="0"/>
                      <a:ext cx="4389120" cy="2028825"/>
                    </a:xfrm>
                    <a:prstGeom prst="rect">
                      <a:avLst/>
                    </a:prstGeom>
                    <a:noFill/>
                  </pic:spPr>
                </pic:pic>
              </a:graphicData>
            </a:graphic>
          </wp:inline>
        </w:drawing>
      </w:r>
    </w:p>
    <w:p>
      <w:pPr>
        <w:pStyle w:val="Heading1"/>
        <w:rPr>
          <w:color w:val="000000"/>
        </w:rPr>
      </w:pPr>
      <w:r>
        <w:rPr>
          <w:b/>
        </w:rPr>
        <w:t>Important Architectural &amp; Pricing Notes:</w:t>
      </w:r>
    </w:p>
    <w:p>
      <w:pPr>
        <w:pStyle w:val="ListBullet"/>
        <w:numPr>
          <w:ilvl w:val="0"/>
          <w:numId w:val="1"/>
        </w:numPr>
        <w:spacing w:before="0" w:after="40"/>
        <w:contextualSpacing/>
        <w:rPr/>
      </w:pPr>
      <w:r>
        <w:rPr>
          <w:b/>
        </w:rPr>
        <w:t xml:space="preserve">Budgetary Estimates: </w:t>
      </w:r>
      <w:r>
        <w:rPr/>
        <w:t>Camera unit costs are catalog figures and subject to formal manufacturer quotes.</w:t>
      </w:r>
    </w:p>
    <w:p>
      <w:pPr>
        <w:pStyle w:val="ListBullet"/>
        <w:spacing w:after="40"/>
      </w:pPr>
      <w:r>
        <w:rPr>
          <w:b/>
        </w:rPr>
        <w:t xml:space="preserve">105MP Camera Pricing: </w:t>
      </w:r>
      <w:r>
        <w:t>The $16,995 unit price for the 105MP IMX937 reflects the Emergent Vision quote. This price may be subject to change or decrease if alternative distributors provide competitive quotes, but presently no other distributors have provided pricing.</w:t>
      </w:r>
    </w:p>
    <w:p>
      <w:pPr>
        <w:pStyle w:val="ListBullet"/>
        <w:numPr>
          <w:ilvl w:val="0"/>
          <w:numId w:val="1"/>
        </w:numPr>
        <w:spacing w:before="0" w:after="40"/>
        <w:contextualSpacing/>
        <w:rPr/>
      </w:pPr>
      <w:r>
        <w:rPr>
          <w:b/>
        </w:rPr>
        <w:t xml:space="preserve">Pricing Scope: </w:t>
      </w:r>
      <w:r>
        <w:rPr/>
        <w:t>Costs reflect camera bodies only (excludes lenses, mounts, illumination, and gantry mechanics).</w:t>
      </w:r>
    </w:p>
    <w:p>
      <w:pPr>
        <w:pStyle w:val="ListBullet"/>
        <w:numPr>
          <w:ilvl w:val="0"/>
          <w:numId w:val="1"/>
        </w:numPr>
        <w:spacing w:before="0" w:after="40"/>
        <w:contextualSpacing/>
        <w:rPr/>
      </w:pPr>
      <w:r>
        <w:rPr>
          <w:b/>
        </w:rPr>
        <w:t xml:space="preserve">2D Image Analysis: </w:t>
      </w:r>
      <w:r>
        <w:rPr/>
        <w:t>Diagnostic analysis is performed on each captured 2D frame independently; it does not require a fused 3D volumetric mesh.</w:t>
      </w:r>
    </w:p>
    <w:p>
      <w:pPr>
        <w:pStyle w:val="ListBullet"/>
        <w:numPr>
          <w:ilvl w:val="0"/>
          <w:numId w:val="1"/>
        </w:numPr>
        <w:spacing w:before="0" w:after="40"/>
        <w:contextualSpacing/>
        <w:rPr/>
      </w:pPr>
      <w:r>
        <w:rPr>
          <w:b/>
        </w:rPr>
        <w:t xml:space="preserve">Timing &amp; Mechanical Scope: </w:t>
      </w:r>
      <w:r>
        <w:rPr/>
        <w:t>Scan times are optical baselines and do not account for mechanical acceleration profiles or firmware latency.</w:t>
      </w:r>
    </w:p>
    <w:p>
      <w:pPr>
        <w:pStyle w:val="Normal"/>
        <w:rPr/>
      </w:pPr>
      <w:r>
        <w:rPr>
          <w:color w:val="000000"/>
        </w:rPr>
        <w:t>Interactive 3D Simulation &amp; Web Calculator Access:</w:t>
      </w:r>
    </w:p>
    <w:p>
      <w:pPr>
        <w:pStyle w:val="ListBullet"/>
        <w:numPr>
          <w:ilvl w:val="0"/>
          <w:numId w:val="1"/>
        </w:numPr>
        <w:rPr/>
      </w:pPr>
      <w:r>
        <w:rPr>
          <w:color w:val="000000"/>
        </w:rPr>
        <w:t xml:space="preserve">Live Cloudflare Deployment URL: </w:t>
      </w:r>
      <w:hyperlink r:id="rId4">
        <w:r>
          <w:rPr>
            <w:rStyle w:val="Style"/>
            <w:color w:val="0563C1"/>
            <w:u w:val="single"/>
          </w:rPr>
          <w:t>https://poc6-4pc.pages.dev/</w:t>
        </w:r>
      </w:hyperlink>
    </w:p>
    <w:p>
      <w:pPr>
        <w:pStyle w:val="ListBullet"/>
        <w:numPr>
          <w:ilvl w:val="0"/>
          <w:numId w:val="1"/>
        </w:numPr>
        <w:rPr/>
      </w:pPr>
      <w:r>
        <w:rPr>
          <w:color w:val="000000"/>
        </w:rPr>
        <w:t>Security Passkey / Password: rfq@30</w:t>
      </w:r>
    </w:p>
    <w:p>
      <w:pPr>
        <w:pStyle w:val="ListBullet"/>
        <w:numPr>
          <w:ilvl w:val="0"/>
          <w:numId w:val="0"/>
        </w:numPr>
        <w:spacing w:before="0" w:after="200"/>
        <w:ind w:hanging="0" w:start="360"/>
        <w:contextualSpacing/>
        <w:rPr>
          <w:color w:val="000000"/>
        </w:rPr>
      </w:pPr>
      <w:r>
        <w:rPr/>
      </w:r>
    </w:p>
    <w:p>
      <w:pPr>
        <w:pStyle w:val="Heading1"/>
        <w:rPr>
          <w:color w:val="000000"/>
        </w:rPr>
      </w:pPr>
      <w:r>
        <w:rPr>
          <w:color w:val="000000"/>
        </w:rPr>
        <w:t>Optical Physics Standards &amp; References</w:t>
      </w:r>
    </w:p>
    <w:p>
      <w:pPr>
        <w:pStyle w:val="Normal"/>
        <w:rPr/>
      </w:pPr>
      <w:r>
        <w:rPr>
          <w:color w:val="000000"/>
        </w:rPr>
        <w:t>All 3D visualization and gantry calculations strictly adhere to the following standard optical physics models:</w:t>
      </w:r>
    </w:p>
    <w:p>
      <w:pPr>
        <w:pStyle w:val="ListBullet"/>
        <w:numPr>
          <w:ilvl w:val="0"/>
          <w:numId w:val="1"/>
        </w:numPr>
        <w:rPr/>
      </w:pPr>
      <w:r>
        <w:rPr>
          <w:b/>
          <w:color w:val="000000"/>
        </w:rPr>
        <w:t xml:space="preserve">Magnification, FOV &amp; AFOV: </w:t>
      </w:r>
      <w:hyperlink r:id="rId5">
        <w:r>
          <w:rPr>
            <w:rStyle w:val="Style"/>
            <w:color w:val="0563C1"/>
            <w:u w:val="single"/>
          </w:rPr>
          <w:t>Edmund Optics - Focal Length and FOV</w:t>
        </w:r>
      </w:hyperlink>
    </w:p>
    <w:p>
      <w:pPr>
        <w:pStyle w:val="ListBullet"/>
        <w:numPr>
          <w:ilvl w:val="0"/>
          <w:numId w:val="1"/>
        </w:numPr>
        <w:rPr/>
      </w:pPr>
      <w:r>
        <w:rPr>
          <w:b/>
          <w:color w:val="000000"/>
        </w:rPr>
        <w:t xml:space="preserve">Spatial Resolving Power: </w:t>
      </w:r>
      <w:hyperlink r:id="rId6">
        <w:r>
          <w:rPr>
            <w:rStyle w:val="Style"/>
            <w:color w:val="0563C1"/>
            <w:u w:val="single"/>
          </w:rPr>
          <w:t>Edmund Optics - Resolution and Pixel Size</w:t>
        </w:r>
      </w:hyperlink>
    </w:p>
    <w:p>
      <w:pPr>
        <w:pStyle w:val="ListBullet"/>
        <w:numPr>
          <w:ilvl w:val="0"/>
          <w:numId w:val="1"/>
        </w:numPr>
        <w:rPr/>
      </w:pPr>
      <w:r>
        <w:rPr>
          <w:b/>
          <w:color w:val="000000"/>
        </w:rPr>
        <w:t xml:space="preserve">Depth of Field &amp; Stacking: </w:t>
      </w:r>
      <w:hyperlink r:id="rId7">
        <w:r>
          <w:rPr>
            <w:rStyle w:val="Style"/>
            <w:color w:val="0563C1"/>
            <w:u w:val="single"/>
          </w:rPr>
          <w:t>Edmund Optics - Depth of Field and Focus</w:t>
        </w:r>
      </w:hyperlink>
    </w:p>
    <w:p>
      <w:pPr>
        <w:pStyle w:val="ListBullet"/>
        <w:numPr>
          <w:ilvl w:val="0"/>
          <w:numId w:val="1"/>
        </w:numPr>
        <w:rPr/>
      </w:pPr>
      <w:r>
        <w:rPr>
          <w:b/>
          <w:color w:val="000000"/>
        </w:rPr>
        <w:t xml:space="preserve">Diffraction Limit (Airy Disk): </w:t>
      </w:r>
      <w:hyperlink r:id="rId8">
        <w:r>
          <w:rPr>
            <w:rStyle w:val="Style"/>
            <w:color w:val="0563C1"/>
            <w:u w:val="single"/>
          </w:rPr>
          <w:t>Edmund Optics - The Airy Disk Limit</w:t>
        </w:r>
      </w:hyperlink>
    </w:p>
    <w:p>
      <w:pPr>
        <w:pStyle w:val="Normal"/>
        <w:widowControl/>
        <w:suppressAutoHyphens w:val="true"/>
        <w:bidi w:val="0"/>
        <w:spacing w:lineRule="auto" w:line="276" w:before="0" w:after="200"/>
        <w:jc w:val="start"/>
        <w:rPr/>
      </w:pPr>
      <w:r>
        <w:rPr/>
      </w:r>
    </w:p>
    <w:p>
      <w:pPr>
        <w:pStyle w:val="Heading2"/>
      </w:pPr>
      <w:r>
        <w:rPr>
          <w:b/>
        </w:rPr>
        <w:t>Budgetary &amp; Camera Pricing References</w:t>
      </w:r>
    </w:p>
    <w:p>
      <w:pPr>
        <w:pStyle w:val="ListBullet"/>
        <w:spacing w:after="40"/>
      </w:pPr>
      <w:r>
        <w:rPr>
          <w:b/>
        </w:rPr>
        <w:t xml:space="preserve">65MP GMAX3265 Camera (,850): </w:t>
      </w:r>
      <w:r>
        <w:t xml:space="preserve">Lucid Vision Labs Atlas10 — </w:t>
      </w:r>
      <w:hyperlink r:id="rId14">
        <w:r>
          <w:rPr>
            <w:color w:val="0000FF"/>
            <w:u w:val="single"/>
          </w:rPr>
          <w:t>https://thinklucid.com/product/atlas10-65-mp-gmax3265/</w:t>
        </w:r>
      </w:hyperlink>
    </w:p>
    <w:p>
      <w:pPr>
        <w:pStyle w:val="ListBullet"/>
        <w:spacing w:after="160"/>
      </w:pPr>
      <w:r>
        <w:rPr>
          <w:b/>
        </w:rPr>
        <w:t xml:space="preserve">105MP IMX937 Camera (,995): </w:t>
      </w:r>
      <w:r>
        <w:t xml:space="preserve">Emergent Vision Zenith HZ-100-G — </w:t>
      </w:r>
      <w:hyperlink r:id="rId15">
        <w:r>
          <w:rPr>
            <w:color w:val="0000FF"/>
            <w:u w:val="single"/>
          </w:rPr>
          <w:t>https://emergentvisiontec.com/products/zenith-hz-100gige-cameras-rdma-area-scan/hz-100-sb/</w:t>
        </w:r>
      </w:hyperlink>
    </w:p>
    <w:sectPr>
      <w:type w:val="nextPage"/>
      <w:pgSz w:w="12240" w:h="15840"/>
      <w:pgMar w:left="1440" w:right="1440" w:gutter="0" w:header="0" w:top="1440" w:footer="0" w:bottom="1440"/>
      <w:pgBorders w:display="allPages" w:offsetFrom="page">
        <w:top w:val="single" w:sz="12" w:space="24" w:color="000000"/>
        <w:left w:val="single" w:sz="12" w:space="24" w:color="000000"/>
        <w:bottom w:val="single" w:sz="12" w:space="24" w:color="000000"/>
        <w:right w:val="single" w:sz="12"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oc6-4pc.pages.dev/" TargetMode="External"/><Relationship Id="rId5" Type="http://schemas.openxmlformats.org/officeDocument/2006/relationships/hyperlink" Target="https://www.edmundoptics.com/knowledge-center/application-notes/imaging/understanding-focal-length-and-field-of-view/" TargetMode="External"/><Relationship Id="rId6" Type="http://schemas.openxmlformats.org/officeDocument/2006/relationships/hyperlink" Target="https://www.edmundoptics.com/knowledge-center/application-notes/imaging/resolution/" TargetMode="External"/><Relationship Id="rId7" Type="http://schemas.openxmlformats.org/officeDocument/2006/relationships/hyperlink" Target="https://www.edmundoptics.com/knowledge-center/application-notes/imaging/depth-of-field-and-depth-of-focus/" TargetMode="External"/><Relationship Id="rId8" Type="http://schemas.openxmlformats.org/officeDocument/2006/relationships/hyperlink" Target="https://www.edmundoptics.com/knowledge-center/application-notes/imaging/limitations-on-resolution-the-airy-disk/"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hyperlink" Target="https://thinklucid.com/product/atlas10-65-mp-gmax3265/" TargetMode="External"/><Relationship Id="rId15" Type="http://schemas.openxmlformats.org/officeDocument/2006/relationships/hyperlink" Target="https://emergentvisiontec.com/products/zenith-hz-100gige-cameras-rdma-area-scan/hz-100-sb/"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LibreOffice/26.2.4.2$Windows_X86_64 LibreOffice_project/0229ac93fcf0d7cbc6376066c6f35021cef002dc</Application>
  <AppVersion>15.0000</AppVersion>
  <Pages>5</Pages>
  <Words>1153</Words>
  <Characters>6058</Characters>
  <CharactersWithSpaces>6991</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cp:lastPrinted>2026-07-23T21:33:50Z</cp:lastPrinted>
  <dcterms:modified xsi:type="dcterms:W3CDTF">2026-07-24T15:17:03Z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