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Arial" w:hAnsi="Arial"/>
          <w:b/>
          <w:color w:val="000000"/>
          <w:sz w:val="32"/>
        </w:rPr>
        <w:t>DermaPod© Subsystem RFQ Specifications</w:t>
      </w:r>
    </w:p>
    <w:p>
      <w:pPr>
        <w:spacing w:after="360"/>
      </w:pPr>
      <w:r>
        <w:rPr>
          <w:i/>
          <w:color w:val="000000"/>
          <w:sz w:val="22"/>
        </w:rPr>
        <w:t>Key Architectural, Optical, and Geometric Requirements</w:t>
      </w:r>
    </w:p>
    <w:p>
      <w:pPr>
        <w:pStyle w:val="ListBullet"/>
        <w:spacing w:after="160"/>
      </w:pPr>
      <w:r>
        <w:rPr>
          <w:b/>
          <w:color w:val="000000"/>
        </w:rPr>
        <w:t xml:space="preserve">`MEC-1` Patient Envelope: </w:t>
      </w:r>
      <w:r>
        <w:rPr>
          <w:color w:val="000000"/>
        </w:rPr>
        <w:t>1.0 m × 0.6 m × 2.0 m (W × D × H), with integrated foot placement decals and handholds to comfortably support 5th to 95th percentile adults.</w:t>
      </w:r>
    </w:p>
    <w:p>
      <w:pPr>
        <w:pStyle w:val="ListBullet"/>
        <w:spacing w:after="160"/>
      </w:pPr>
      <w:r>
        <w:rPr>
          <w:b/>
          <w:color w:val="000000"/>
        </w:rPr>
        <w:t xml:space="preserve">`ROB-4` Workspace Coverage: </w:t>
      </w:r>
      <w:r>
        <w:rPr>
          <w:color w:val="000000"/>
        </w:rPr>
        <w:t>Complete 360° coverage achieved in a single standing pose, without any physical repositioning of the patient during the scan cycle.</w:t>
      </w:r>
    </w:p>
    <w:p>
      <w:pPr>
        <w:pStyle w:val="ListBullet"/>
        <w:spacing w:after="160"/>
      </w:pPr>
      <w:r>
        <w:rPr>
          <w:b/>
          <w:color w:val="000000"/>
        </w:rPr>
        <w:t xml:space="preserve">`ROB-1` Zero Patient Contact: </w:t>
      </w:r>
      <w:r>
        <w:rPr>
          <w:color w:val="000000"/>
        </w:rPr>
        <w:t>The robotic camera positioning and motion subsystems must operate completely without contacting the patient.</w:t>
      </w:r>
    </w:p>
    <w:p>
      <w:pPr>
        <w:pStyle w:val="ListBullet"/>
        <w:spacing w:after="160"/>
      </w:pPr>
      <w:r>
        <w:rPr>
          <w:b/>
          <w:color w:val="000000"/>
        </w:rPr>
        <w:t xml:space="preserve">`ROB-9` Failsafe Safe Rest: </w:t>
      </w:r>
      <w:r>
        <w:rPr>
          <w:color w:val="000000"/>
        </w:rPr>
        <w:t>On power loss, all moving elements must automatically come to a controlled, gravity-safe rest position that does not contact the patient envelope.</w:t>
      </w:r>
    </w:p>
    <w:p>
      <w:pPr>
        <w:pStyle w:val="ListBullet"/>
        <w:spacing w:after="160"/>
      </w:pPr>
      <w:r>
        <w:rPr>
          <w:b/>
          <w:color w:val="000000"/>
        </w:rPr>
        <w:t xml:space="preserve">`ROB-10` Patient Position Guidance: </w:t>
      </w:r>
      <w:r>
        <w:rPr>
          <w:color w:val="000000"/>
        </w:rPr>
        <w:t>Sensors must automatically verify the patient's position and issue visual/audio repositioning alerts if they stand out of tolerance.</w:t>
      </w:r>
    </w:p>
    <w:p>
      <w:pPr>
        <w:pStyle w:val="ListBullet"/>
        <w:spacing w:after="160"/>
      </w:pPr>
      <w:r>
        <w:rPr>
          <w:b/>
          <w:color w:val="000000"/>
        </w:rPr>
        <w:t xml:space="preserve">`IMG-3` Effective Pixel Pitch: </w:t>
      </w:r>
      <w:r>
        <w:rPr>
          <w:color w:val="000000"/>
        </w:rPr>
        <w:t>≤ 30 µm/pixel (equivalent to ≥ 33.3 px/mm resolving power) on the skin surface across the entire patient envelope.</w:t>
      </w:r>
    </w:p>
    <w:p>
      <w:pPr>
        <w:pStyle w:val="ListBullet"/>
        <w:spacing w:after="160"/>
      </w:pPr>
      <w:r>
        <w:rPr>
          <w:b/>
          <w:color w:val="000000"/>
        </w:rPr>
        <w:t xml:space="preserve">`IMG-7` Depth of Field: </w:t>
      </w:r>
      <w:r>
        <w:rPr>
          <w:color w:val="000000"/>
        </w:rPr>
        <w:t>Sufficient focus depth to maintain sharp capture across a body curvature ≥ 100 mm (achieved via lens design or focus sweep).</w:t>
      </w:r>
    </w:p>
    <w:p>
      <w:pPr>
        <w:pStyle w:val="ListBullet"/>
        <w:spacing w:after="160"/>
      </w:pPr>
      <w:r>
        <w:rPr>
          <w:b/>
          <w:color w:val="000000"/>
        </w:rPr>
        <w:t xml:space="preserve">`IMG-13` Body-Surface Coverage: </w:t>
      </w:r>
      <w:r>
        <w:rPr>
          <w:color w:val="000000"/>
        </w:rPr>
        <w:t>≥ 98% total body surface area coverage on a standard adult phantom.</w:t>
      </w:r>
    </w:p>
    <w:p>
      <w:pPr>
        <w:pStyle w:val="ListBullet"/>
        <w:spacing w:after="160"/>
      </w:pPr>
      <w:r>
        <w:rPr>
          <w:b/>
          <w:color w:val="000000"/>
        </w:rPr>
        <w:t xml:space="preserve">`ROB-5` Patient Cycle Time: </w:t>
      </w:r>
      <w:r>
        <w:rPr>
          <w:color w:val="000000"/>
        </w:rPr>
        <w:t>Full acquisition cycle (all cameras, all poses, both polarization modes) ≤ 90 s (Mandatory), with a target of ≤ 60 s.</w:t>
      </w:r>
    </w:p>
    <w:p>
      <w:pPr>
        <w:spacing w:before="480"/>
      </w:pPr>
    </w:p>
    <w:p>
      <w:pPr>
        <w:spacing w:after="160"/>
      </w:pPr>
      <w:r>
        <w:rPr>
          <w:b/>
          <w:color w:val="000000"/>
          <w:sz w:val="26"/>
        </w:rPr>
        <w:t>Major Design Constraints &amp; Optical Interpretations</w:t>
      </w:r>
    </w:p>
    <w:p>
      <w:pPr>
        <w:spacing w:after="160"/>
        <w:ind w:left="288"/>
      </w:pPr>
      <w:r>
        <w:rPr>
          <w:b/>
          <w:color w:val="000000"/>
        </w:rPr>
        <w:t xml:space="preserve">Resolution Target (≤ 30 µm/pixel): </w:t>
      </w:r>
      <w:r>
        <w:rPr>
          <w:color w:val="000000"/>
        </w:rPr>
        <w:t>The pixel pitch on the skin surface must remain ≤ 30 µm across the entire active surface of the patient envelope. This is mathematically equivalent to achieving a resolving power of ≥ 33.3 pixels/mm.</w:t>
      </w:r>
    </w:p>
    <w:p>
      <w:pPr>
        <w:spacing w:after="160"/>
        <w:ind w:left="288"/>
      </w:pPr>
      <w:r>
        <w:rPr>
          <w:b/>
          <w:color w:val="000000"/>
        </w:rPr>
        <w:t xml:space="preserve">No Patient Movement (Single standing pose): </w:t>
      </w:r>
      <w:r>
        <w:rPr>
          <w:color w:val="000000"/>
        </w:rPr>
        <w:t>To eliminate motion artifacts, ensure perfect image registration, and maintain patient safety, the patient must remain completely stationary in a single standing pose. There is no physical patient rotation or repositioning permitted during the scan sequence. This introduces key architectural trade-offs:</w:t>
        <w:br/>
        <w:t>• Static Multi-Camera Array: Capturing the front, back, and sides of a stationary patient simultaneously requires a high camera count. This increases sensor hardware costs, data ingestion interfaces, and calibration complexity.</w:t>
        <w:br/>
        <w:t>• Rotating Camera Gantry: Alternatively, a smaller camera array can be rotated or swept robotically around the stationary patient (e.g. for multi-view reconstruction). However, if the sweep takes time, patient postural sway or breathing can cause motion artifacts that degrade image sharpness.</w:t>
        <w:br/>
        <w:t>• Poses-Based 2D Alternative: If the patient were allowed to change poses (reposition) between captures, the system could utilize a minimal camera configuration to capture 2D photographs of each body area (individual FOV) sequentially. This reduces hardware complexity but increases patient cycle time and prevents automatic longitudinal lesion alignment.</w:t>
        <w:br/>
        <w:br/>
        <w:t>Note: While the RFQ uses the term 'all poses' in ROB-5, this refers strictly to the robotic camera poses (the sequence of physical locations/angles of the motorized gantry), while the patient remains stationary in a single standing pose (ROB-4).</w:t>
      </w:r>
    </w:p>
    <w:p>
      <w:pPr>
        <w:spacing w:after="160"/>
        <w:ind w:left="288"/>
      </w:pPr>
      <w:r>
        <w:rPr>
          <w:b/>
          <w:color w:val="000000"/>
        </w:rPr>
        <w:t xml:space="preserve">Temporal Cycle Time Limit (≤ 90 seconds): </w:t>
      </w:r>
      <w:r>
        <w:rPr>
          <w:color w:val="000000"/>
        </w:rPr>
        <w:t>The entire multi-camera, multi-pose, polarized, and spectral acquisition sequence must complete in ≤ 90 seconds (with a design target of ≤ 60 seconds) to fit standard clinical patient screening workflows.</w:t>
      </w:r>
    </w:p>
    <w:p>
      <w:pPr>
        <w:spacing w:after="160"/>
        <w:ind w:left="288"/>
      </w:pPr>
      <w:r>
        <w:rPr>
          <w:b/>
          <w:color w:val="000000"/>
        </w:rPr>
        <w:t xml:space="preserve">Focus Depth Constraint (≥ 100 mm): </w:t>
      </w:r>
      <w:r>
        <w:rPr>
          <w:color w:val="000000"/>
        </w:rPr>
        <w:t>Due to the patient's body contours, the system's cameras must maintain focus across a depth variation of ≥ 100 mm in a single pose configuration.</w:t>
      </w:r>
    </w:p>
    <w:p>
      <w:pPr>
        <w:spacing w:after="160"/>
        <w:ind w:left="288"/>
      </w:pPr>
      <w:r>
        <w:rPr>
          <w:b/>
          <w:color w:val="000000"/>
        </w:rPr>
        <w:t xml:space="preserve">Circle of Confusion (CoC) &amp; Acceptable Blur Justification: </w:t>
      </w:r>
      <w:r>
        <w:rPr>
          <w:color w:val="000000"/>
        </w:rPr>
        <w:t>While the RFQ does not prescribe a specific Circle of Confusion (CoC) or visual blur limit, absolute 'pixel-perfect' sharpness (where the CoC is set equal to the sensor's physical pixel pitch) is physically impractical. Under a pixel-perfect limit, the Depth of Field drops to ~5 mm, forcing a high-frequency focus sweep of numerous frames to cover the 100 mm depth contour, which creates data transfer bottlenecks that conflict with the 90-second cycle time limit.</w:t>
        <w:br/>
        <w:br/>
        <w:t>Therefore, the RFQ evaluation should consider an acceptable blur threshold (CoC in the range of 20–30 µm) as the design target. This allows a slight, sub-visible blur of a few pixels at the extreme focus boundaries—which is fully acceptable for clinical dermoscopic classification—enabling a rapid focus sweep that successfully meets the cycle time requirement. Furthermore, if a focus sweep is required to cover the body curvature, the system should utilize high-speed optical focus actuators (such as electronic liquid lenses) to complete the multi-frame sweep rapidly, thereby minimizing the risk of patient motion artifacts.</w:t>
      </w:r>
    </w:p>
    <w:p>
      <w:pPr>
        <w:spacing w:before="480"/>
      </w:pPr>
    </w:p>
    <w:p>
      <w:pPr>
        <w:spacing w:after="160"/>
      </w:pPr>
      <w:r>
        <w:rPr>
          <w:b/>
          <w:color w:val="000000"/>
          <w:sz w:val="26"/>
        </w:rPr>
        <w:t>Market Technology Benchmarking &amp; Compliance Analysis</w:t>
      </w:r>
    </w:p>
    <w:p>
      <w:pPr>
        <w:spacing w:after="200"/>
      </w:pPr>
      <w:r>
        <w:rPr>
          <w:color w:val="000000"/>
        </w:rPr>
        <w:t>The following matrix compares the main commercial and research total body photography systems on the market against the specific mandatory requirements of this RFQ. Note that resolving power values are derived estimates (see details below) and are subject to vendor confirmation:</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color w:val="000000"/>
                <w:sz w:val="16"/>
              </w:rPr>
              <w:t>RFQ Parameter ID</w:t>
            </w:r>
          </w:p>
        </w:tc>
        <w:tc>
          <w:tcPr>
            <w:tcW w:type="dxa" w:w="1170"/>
          </w:tcPr>
          <w:p>
            <w:r>
              <w:rPr>
                <w:b/>
                <w:color w:val="000000"/>
                <w:sz w:val="16"/>
              </w:rPr>
              <w:t>FotoFinder ATBM Master</w:t>
            </w:r>
          </w:p>
        </w:tc>
        <w:tc>
          <w:tcPr>
            <w:tcW w:type="dxa" w:w="1170"/>
          </w:tcPr>
          <w:p>
            <w:r>
              <w:rPr>
                <w:b/>
                <w:color w:val="000000"/>
                <w:sz w:val="16"/>
              </w:rPr>
              <w:t>Canfield IntelliStudio</w:t>
            </w:r>
          </w:p>
        </w:tc>
        <w:tc>
          <w:tcPr>
            <w:tcW w:type="dxa" w:w="1170"/>
          </w:tcPr>
          <w:p>
            <w:r>
              <w:rPr>
                <w:b/>
                <w:color w:val="000000"/>
                <w:sz w:val="16"/>
              </w:rPr>
              <w:t>Canfield Vectra WB360</w:t>
            </w:r>
          </w:p>
        </w:tc>
        <w:tc>
          <w:tcPr>
            <w:tcW w:type="dxa" w:w="1170"/>
          </w:tcPr>
          <w:p>
            <w:r>
              <w:rPr>
                <w:b/>
                <w:color w:val="000000"/>
                <w:sz w:val="16"/>
              </w:rPr>
              <w:t>Optima Scan</w:t>
            </w:r>
          </w:p>
        </w:tc>
        <w:tc>
          <w:tcPr>
            <w:tcW w:type="dxa" w:w="1170"/>
          </w:tcPr>
          <w:p>
            <w:r>
              <w:rPr>
                <w:b/>
                <w:color w:val="000000"/>
                <w:sz w:val="16"/>
              </w:rPr>
              <w:t>MoleMax HD Stand</w:t>
            </w:r>
          </w:p>
        </w:tc>
        <w:tc>
          <w:tcPr>
            <w:tcW w:type="dxa" w:w="1170"/>
          </w:tcPr>
          <w:p>
            <w:r>
              <w:rPr>
                <w:b/>
                <w:color w:val="000000"/>
                <w:sz w:val="16"/>
              </w:rPr>
              <w:t>DermoScan X2</w:t>
            </w:r>
          </w:p>
        </w:tc>
        <w:tc>
          <w:tcPr>
            <w:tcW w:type="dxa" w:w="1170"/>
          </w:tcPr>
          <w:p>
            <w:r>
              <w:rPr>
                <w:b/>
                <w:color w:val="000000"/>
                <w:sz w:val="16"/>
              </w:rPr>
              <w:t>iToBoS Scanner (Bosch)</w:t>
            </w:r>
          </w:p>
        </w:tc>
      </w:tr>
      <w:tr>
        <w:tc>
          <w:tcPr>
            <w:tcW w:type="dxa" w:w="1170"/>
          </w:tcPr>
          <w:p>
            <w:r>
              <w:rPr>
                <w:color w:val="000000"/>
                <w:sz w:val="16"/>
              </w:rPr>
              <w:t>`ROB-4` Single Pose</w:t>
            </w:r>
          </w:p>
        </w:tc>
        <w:tc>
          <w:tcPr>
            <w:tcW w:type="dxa" w:w="1170"/>
          </w:tcPr>
          <w:p>
            <w:r>
              <w:rPr>
                <w:b/>
                <w:color w:val="000000"/>
                <w:sz w:val="16"/>
              </w:rPr>
              <w:t>Fail (Requires turning)</w:t>
            </w:r>
          </w:p>
        </w:tc>
        <w:tc>
          <w:tcPr>
            <w:tcW w:type="dxa" w:w="1170"/>
          </w:tcPr>
          <w:p>
            <w:r>
              <w:rPr>
                <w:b/>
                <w:color w:val="000000"/>
                <w:sz w:val="16"/>
              </w:rPr>
              <w:t>Fail (Requires turning)</w:t>
            </w:r>
          </w:p>
        </w:tc>
        <w:tc>
          <w:tcPr>
            <w:tcW w:type="dxa" w:w="1170"/>
          </w:tcPr>
          <w:p>
            <w:r>
              <w:rPr>
                <w:color w:val="000000"/>
                <w:sz w:val="16"/>
              </w:rPr>
              <w:t>Pass (Single pose)</w:t>
            </w:r>
          </w:p>
        </w:tc>
        <w:tc>
          <w:tcPr>
            <w:tcW w:type="dxa" w:w="1170"/>
          </w:tcPr>
          <w:p>
            <w:r>
              <w:rPr>
                <w:color w:val="000000"/>
                <w:sz w:val="16"/>
              </w:rPr>
              <w:t>Pass (Motorized arm sweeps)</w:t>
            </w:r>
          </w:p>
        </w:tc>
        <w:tc>
          <w:tcPr>
            <w:tcW w:type="dxa" w:w="1170"/>
          </w:tcPr>
          <w:p>
            <w:r>
              <w:rPr>
                <w:b/>
                <w:color w:val="000000"/>
                <w:sz w:val="16"/>
              </w:rPr>
              <w:t>Fail (Assumed 10–33 turns)</w:t>
            </w:r>
          </w:p>
        </w:tc>
        <w:tc>
          <w:tcPr>
            <w:tcW w:type="dxa" w:w="1170"/>
          </w:tcPr>
          <w:p>
            <w:r>
              <w:rPr>
                <w:b/>
                <w:color w:val="000000"/>
                <w:sz w:val="16"/>
              </w:rPr>
              <w:t>Fail (Requires turning)</w:t>
            </w:r>
          </w:p>
        </w:tc>
        <w:tc>
          <w:tcPr>
            <w:tcW w:type="dxa" w:w="1170"/>
          </w:tcPr>
          <w:p>
            <w:r>
              <w:rPr>
                <w:b/>
                <w:color w:val="000000"/>
                <w:sz w:val="16"/>
              </w:rPr>
              <w:t>Fail (Patient lies on bed and must turn supine/prone)</w:t>
            </w:r>
          </w:p>
        </w:tc>
      </w:tr>
      <w:tr>
        <w:tc>
          <w:tcPr>
            <w:tcW w:type="dxa" w:w="1170"/>
          </w:tcPr>
          <w:p>
            <w:r>
              <w:rPr>
                <w:color w:val="000000"/>
                <w:sz w:val="16"/>
              </w:rPr>
              <w:t>`ROB-5` Cycle Time</w:t>
            </w:r>
          </w:p>
        </w:tc>
        <w:tc>
          <w:tcPr>
            <w:tcW w:type="dxa" w:w="1170"/>
          </w:tcPr>
          <w:p>
            <w:r>
              <w:rPr>
                <w:b/>
                <w:color w:val="000000"/>
                <w:sz w:val="16"/>
              </w:rPr>
              <w:t>Fail (2–4 minutes)</w:t>
            </w:r>
          </w:p>
        </w:tc>
        <w:tc>
          <w:tcPr>
            <w:tcW w:type="dxa" w:w="1170"/>
          </w:tcPr>
          <w:p>
            <w:r>
              <w:rPr>
                <w:b/>
                <w:color w:val="000000"/>
                <w:sz w:val="16"/>
              </w:rPr>
              <w:t>Fail (~2 minutes)</w:t>
            </w:r>
          </w:p>
        </w:tc>
        <w:tc>
          <w:tcPr>
            <w:tcW w:type="dxa" w:w="1170"/>
          </w:tcPr>
          <w:p>
            <w:r>
              <w:rPr>
                <w:color w:val="000000"/>
                <w:sz w:val="16"/>
              </w:rPr>
              <w:t>Pass (Instant)</w:t>
            </w:r>
          </w:p>
        </w:tc>
        <w:tc>
          <w:tcPr>
            <w:tcW w:type="dxa" w:w="1170"/>
          </w:tcPr>
          <w:p>
            <w:r>
              <w:rPr>
                <w:color w:val="000000"/>
                <w:sz w:val="16"/>
              </w:rPr>
              <w:t>Pass (~1 minute)</w:t>
            </w:r>
          </w:p>
        </w:tc>
        <w:tc>
          <w:tcPr>
            <w:tcW w:type="dxa" w:w="1170"/>
          </w:tcPr>
          <w:p>
            <w:r>
              <w:rPr>
                <w:b/>
                <w:color w:val="000000"/>
                <w:sz w:val="16"/>
              </w:rPr>
              <w:t>Fail (Assumed; several minutes)</w:t>
            </w:r>
          </w:p>
        </w:tc>
        <w:tc>
          <w:tcPr>
            <w:tcW w:type="dxa" w:w="1170"/>
          </w:tcPr>
          <w:p>
            <w:r>
              <w:rPr>
                <w:b/>
                <w:color w:val="000000"/>
                <w:sz w:val="16"/>
              </w:rPr>
              <w:t>Fail (Assumed; 1–2 minutes)</w:t>
            </w:r>
          </w:p>
        </w:tc>
        <w:tc>
          <w:tcPr>
            <w:tcW w:type="dxa" w:w="1170"/>
          </w:tcPr>
          <w:p>
            <w:r>
              <w:rPr>
                <w:b/>
                <w:color w:val="000000"/>
                <w:sz w:val="16"/>
              </w:rPr>
              <w:t>Fail (~6 minutes scan cycle)</w:t>
            </w:r>
          </w:p>
        </w:tc>
      </w:tr>
      <w:tr>
        <w:tc>
          <w:tcPr>
            <w:tcW w:type="dxa" w:w="1170"/>
          </w:tcPr>
          <w:p>
            <w:r>
              <w:rPr>
                <w:color w:val="000000"/>
                <w:sz w:val="16"/>
              </w:rPr>
              <w:t>`IMG-3` Pixel Pitch *</w:t>
            </w:r>
          </w:p>
        </w:tc>
        <w:tc>
          <w:tcPr>
            <w:tcW w:type="dxa" w:w="1170"/>
          </w:tcPr>
          <w:p>
            <w:r>
              <w:rPr>
                <w:b/>
                <w:color w:val="000000"/>
                <w:sz w:val="16"/>
              </w:rPr>
              <w:t>Fail (Derived: 5–7 px/mm [143–200 µm])</w:t>
            </w:r>
          </w:p>
        </w:tc>
        <w:tc>
          <w:tcPr>
            <w:tcW w:type="dxa" w:w="1170"/>
          </w:tcPr>
          <w:p>
            <w:r>
              <w:rPr>
                <w:b/>
                <w:color w:val="000000"/>
                <w:sz w:val="16"/>
              </w:rPr>
              <w:t>Fail (Derived: 10–17 px/mm [59–100 µm])</w:t>
            </w:r>
          </w:p>
        </w:tc>
        <w:tc>
          <w:tcPr>
            <w:tcW w:type="dxa" w:w="1170"/>
          </w:tcPr>
          <w:p>
            <w:r>
              <w:rPr>
                <w:b/>
                <w:color w:val="000000"/>
                <w:sz w:val="16"/>
              </w:rPr>
              <w:t>Fail (Derived: 13–18 px/mm [55–77 µm])</w:t>
            </w:r>
          </w:p>
        </w:tc>
        <w:tc>
          <w:tcPr>
            <w:tcW w:type="dxa" w:w="1170"/>
          </w:tcPr>
          <w:p>
            <w:r>
              <w:rPr>
                <w:b/>
                <w:color w:val="000000"/>
                <w:sz w:val="16"/>
              </w:rPr>
              <w:t>Fail (Derived: 5–9 px/mm [111–200 µm])</w:t>
            </w:r>
          </w:p>
        </w:tc>
        <w:tc>
          <w:tcPr>
            <w:tcW w:type="dxa" w:w="1170"/>
          </w:tcPr>
          <w:p>
            <w:r>
              <w:rPr>
                <w:b/>
                <w:color w:val="000000"/>
                <w:sz w:val="16"/>
              </w:rPr>
              <w:t>Fail (Assumed; low-res DSLR templates)</w:t>
            </w:r>
          </w:p>
        </w:tc>
        <w:tc>
          <w:tcPr>
            <w:tcW w:type="dxa" w:w="1170"/>
          </w:tcPr>
          <w:p>
            <w:r>
              <w:rPr>
                <w:b/>
                <w:color w:val="000000"/>
                <w:sz w:val="16"/>
              </w:rPr>
              <w:t>Fail (Derived: ~5.2 px/mm [193 µm])</w:t>
            </w:r>
          </w:p>
        </w:tc>
        <w:tc>
          <w:tcPr>
            <w:tcW w:type="dxa" w:w="1170"/>
          </w:tcPr>
          <w:p>
            <w:r>
              <w:rPr>
                <w:color w:val="000000"/>
                <w:sz w:val="16"/>
              </w:rPr>
              <w:t>Pass (Target: 20 µm [50 px/mm] resolution)</w:t>
            </w:r>
          </w:p>
        </w:tc>
      </w:tr>
      <w:tr>
        <w:tc>
          <w:tcPr>
            <w:tcW w:type="dxa" w:w="1170"/>
          </w:tcPr>
          <w:p>
            <w:r>
              <w:rPr>
                <w:color w:val="000000"/>
                <w:sz w:val="16"/>
              </w:rPr>
              <w:t>`IMG-7` Focus Depth</w:t>
            </w:r>
          </w:p>
        </w:tc>
        <w:tc>
          <w:tcPr>
            <w:tcW w:type="dxa" w:w="1170"/>
          </w:tcPr>
          <w:p>
            <w:r>
              <w:rPr>
                <w:color w:val="000000"/>
                <w:sz w:val="16"/>
              </w:rPr>
              <w:t>Pass (Long WD)</w:t>
            </w:r>
          </w:p>
        </w:tc>
        <w:tc>
          <w:tcPr>
            <w:tcW w:type="dxa" w:w="1170"/>
          </w:tcPr>
          <w:p>
            <w:r>
              <w:rPr>
                <w:color w:val="000000"/>
                <w:sz w:val="16"/>
              </w:rPr>
              <w:t>Pass (Long WD)</w:t>
            </w:r>
          </w:p>
        </w:tc>
        <w:tc>
          <w:tcPr>
            <w:tcW w:type="dxa" w:w="1170"/>
          </w:tcPr>
          <w:p>
            <w:r>
              <w:rPr>
                <w:color w:val="000000"/>
                <w:sz w:val="16"/>
              </w:rPr>
              <w:t>Pass (Multi-camera planes)</w:t>
            </w:r>
          </w:p>
        </w:tc>
        <w:tc>
          <w:tcPr>
            <w:tcW w:type="dxa" w:w="1170"/>
          </w:tcPr>
          <w:p>
            <w:r>
              <w:rPr>
                <w:color w:val="000000"/>
                <w:sz w:val="16"/>
              </w:rPr>
              <w:t>Pass (Small sensor format)</w:t>
            </w:r>
          </w:p>
        </w:tc>
        <w:tc>
          <w:tcPr>
            <w:tcW w:type="dxa" w:w="1170"/>
          </w:tcPr>
          <w:p>
            <w:r>
              <w:rPr>
                <w:color w:val="000000"/>
                <w:sz w:val="16"/>
              </w:rPr>
              <w:t>Pass (Long WD)</w:t>
            </w:r>
          </w:p>
        </w:tc>
        <w:tc>
          <w:tcPr>
            <w:tcW w:type="dxa" w:w="1170"/>
          </w:tcPr>
          <w:p>
            <w:r>
              <w:rPr>
                <w:color w:val="000000"/>
                <w:sz w:val="16"/>
              </w:rPr>
              <w:t>Pass (Long WD)</w:t>
            </w:r>
          </w:p>
        </w:tc>
        <w:tc>
          <w:tcPr>
            <w:tcW w:type="dxa" w:w="1170"/>
          </w:tcPr>
          <w:p>
            <w:r>
              <w:rPr>
                <w:color w:val="000000"/>
                <w:sz w:val="16"/>
              </w:rPr>
              <w:t>Pass (Achieved via focus stacking with Optotune liquid lenses)</w:t>
            </w:r>
          </w:p>
        </w:tc>
      </w:tr>
      <w:tr>
        <w:tc>
          <w:tcPr>
            <w:tcW w:type="dxa" w:w="1170"/>
          </w:tcPr>
          <w:p>
            <w:r>
              <w:rPr>
                <w:color w:val="000000"/>
                <w:sz w:val="16"/>
              </w:rPr>
              <w:t>`IMG-13` Body Coverage</w:t>
            </w:r>
          </w:p>
        </w:tc>
        <w:tc>
          <w:tcPr>
            <w:tcW w:type="dxa" w:w="1170"/>
          </w:tcPr>
          <w:p>
            <w:r>
              <w:rPr>
                <w:color w:val="000000"/>
                <w:sz w:val="16"/>
              </w:rPr>
              <w:t>Pass</w:t>
            </w:r>
          </w:p>
        </w:tc>
        <w:tc>
          <w:tcPr>
            <w:tcW w:type="dxa" w:w="1170"/>
          </w:tcPr>
          <w:p>
            <w:r>
              <w:rPr>
                <w:color w:val="000000"/>
                <w:sz w:val="16"/>
              </w:rPr>
              <w:t>Pass</w:t>
            </w:r>
          </w:p>
        </w:tc>
        <w:tc>
          <w:tcPr>
            <w:tcW w:type="dxa" w:w="1170"/>
          </w:tcPr>
          <w:p>
            <w:r>
              <w:rPr>
                <w:color w:val="000000"/>
                <w:sz w:val="16"/>
              </w:rPr>
              <w:t>Pass</w:t>
            </w:r>
          </w:p>
        </w:tc>
        <w:tc>
          <w:tcPr>
            <w:tcW w:type="dxa" w:w="1170"/>
          </w:tcPr>
          <w:p>
            <w:r>
              <w:rPr>
                <w:color w:val="000000"/>
                <w:sz w:val="16"/>
              </w:rPr>
              <w:t>Pass</w:t>
            </w:r>
          </w:p>
        </w:tc>
        <w:tc>
          <w:tcPr>
            <w:tcW w:type="dxa" w:w="1170"/>
          </w:tcPr>
          <w:p>
            <w:r>
              <w:rPr>
                <w:color w:val="000000"/>
                <w:sz w:val="16"/>
              </w:rPr>
              <w:t>Pass</w:t>
            </w:r>
          </w:p>
        </w:tc>
        <w:tc>
          <w:tcPr>
            <w:tcW w:type="dxa" w:w="1170"/>
          </w:tcPr>
          <w:p>
            <w:r>
              <w:rPr>
                <w:color w:val="000000"/>
                <w:sz w:val="16"/>
              </w:rPr>
              <w:t>Pass</w:t>
            </w:r>
          </w:p>
        </w:tc>
        <w:tc>
          <w:tcPr>
            <w:tcW w:type="dxa" w:w="1170"/>
          </w:tcPr>
          <w:p>
            <w:r>
              <w:rPr>
                <w:color w:val="000000"/>
                <w:sz w:val="16"/>
              </w:rPr>
              <w:t>Pass</w:t>
            </w:r>
          </w:p>
        </w:tc>
      </w:tr>
    </w:tbl>
    <w:p>
      <w:pPr>
        <w:spacing w:before="280" w:after="80"/>
      </w:pPr>
      <w:r>
        <w:rPr>
          <w:b/>
          <w:color w:val="000000"/>
          <w:sz w:val="20"/>
        </w:rPr>
        <w:t>* Note on Derived Resolving Power &amp; Assumed Values:</w:t>
      </w:r>
    </w:p>
    <w:p>
      <w:pPr>
        <w:spacing w:after="360"/>
      </w:pPr>
      <w:r>
        <w:rPr>
          <w:color w:val="000000"/>
          <w:sz w:val="19"/>
        </w:rPr>
        <w:t>1. Resolving Power Calculations (IMG-3): Because commercial dermatological imaging vendors do not publish the exact pixel pitch achieved on the skin surface in their standard product datasheets, the values listed above (e.g., 5-7 px/mm for FotoFinder, 10-17 px/mm for IntelliStudio, 13-18 px/mm for Vectra WB360, and 5-9 px/mm for Optima Scan) represent derived/back-calculated values. These are calculated by dividing the sensor's physical megapixel count by the total photographic field coverage area. These values are considered assumed estimates and are subject to official vendor confirmation during proposal evaluations.</w:t>
      </w:r>
    </w:p>
    <w:p>
      <w:pPr>
        <w:spacing w:before="480" w:after="160"/>
      </w:pPr>
      <w:r>
        <w:rPr>
          <w:b/>
          <w:color w:val="000000"/>
          <w:sz w:val="26"/>
        </w:rPr>
        <w:t>System Design Strategy &amp; Architectural Trade-offs</w:t>
      </w:r>
    </w:p>
    <w:p>
      <w:pPr>
        <w:spacing w:after="160"/>
        <w:ind w:left="288"/>
      </w:pPr>
      <w:r>
        <w:rPr>
          <w:b/>
          <w:color w:val="000000"/>
        </w:rPr>
        <w:t xml:space="preserve">1. Resolution Target vs. Field of View (FOV) &amp; Depth of Field (DoF): </w:t>
      </w:r>
      <w:r>
        <w:rPr>
          <w:color w:val="000000"/>
        </w:rPr>
        <w:t>To meet the mandatory resolution target of ≤ 30 µm/pixel (≥ 33.3 px/mm), the optical design must use high magnification. This high magnification introduces two critical constraints:</w:t>
        <w:br/>
        <w:t>• Narrow FOV: The physical area captured per sensor shrinks, which directly increases the number of cameras required to cover the patient envelope.</w:t>
        <w:br/>
        <w:t>• Shallow DoF: The depth of focus shrinks significantly. To cover the curved contours of the human body, the system must balance sensor pixel pitch, lens focal length, and working distance to optimize camera count without losing resolution.</w:t>
      </w:r>
    </w:p>
    <w:p>
      <w:pPr>
        <w:spacing w:after="160"/>
        <w:ind w:left="288"/>
      </w:pPr>
      <w:r>
        <w:rPr>
          <w:b/>
          <w:color w:val="000000"/>
        </w:rPr>
        <w:t xml:space="preserve">2. Selected Architecture: Option A (Rotating Gantry Sweep): </w:t>
      </w:r>
      <w:r>
        <w:rPr>
          <w:color w:val="000000"/>
        </w:rPr>
        <w:t>To capture 360° patient coverage without manual repositioning (per ROB-4), the system utilizes Option A, where a motorized camera column sweeps in a circular path around the standing patient. While this minimizes camera count to keep hardware costs low, we must investigate and manage key structural and temporal trade-offs:</w:t>
        <w:br/>
        <w:t>• Slip Ring and Power Management: Because the camera column rotates 360°, we must explore high-bandwidth slip rings or local wireless data transfer paired with on-gantry memory buffers to prevent cabling entanglement.</w:t>
        <w:br/>
        <w:t>• Mechanical Vibration and Settle Times: Rotational motion introduces structural vibrations that cause motion blur. We must optimize the acceleration/deceleration profiles of the rotation drive to minimize settle times before each camera exposure.</w:t>
        <w:br/>
        <w:t>• Patient Motion Artifacts: Since the rotation sweep takes time, patient postural sway and breathing can introduce motion artifacts. We must model the sway threshold and optimize the rotational speed to complete the sweep rapidly.</w:t>
      </w:r>
    </w:p>
    <w:p>
      <w:pPr>
        <w:spacing w:after="160"/>
        <w:ind w:left="288"/>
      </w:pPr>
      <w:r>
        <w:rPr>
          <w:b/>
          <w:color w:val="000000"/>
        </w:rPr>
        <w:t xml:space="preserve">3. Focal Depth Management, Circle of Confusion (CoC), &amp; Focus Stacking: </w:t>
      </w:r>
      <w:r>
        <w:rPr>
          <w:color w:val="000000"/>
        </w:rPr>
        <w:t>Since the RFQ does not specify a Circle of Confusion (CoC) limit for acceptable blur, and high magnification results in a shallow DoF, focus stacking is required to keep a ≥ 100 mm depth contour in focus. To implement focus stacking within the cycle time constraints, the system must utilize high-speed focus adjustment actuators—specifically comparing electronic liquid lenses against fast motorized lenses—to capture multiple focal planes rapidly and minimize motion blur.</w:t>
      </w:r>
    </w:p>
    <w:p>
      <w:pPr>
        <w:spacing w:after="160"/>
        <w:ind w:left="288"/>
      </w:pPr>
      <w:r>
        <w:rPr>
          <w:b/>
          <w:color w:val="000000"/>
        </w:rPr>
        <w:t xml:space="preserve">4. Synchronization, Data Ingestion, &amp; Memory Pipelines: </w:t>
      </w:r>
      <w:r>
        <w:rPr>
          <w:color w:val="000000"/>
        </w:rPr>
        <w:t>To manage the high camera count and multi-frame focus stacking sweeps:</w:t>
        <w:br/>
        <w:t>• Microsecond Synchronization: The system must enforce precise hardware synchronization (syncing gantry translation, camera exposures, and cross-polarized flash strobes) to prevent cross-talk and blur.</w:t>
        <w:br/>
        <w:t>• High-Speed Data Pipelines: The massive volume of raw images must be processed through high-speed interfaces, real-time memory buffering, and ingestion pipelines to complete the entire active patient image acquisition sequence within the mandatory ≤ 90-second limit (note that this limit applies strictly to active patient scanning/imaging time, not the subsequent offline 3D reconstruction and data processing).</w:t>
      </w:r>
    </w:p>
    <w:p>
      <w:pPr>
        <w:spacing w:after="160"/>
        <w:ind w:left="288"/>
      </w:pPr>
      <w:r>
        <w:rPr>
          <w:b/>
          <w:color w:val="000000"/>
        </w:rPr>
        <w:t xml:space="preserve">5. Patient-Specific Focus Adaptation Methods: </w:t>
      </w:r>
      <w:r>
        <w:rPr>
          <w:color w:val="000000"/>
        </w:rPr>
        <w:t>Different patients present varying waist sizes, abdominal depths, and stance coordinates, which shifts the physical skin surface relative to the cameras. To keep the skin surface in focus, we must explore two main strategies:</w:t>
        <w:br/>
        <w:t>• Active Dynamic Focusing: Integrating active distance measurement sensors—such as laser guidance, LiDAR/ToF sensors, or ultrasonic distance sensors—to detect the patient's distance in real time and dynamically adjust the camera's focus plane.</w:t>
        <w:br/>
        <w:t>• Fixed-Focus with Acceptable Blur: Utilizing a fixed-focus configuration with a small aperture and an acceptable Circle of Confusion (CoC) blur threshold (similar to Vectra or FotoFinder) to cover patient-to-patient depth variations without active autofocus elements.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