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RFQ Analysis</w:t>
      </w:r>
    </w:p>
    <w:p>
      <w:pPr>
        <w:pStyle w:val="Normal"/>
        <w:rPr/>
      </w:pPr>
      <w:r>
        <w:rPr>
          <w:color w:val="000000"/>
        </w:rPr>
        <w:t>The DermaPod™ camera hardware subsystem requirements specified in the RFQ (AIS-DPD-2026-001 Rev B) are divided into five primary engineering sections:</w:t>
      </w:r>
    </w:p>
    <w:p>
      <w:pPr>
        <w:pStyle w:val="ListBullet"/>
        <w:numPr>
          <w:ilvl w:val="0"/>
          <w:numId w:val="1"/>
        </w:numPr>
        <w:rPr/>
      </w:pPr>
      <w:r>
        <w:rPr>
          <w:color w:val="000000"/>
        </w:rPr>
        <w:t>1. Camera Geometry &amp; Architecture</w:t>
      </w:r>
    </w:p>
    <w:p>
      <w:pPr>
        <w:pStyle w:val="ListBullet"/>
        <w:numPr>
          <w:ilvl w:val="0"/>
          <w:numId w:val="1"/>
        </w:numPr>
        <w:rPr/>
      </w:pPr>
      <w:r>
        <w:rPr>
          <w:color w:val="000000"/>
        </w:rPr>
        <w:t>2. Image Calibration &amp; Quality</w:t>
      </w:r>
    </w:p>
    <w:p>
      <w:pPr>
        <w:pStyle w:val="ListBullet"/>
        <w:numPr>
          <w:ilvl w:val="0"/>
          <w:numId w:val="1"/>
        </w:numPr>
        <w:rPr/>
      </w:pPr>
      <w:r>
        <w:rPr>
          <w:color w:val="000000"/>
        </w:rPr>
        <w:t>3. Mechanical &amp; Pose Repeatability of Robot</w:t>
      </w:r>
    </w:p>
    <w:p>
      <w:pPr>
        <w:pStyle w:val="ListBullet"/>
        <w:numPr>
          <w:ilvl w:val="0"/>
          <w:numId w:val="1"/>
        </w:numPr>
        <w:rPr/>
      </w:pPr>
      <w:r>
        <w:rPr>
          <w:color w:val="000000"/>
        </w:rPr>
        <w:t>4. Illumination Subsystem</w:t>
      </w:r>
    </w:p>
    <w:p>
      <w:pPr>
        <w:pStyle w:val="ListBullet"/>
        <w:numPr>
          <w:ilvl w:val="0"/>
          <w:numId w:val="1"/>
        </w:numPr>
        <w:rPr/>
      </w:pPr>
      <w:r>
        <w:rPr>
          <w:color w:val="000000"/>
        </w:rPr>
        <w:t>5. Memory &amp; Data Management</w:t>
      </w:r>
    </w:p>
    <w:p>
      <w:pPr>
        <w:pStyle w:val="Normal"/>
        <w:rPr/>
      </w:pPr>
      <w:r>
        <w:rPr>
          <w:color w:val="000000"/>
        </w:rPr>
      </w:r>
    </w:p>
    <w:p>
      <w:pPr>
        <w:pStyle w:val="Heading1"/>
        <w:rPr/>
      </w:pPr>
      <w:r>
        <w:rPr>
          <w:color w:val="000000"/>
        </w:rPr>
        <w:t>Primary Architectural Goal &amp; System Complexity</w:t>
      </w:r>
    </w:p>
    <w:p>
      <w:pPr>
        <w:pStyle w:val="Normal"/>
        <w:rPr/>
      </w:pPr>
      <w:r>
        <w:rPr>
          <w:color w:val="000000"/>
        </w:rPr>
        <w:t>The most complex engineering challenge when defining the system architecture is simultaneously satisfying four coupled primary parameters:</w:t>
      </w:r>
    </w:p>
    <w:p>
      <w:pPr>
        <w:pStyle w:val="ListBullet"/>
        <w:numPr>
          <w:ilvl w:val="0"/>
          <w:numId w:val="1"/>
        </w:numPr>
        <w:rPr/>
      </w:pPr>
      <w:r>
        <w:rPr>
          <w:b/>
          <w:color w:val="000000"/>
        </w:rPr>
        <w:t xml:space="preserve">Resolving Power ROI: </w:t>
      </w:r>
      <w:r>
        <w:rPr>
          <w:color w:val="000000"/>
        </w:rPr>
        <w:t>30 px/mm baseline spatial resolution across the target skin surface (IMG-3).</w:t>
      </w:r>
    </w:p>
    <w:p>
      <w:pPr>
        <w:pStyle w:val="ListBullet"/>
        <w:numPr>
          <w:ilvl w:val="0"/>
          <w:numId w:val="1"/>
        </w:numPr>
        <w:rPr/>
      </w:pPr>
      <w:r>
        <w:rPr>
          <w:b/>
          <w:color w:val="000000"/>
        </w:rPr>
        <w:t xml:space="preserve">Depth of Field (DoF ≥ 100 mm): </w:t>
      </w:r>
      <w:r>
        <w:rPr>
          <w:color w:val="000000"/>
        </w:rPr>
        <w:t>Maintaining focus across full body curvature (IMG-7).</w:t>
      </w:r>
    </w:p>
    <w:p>
      <w:pPr>
        <w:pStyle w:val="ListBullet"/>
        <w:numPr>
          <w:ilvl w:val="0"/>
          <w:numId w:val="1"/>
        </w:numPr>
        <w:rPr/>
      </w:pPr>
      <w:r>
        <w:rPr>
          <w:b/>
          <w:color w:val="000000"/>
        </w:rPr>
        <w:t xml:space="preserve">Patient Cycle Time: </w:t>
      </w:r>
      <w:r>
        <w:rPr>
          <w:color w:val="000000"/>
        </w:rPr>
        <w:t>Total session execution time ≤ 90 seconds (ROB-5).</w:t>
      </w:r>
    </w:p>
    <w:p>
      <w:pPr>
        <w:pStyle w:val="ListBullet"/>
        <w:numPr>
          <w:ilvl w:val="0"/>
          <w:numId w:val="1"/>
        </w:numPr>
        <w:rPr/>
      </w:pPr>
      <w:r>
        <w:rPr>
          <w:b/>
          <w:color w:val="000000"/>
        </w:rPr>
        <w:t xml:space="preserve">Full Envelope &amp; 98% Body Coverage: </w:t>
      </w:r>
      <w:r>
        <w:rPr>
          <w:color w:val="000000"/>
        </w:rPr>
        <w:t>Achieving 98% anatomical skin coverage across the 1.0 m (W) × 0.6 m (D) × 2.0 m (H) patient scan volume (MEC-1 / IMG-5).</w:t>
      </w:r>
    </w:p>
    <w:p>
      <w:pPr>
        <w:pStyle w:val="Normal"/>
        <w:rPr/>
      </w:pPr>
      <w:r>
        <w:rPr>
          <w:color w:val="000000"/>
        </w:rPr>
      </w:r>
    </w:p>
    <w:p>
      <w:pPr>
        <w:pStyle w:val="Heading1"/>
        <w:rPr/>
      </w:pPr>
      <w:r>
        <w:rPr>
          <w:color w:val="000000"/>
        </w:rPr>
        <w:t>Circle of Confusion (CoC) Definition</w:t>
      </w:r>
    </w:p>
    <w:p>
      <w:pPr>
        <w:pStyle w:val="Normal"/>
        <w:rPr/>
      </w:pPr>
      <w:r>
        <w:rPr>
          <w:b/>
          <w:color w:val="000000"/>
        </w:rPr>
        <w:t xml:space="preserve">Definition &amp; Assumption: </w:t>
      </w:r>
      <w:r>
        <w:rPr>
          <w:color w:val="000000"/>
        </w:rPr>
        <w:t>Before evaluating optical Depth of Field (DoF), we must first define the Circle of Confusion (CoC). Because CoC is not explicitly defined in the RFQ document for the DoF requirement (IMG-7), we have established CoC = 25 µm based on sensor pixel pitch and target spatial resolving power.</w:t>
      </w:r>
    </w:p>
    <w:p>
      <w:pPr>
        <w:pStyle w:val="Normal"/>
        <w:rPr/>
      </w:pPr>
      <w:r>
        <w:rPr>
          <w:color w:val="000000"/>
        </w:rPr>
      </w:r>
    </w:p>
    <w:p>
      <w:pPr>
        <w:pStyle w:val="Heading1"/>
        <w:rPr/>
      </w:pPr>
      <w:r>
        <w:rPr>
          <w:color w:val="000000"/>
        </w:rPr>
        <w:t>Optical Trade-Off &amp; System Architecture Analysis</w:t>
      </w:r>
    </w:p>
    <w:p>
      <w:pPr>
        <w:pStyle w:val="ListBullet"/>
        <w:numPr>
          <w:ilvl w:val="0"/>
          <w:numId w:val="1"/>
        </w:numPr>
        <w:rPr/>
      </w:pPr>
      <w:r>
        <w:rPr>
          <w:b/>
          <w:color w:val="000000"/>
        </w:rPr>
        <w:t xml:space="preserve">Pixel Density vs. FOV: </w:t>
      </w:r>
      <w:r>
        <w:rPr>
          <w:color w:val="000000"/>
        </w:rPr>
        <w:t>As required pixel density increases (to achieve 30 px/mm), single-camera Field of View (FOV) decreases proportionally.</w:t>
      </w:r>
    </w:p>
    <w:p>
      <w:pPr>
        <w:pStyle w:val="ListBullet"/>
        <w:numPr>
          <w:ilvl w:val="0"/>
          <w:numId w:val="1"/>
        </w:numPr>
        <w:rPr/>
      </w:pPr>
      <w:r>
        <w:rPr>
          <w:b/>
          <w:color w:val="000000"/>
        </w:rPr>
        <w:t xml:space="preserve">FOV vs. Depth of Field (DoF): </w:t>
      </w:r>
      <w:r>
        <w:rPr>
          <w:color w:val="000000"/>
        </w:rPr>
        <w:t>As Field of View (FOV) decreases (higher magnification), optical Depth of Field (DoF) also decreases. Maintaining DoF ≥ 100 mm across smaller FOVs requires smaller optical apertures (higher f-number), which in turn demands higher illumination power.</w:t>
      </w:r>
    </w:p>
    <w:p>
      <w:pPr>
        <w:pStyle w:val="ListBullet"/>
        <w:numPr>
          <w:ilvl w:val="0"/>
          <w:numId w:val="1"/>
        </w:numPr>
        <w:rPr/>
      </w:pPr>
      <w:r>
        <w:rPr>
          <w:b/>
          <w:color w:val="000000"/>
        </w:rPr>
        <w:t xml:space="preserve">High-Resolution Sensor Strategy &amp; Cost Trade-Off: </w:t>
      </w:r>
      <w:r>
        <w:rPr>
          <w:color w:val="000000"/>
        </w:rPr>
        <w:t>By selecting high-resolution sensors (≥ 60 MP to 105 MP), each camera captures a significantly larger FOV while preserving 30 px/mm spatial density. Although individual high-resolution camera unit cost increases, it prevents an exponential increase in total camera count, thereby optimizing overall subsystem BOM cost, cabling, and optical DoF.</w:t>
      </w:r>
    </w:p>
    <w:p>
      <w:pPr>
        <w:pStyle w:val="Normal"/>
        <w:rPr/>
      </w:pPr>
      <w:r>
        <w:rPr>
          <w:color w:val="000000"/>
        </w:rPr>
      </w:r>
    </w:p>
    <w:p>
      <w:pPr>
        <w:pStyle w:val="Heading1"/>
        <w:rPr/>
      </w:pPr>
      <w:r>
        <w:rPr>
          <w:color w:val="000000"/>
        </w:rPr>
        <w:t>Proposed Architectural Models</w:t>
      </w:r>
    </w:p>
    <w:p>
      <w:pPr>
        <w:pStyle w:val="Normal"/>
        <w:rPr/>
      </w:pPr>
      <w:r>
        <w:rPr>
          <w:color w:val="000000"/>
        </w:rPr>
        <w:t>We proposed three distinct architectural models for evaluation:</w:t>
      </w:r>
    </w:p>
    <w:p>
      <w:pPr>
        <w:pStyle w:val="ListBullet"/>
        <w:numPr>
          <w:ilvl w:val="0"/>
          <w:numId w:val="1"/>
        </w:numPr>
        <w:rPr/>
      </w:pPr>
      <w:r>
        <w:rPr>
          <w:b/>
          <w:color w:val="000000"/>
        </w:rPr>
        <w:t xml:space="preserve">Model 1 (3D Photogrammetric Model): </w:t>
      </w:r>
      <w:r>
        <w:rPr>
          <w:color w:val="000000"/>
        </w:rPr>
        <w:t>A 360-degree rotating column gantry engineered for full 3D body reconstruction and volumetric surface capture.</w:t>
      </w:r>
    </w:p>
    <w:p>
      <w:pPr>
        <w:pStyle w:val="ListBullet"/>
        <w:numPr>
          <w:ilvl w:val="0"/>
          <w:numId w:val="1"/>
        </w:numPr>
        <w:rPr/>
      </w:pPr>
      <w:r>
        <w:rPr>
          <w:b/>
          <w:color w:val="000000"/>
        </w:rPr>
        <w:t xml:space="preserve">Model 2 (2D Dual-Column Model): </w:t>
      </w:r>
      <w:r>
        <w:rPr>
          <w:color w:val="000000"/>
        </w:rPr>
        <w:t>A dual-column array optimized for fast multi-pose 2D clinical photography with minimal gantry motion steps.</w:t>
      </w:r>
    </w:p>
    <w:p>
      <w:pPr>
        <w:pStyle w:val="ListBullet"/>
        <w:numPr>
          <w:ilvl w:val="0"/>
          <w:numId w:val="1"/>
        </w:numPr>
        <w:rPr/>
      </w:pPr>
      <w:r>
        <w:rPr>
          <w:b/>
          <w:color w:val="000000"/>
        </w:rPr>
        <w:t xml:space="preserve">Model 3 (2D Scanning Carriage Model): </w:t>
      </w:r>
      <w:r>
        <w:rPr>
          <w:color w:val="000000"/>
        </w:rPr>
        <w:t>A vertical carriage scanning gantry combined with a rotating patient turntable for controlled 2D surface imaging.</w:t>
      </w:r>
    </w:p>
    <w:p>
      <w:pPr>
        <w:pStyle w:val="Normal"/>
        <w:rPr/>
      </w:pPr>
      <w:r>
        <w:rPr>
          <w:color w:val="000000"/>
        </w:rPr>
      </w:r>
    </w:p>
    <w:p>
      <w:pPr>
        <w:pStyle w:val="Heading1"/>
        <w:rPr/>
      </w:pPr>
      <w:r>
        <w:rPr>
          <w:color w:val="000000"/>
        </w:rPr>
        <w:t>Benchmark Comparison (iTBoS vs. Commercial Systems)</w:t>
      </w:r>
    </w:p>
    <w:p>
      <w:pPr>
        <w:pStyle w:val="ListBullet"/>
        <w:numPr>
          <w:ilvl w:val="0"/>
          <w:numId w:val="1"/>
        </w:numPr>
        <w:rPr/>
      </w:pPr>
      <w:r>
        <w:rPr>
          <w:b/>
          <w:color w:val="000000"/>
        </w:rPr>
        <w:t xml:space="preserve">iTBoS Reference: </w:t>
      </w:r>
      <w:r>
        <w:rPr>
          <w:color w:val="000000"/>
        </w:rPr>
        <w:t>Engineered specifically for uniform pixel density across skin contours via complex 3D calibration.</w:t>
      </w:r>
    </w:p>
    <w:p>
      <w:pPr>
        <w:pStyle w:val="ListBullet"/>
        <w:numPr>
          <w:ilvl w:val="0"/>
          <w:numId w:val="1"/>
        </w:numPr>
        <w:rPr/>
      </w:pPr>
      <w:r>
        <w:rPr>
          <w:b/>
          <w:color w:val="000000"/>
        </w:rPr>
        <w:t xml:space="preserve">Commercial Reality (Vectra, FotoFinder, IntelliStudio): </w:t>
      </w:r>
      <w:r>
        <w:rPr>
          <w:color w:val="000000"/>
        </w:rPr>
        <w:t>All commercial systems have variable pixel density across body contours due to distance variations.</w:t>
      </w:r>
    </w:p>
    <w:p>
      <w:pPr>
        <w:pStyle w:val="ListBullet"/>
        <w:numPr>
          <w:ilvl w:val="0"/>
          <w:numId w:val="1"/>
        </w:numPr>
        <w:rPr/>
      </w:pPr>
      <w:r>
        <w:rPr>
          <w:b/>
          <w:color w:val="000000"/>
        </w:rPr>
        <w:t xml:space="preserve">DermaPod Alignment: </w:t>
      </w:r>
      <w:r>
        <w:rPr>
          <w:color w:val="000000"/>
        </w:rPr>
        <w:t>Aligns with commercial standards, ensuring worst-case distance still satisfies baseline 30 px/mm ROI.</w:t>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Normal"/>
        <w:keepNext w:val="true"/>
        <w:spacing w:before="240" w:after="80"/>
        <w:rPr/>
      </w:pPr>
      <w:r>
        <w:rPr>
          <w:rFonts w:ascii="Calibri" w:hAnsi="Calibri"/>
          <w:b/>
          <w:color w:val="000000"/>
          <w:sz w:val="24"/>
        </w:rPr>
        <w:t>Reference Parameters Used in Calculations:</w:t>
      </w:r>
    </w:p>
    <w:p>
      <w:pPr>
        <w:pStyle w:val="ListBullet"/>
        <w:numPr>
          <w:ilvl w:val="0"/>
          <w:numId w:val="1"/>
        </w:numPr>
        <w:spacing w:lineRule="auto" w:line="276" w:before="0" w:after="60"/>
        <w:contextualSpacing/>
        <w:rPr/>
      </w:pPr>
      <w:r>
        <w:rPr>
          <w:rFonts w:ascii="Calibri" w:hAnsi="Calibri"/>
          <w:b/>
          <w:color w:val="000000"/>
          <w:sz w:val="21"/>
        </w:rPr>
        <w:t xml:space="preserve">Lens Aperture: </w:t>
      </w:r>
      <w:r>
        <w:rPr>
          <w:rFonts w:ascii="Calibri" w:hAnsi="Calibri"/>
          <w:color w:val="000000"/>
          <w:sz w:val="21"/>
        </w:rPr>
        <w:t>f/8</w:t>
      </w:r>
    </w:p>
    <w:p>
      <w:pPr>
        <w:pStyle w:val="ListBullet"/>
        <w:numPr>
          <w:ilvl w:val="0"/>
          <w:numId w:val="1"/>
        </w:numPr>
        <w:spacing w:lineRule="auto" w:line="276" w:before="0" w:after="60"/>
        <w:contextualSpacing/>
        <w:rPr/>
      </w:pPr>
      <w:r>
        <w:rPr>
          <w:rFonts w:ascii="Calibri" w:hAnsi="Calibri"/>
          <w:b/>
          <w:color w:val="000000"/>
          <w:sz w:val="21"/>
        </w:rPr>
        <w:t xml:space="preserve">Body Curvature Target: </w:t>
      </w:r>
      <w:r>
        <w:rPr>
          <w:rFonts w:ascii="Calibri" w:hAnsi="Calibri"/>
          <w:color w:val="000000"/>
          <w:sz w:val="21"/>
        </w:rPr>
        <w:t>100 mm</w:t>
      </w:r>
    </w:p>
    <w:p>
      <w:pPr>
        <w:pStyle w:val="ListBullet"/>
        <w:numPr>
          <w:ilvl w:val="0"/>
          <w:numId w:val="1"/>
        </w:numPr>
        <w:spacing w:lineRule="auto" w:line="276" w:before="0" w:after="60"/>
        <w:contextualSpacing/>
        <w:rPr/>
      </w:pPr>
      <w:r>
        <w:rPr>
          <w:rFonts w:ascii="Calibri" w:hAnsi="Calibri"/>
          <w:b/>
          <w:color w:val="000000"/>
          <w:sz w:val="21"/>
        </w:rPr>
        <w:t xml:space="preserve">Mechanical Settle Time: </w:t>
      </w:r>
      <w:r>
        <w:rPr>
          <w:rFonts w:ascii="Calibri" w:hAnsi="Calibri"/>
          <w:color w:val="000000"/>
          <w:sz w:val="21"/>
        </w:rPr>
        <w:t>2.0 seconds per step</w:t>
      </w:r>
    </w:p>
    <w:p>
      <w:pPr>
        <w:pStyle w:val="ListBullet"/>
        <w:numPr>
          <w:ilvl w:val="0"/>
          <w:numId w:val="1"/>
        </w:numPr>
        <w:spacing w:lineRule="auto" w:line="276" w:before="0" w:after="60"/>
        <w:contextualSpacing/>
        <w:rPr/>
      </w:pPr>
      <w:r>
        <w:rPr>
          <w:rFonts w:ascii="Calibri" w:hAnsi="Calibri"/>
          <w:b/>
          <w:color w:val="000000"/>
          <w:sz w:val="21"/>
        </w:rPr>
        <w:t xml:space="preserve">Turntable &amp; Column Rotation Time: </w:t>
      </w:r>
      <w:r>
        <w:rPr>
          <w:rFonts w:ascii="Calibri" w:hAnsi="Calibri"/>
          <w:color w:val="000000"/>
          <w:sz w:val="21"/>
        </w:rPr>
        <w:t>5.0 seconds per transit</w:t>
      </w:r>
    </w:p>
    <w:p>
      <w:pPr>
        <w:pStyle w:val="ListBullet"/>
        <w:numPr>
          <w:ilvl w:val="0"/>
          <w:numId w:val="1"/>
        </w:numPr>
        <w:spacing w:lineRule="auto" w:line="276" w:before="0" w:after="60"/>
        <w:contextualSpacing/>
        <w:rPr/>
      </w:pPr>
      <w:r>
        <w:rPr>
          <w:rFonts w:ascii="Calibri" w:hAnsi="Calibri"/>
          <w:b/>
          <w:color w:val="000000"/>
          <w:sz w:val="21"/>
        </w:rPr>
        <w:t xml:space="preserve">Focus Slice Exposure Time: </w:t>
      </w:r>
      <w:r>
        <w:rPr>
          <w:rFonts w:ascii="Calibri" w:hAnsi="Calibri"/>
          <w:color w:val="000000"/>
          <w:sz w:val="21"/>
        </w:rPr>
        <w:t>0.2 seconds</w:t>
      </w:r>
    </w:p>
    <w:p>
      <w:pPr>
        <w:pStyle w:val="ListBullet"/>
        <w:numPr>
          <w:ilvl w:val="0"/>
          <w:numId w:val="0"/>
        </w:numPr>
        <w:spacing w:lineRule="auto" w:line="276" w:before="0" w:after="60"/>
        <w:ind w:hanging="0" w:start="360"/>
        <w:contextualSpacing/>
        <w:rPr>
          <w:rFonts w:ascii="Calibri" w:hAnsi="Calibri"/>
          <w:color w:val="0000FF"/>
          <w:sz w:val="19"/>
          <w:u w:val="single"/>
        </w:rPr>
      </w:pPr>
      <w:r>
        <w:rPr>
          <w:color w:val="000000"/>
        </w:rPr>
      </w:r>
    </w:p>
    <w:p>
      <w:pPr>
        <w:pStyle w:val="Normal"/>
        <w:keepNext w:val="true"/>
        <w:spacing w:before="360" w:after="120"/>
        <w:rPr/>
      </w:pPr>
      <w:r>
        <w:rPr>
          <w:rFonts w:ascii="Calibri" w:hAnsi="Calibri"/>
          <w:b/>
          <w:color w:val="000000"/>
          <w:sz w:val="28"/>
        </w:rPr>
        <w:t>2. 3D Simulation &amp; Architectural Evaluation</w:t>
      </w:r>
    </w:p>
    <w:p>
      <w:pPr>
        <w:pStyle w:val="Normal"/>
        <w:spacing w:lineRule="auto" w:line="276" w:before="0" w:after="120"/>
        <w:rPr/>
      </w:pPr>
      <w:r>
        <w:rPr>
          <w:rFonts w:ascii="Calibri" w:hAnsi="Calibri"/>
          <w:color w:val="000000"/>
          <w:sz w:val="22"/>
        </w:rPr>
        <w:t>Comparative review of the simulated gantry models using direct 3D visualizer captures:</w:t>
      </w:r>
    </w:p>
    <w:p>
      <w:pPr>
        <w:pStyle w:val="Normal"/>
        <w:keepNext w:val="true"/>
        <w:spacing w:before="240" w:after="80"/>
        <w:rPr/>
      </w:pPr>
      <w:r>
        <w:rPr>
          <w:rFonts w:ascii="Calibri" w:hAnsi="Calibri"/>
          <w:b/>
          <w:color w:val="000000"/>
          <w:sz w:val="24"/>
        </w:rPr>
        <w:t>Model 1: Option A — Single-Column Rotating Gantry</w:t>
      </w:r>
    </w:p>
    <w:p>
      <w:pPr>
        <w:pStyle w:val="ListBullet"/>
        <w:numPr>
          <w:ilvl w:val="0"/>
          <w:numId w:val="1"/>
        </w:numPr>
        <w:spacing w:lineRule="auto" w:line="276" w:before="0" w:after="60"/>
        <w:contextualSpacing/>
        <w:rPr/>
      </w:pPr>
      <w:r>
        <w:rPr>
          <w:rFonts w:ascii="Calibri" w:hAnsi="Calibri"/>
          <w:b/>
          <w:color w:val="000000"/>
          <w:sz w:val="21"/>
        </w:rPr>
        <w:t xml:space="preserve">Mechanical: </w:t>
      </w:r>
      <w:r>
        <w:rPr>
          <w:rFonts w:ascii="Calibri" w:hAnsi="Calibri"/>
          <w:color w:val="000000"/>
          <w:sz w:val="21"/>
        </w:rPr>
        <w:t>Single vertical column rotating 360° on an elliptical track.</w:t>
      </w:r>
    </w:p>
    <w:p>
      <w:pPr>
        <w:pStyle w:val="ListBullet"/>
        <w:numPr>
          <w:ilvl w:val="0"/>
          <w:numId w:val="1"/>
        </w:numPr>
        <w:spacing w:lineRule="auto" w:line="276" w:before="0" w:after="60"/>
        <w:contextualSpacing/>
        <w:rPr/>
      </w:pPr>
      <w:r>
        <w:rPr>
          <w:rFonts w:ascii="Calibri" w:hAnsi="Calibri"/>
          <w:b/>
          <w:color w:val="000000"/>
          <w:sz w:val="21"/>
        </w:rPr>
        <w:t xml:space="preserve">Acquisition: </w:t>
      </w:r>
      <w:r>
        <w:rPr>
          <w:rFonts w:ascii="Calibri" w:hAnsi="Calibri"/>
          <w:color w:val="000000"/>
          <w:sz w:val="21"/>
        </w:rPr>
        <w:t>Performs a continuous 360° rotational sweep around the patient to capture overlapping frames and reconstruct a full 3D model.</w:t>
      </w:r>
    </w:p>
    <w:p>
      <w:pPr>
        <w:pStyle w:val="ListBullet"/>
        <w:numPr>
          <w:ilvl w:val="0"/>
          <w:numId w:val="1"/>
        </w:numPr>
        <w:spacing w:lineRule="auto" w:line="276" w:before="0" w:after="60"/>
        <w:contextualSpacing/>
        <w:rPr/>
      </w:pPr>
      <w:r>
        <w:rPr>
          <w:rFonts w:ascii="Calibri" w:hAnsi="Calibri"/>
          <w:b/>
          <w:color w:val="000000"/>
          <w:sz w:val="21"/>
        </w:rPr>
        <w:t xml:space="preserve">Cost: </w:t>
      </w:r>
      <w:r>
        <w:rPr>
          <w:rFonts w:ascii="Calibri" w:hAnsi="Calibri"/>
          <w:color w:val="000000"/>
          <w:sz w:val="21"/>
        </w:rPr>
        <w:t>Minimal camera count, lowest BOM cost.</w:t>
      </w:r>
    </w:p>
    <w:p>
      <w:pPr>
        <w:pStyle w:val="ListBullet"/>
        <w:numPr>
          <w:ilvl w:val="0"/>
          <w:numId w:val="1"/>
        </w:numPr>
        <w:spacing w:lineRule="auto" w:line="276" w:before="0" w:after="60"/>
        <w:contextualSpacing/>
        <w:rPr/>
      </w:pPr>
      <w:r>
        <w:rPr>
          <w:rFonts w:ascii="Calibri" w:hAnsi="Calibri"/>
          <w:b/>
          <w:color w:val="000000"/>
          <w:sz w:val="21"/>
        </w:rPr>
        <w:t xml:space="preserve">Risk: </w:t>
      </w:r>
      <w:r>
        <w:rPr>
          <w:rFonts w:ascii="Calibri" w:hAnsi="Calibri"/>
          <w:color w:val="000000"/>
          <w:sz w:val="21"/>
        </w:rPr>
        <w:t>Drive vibration during continuous rotation; patient postural sway/breathing during rotation.</w:t>
      </w:r>
    </w:p>
    <w:p>
      <w:pPr>
        <w:pStyle w:val="ListBullet"/>
        <w:numPr>
          <w:ilvl w:val="0"/>
          <w:numId w:val="1"/>
        </w:numPr>
        <w:spacing w:lineRule="auto" w:line="276" w:before="0" w:after="60"/>
        <w:contextualSpacing/>
        <w:rPr>
          <w:rFonts w:ascii="Calibri" w:hAnsi="Calibri"/>
          <w:sz w:val="21"/>
        </w:rPr>
      </w:pPr>
      <w:r>
        <w:rPr>
          <w:rFonts w:ascii="Calibri" w:hAnsi="Calibri"/>
          <w:b/>
          <w:color w:val="000000"/>
          <w:sz w:val="21"/>
        </w:rPr>
        <w:t xml:space="preserve">Focus Stacking Artifact Warning &amp; Note: </w:t>
      </w:r>
      <w:r>
        <w:rPr>
          <w:rFonts w:ascii="Calibri" w:hAnsi="Calibri"/>
          <w:color w:val="000000"/>
          <w:sz w:val="21"/>
        </w:rPr>
        <w:t>Focus stacking is explicitly NOT performed during Model 1's continuous 360° rotational sweep because sequential focal plane exposures during physical movement introduce motion blur, focal registration mismatch, and severe 3D point-cloud reconstruction artifacts. Depth of field relies on a fixed optical aperture (f/8).</w:t>
      </w:r>
    </w:p>
    <w:p>
      <w:pPr>
        <w:pStyle w:val="ListBullet"/>
        <w:numPr>
          <w:ilvl w:val="0"/>
          <w:numId w:val="1"/>
        </w:numPr>
        <w:spacing w:lineRule="auto" w:line="276" w:before="0" w:after="60"/>
        <w:contextualSpacing/>
        <w:rPr/>
      </w:pPr>
      <w:r>
        <w:rPr>
          <w:rFonts w:ascii="Calibri" w:hAnsi="Calibri"/>
          <w:b/>
          <w:color w:val="000000"/>
          <w:sz w:val="21"/>
        </w:rPr>
        <w:t xml:space="preserve">Depth Assistance: </w:t>
      </w:r>
      <w:r>
        <w:rPr>
          <w:rFonts w:ascii="Calibri" w:hAnsi="Calibri"/>
          <w:color w:val="000000"/>
          <w:sz w:val="21"/>
        </w:rPr>
        <w:t>Auxiliary sensors like solid-state LiDAR may need to be integrated to provide absolute reference depth maps and correct for rotational mapping drift.</w:t>
      </w:r>
    </w:p>
    <w:p>
      <w:pPr>
        <w:pStyle w:val="ListBullet"/>
        <w:numPr>
          <w:ilvl w:val="0"/>
          <w:numId w:val="1"/>
        </w:numPr>
        <w:spacing w:lineRule="auto" w:line="276" w:before="0" w:after="60"/>
        <w:contextualSpacing/>
        <w:rPr/>
      </w:pPr>
      <w:r>
        <w:rPr>
          <w:rFonts w:ascii="Calibri" w:hAnsi="Calibri"/>
          <w:b/>
          <w:color w:val="000000"/>
          <w:sz w:val="21"/>
        </w:rPr>
        <w:t xml:space="preserve">Artifact Risks: </w:t>
      </w:r>
      <w:r>
        <w:rPr>
          <w:rFonts w:ascii="Calibri" w:hAnsi="Calibri"/>
          <w:color w:val="000000"/>
          <w:sz w:val="21"/>
        </w:rPr>
        <w:t>The rotating column movement can trigger tracking reactions or balance adjustments, which needs to be evaluated for patient motion artifacts.</w:t>
      </w:r>
    </w:p>
    <w:p>
      <w:pPr>
        <w:pStyle w:val="Normal"/>
        <w:spacing w:lineRule="auto" w:line="276" w:before="120" w:after="80"/>
        <w:rPr/>
      </w:pPr>
      <w:r>
        <w:rPr>
          <w:rFonts w:ascii="Calibri" w:hAnsi="Calibri"/>
          <w:color w:val="000000"/>
          <w:sz w:val="22"/>
        </w:rPr>
        <w:t>Model 1 Sensor Optimization Matrix (Target: 30 px/mm, CoC = 25 µm, Aperture = f/8, Depth Envelope = 0.6m, 70% SfM Overlap, No Focus Stacking):</w:t>
      </w:r>
    </w:p>
    <w:tbl>
      <w:tblPr>
        <w:tblStyle w:val="TableGrid"/>
        <w:tblW w:w="9361" w:type="dxa"/>
        <w:jc w:val="start"/>
        <w:tblInd w:w="0" w:type="dxa"/>
        <w:tblLayout w:type="fixed"/>
        <w:tblCellMar>
          <w:top w:w="100" w:type="dxa"/>
          <w:start w:w="60" w:type="dxa"/>
          <w:bottom w:w="100" w:type="dxa"/>
          <w:end w:w="60" w:type="dxa"/>
        </w:tblCellMar>
        <w:tblLook w:val="04a0" w:firstRow="1" w:noVBand="1" w:lastRow="0" w:firstColumn="1" w:lastColumn="0" w:noHBand="0"/>
      </w:tblPr>
      <w:tblGrid>
        <w:gridCol w:w="850"/>
        <w:gridCol w:w="851"/>
        <w:gridCol w:w="851"/>
        <w:gridCol w:w="851"/>
        <w:gridCol w:w="851"/>
        <w:gridCol w:w="852"/>
        <w:gridCol w:w="851"/>
        <w:gridCol w:w="851"/>
        <w:gridCol w:w="851"/>
        <w:gridCol w:w="851"/>
        <w:gridCol w:w="851"/>
      </w:tblGrid>
      <w:tr>
        <w:trPr/>
        <w:tc>
          <w:tcPr>
            <w:tcW w:w="85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Sensor Profile</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FOV (W×H)</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Array FOV</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Horiz Frames</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Vert Steps</w:t>
            </w:r>
          </w:p>
        </w:tc>
        <w:tc>
          <w:tcPr>
            <w:tcW w:w="852"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Frames / Cam</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Array Images</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DoF (CoC=25µm)</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Cams</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Cost</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Scan Time</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IMX455 (61MP)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319mm × 213mm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319mm × 1990mm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550 images (50×11)</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76.2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$71,500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GMAX3265 (65.4MP)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311mm × 233mm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311mm × 2176mm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550 images (50×11)</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82.8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$71,500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IMX927/IMX937 (105MP)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341mm × 341mm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341mm × 2028mm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350 images (50×7)</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98.0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$59,500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IMX661 (127.7MP)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445mm × 317mm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445mm × 2159mm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400 images (50×8)</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41.1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$96,000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IMX411 (151MP)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473mm × 354mm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473mm × 2106mm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350 images (50×7)</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31.4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$105,000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bl>
    <w:p>
      <w:pPr>
        <w:pStyle w:val="Normal"/>
        <w:spacing w:lineRule="auto" w:line="276" w:before="0" w:after="80"/>
        <w:rPr/>
      </w:pPr>
      <w:r>
        <w:rPr>
          <w:color w:val="000000"/>
        </w:rPr>
      </w:r>
    </w:p>
    <w:p>
      <w:pPr>
        <w:pStyle w:val="Normal"/>
        <w:spacing w:before="80" w:after="160"/>
        <w:jc w:val="center"/>
        <w:rPr/>
      </w:pPr>
      <w:r>
        <w:rPr>
          <w:color w:val="000000"/>
        </w:rPr>
        <w:drawing>
          <wp:inline distT="0" distB="0" distL="0" distR="0">
            <wp:extent cx="4389120" cy="2028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389120" cy="2028825"/>
                    </a:xfrm>
                    <a:prstGeom prst="rect">
                      <a:avLst/>
                    </a:prstGeom>
                    <a:noFill/>
                  </pic:spPr>
                </pic:pic>
              </a:graphicData>
            </a:graphic>
          </wp:inline>
        </w:drawing>
      </w:r>
    </w:p>
    <w:p>
      <w:pPr>
        <w:pStyle w:val="Normal"/>
        <w:keepNext w:val="true"/>
        <w:spacing w:before="240" w:after="80"/>
        <w:rPr/>
      </w:pPr>
      <w:r>
        <w:rPr>
          <w:rFonts w:ascii="Calibri" w:hAnsi="Calibri"/>
          <w:b/>
          <w:color w:val="000000"/>
          <w:sz w:val="24"/>
        </w:rPr>
        <w:t>Model 2: Option B — Dual-Column Parallel Gantry</w:t>
      </w:r>
    </w:p>
    <w:p>
      <w:pPr>
        <w:pStyle w:val="ListBullet"/>
        <w:numPr>
          <w:ilvl w:val="0"/>
          <w:numId w:val="1"/>
        </w:numPr>
        <w:spacing w:lineRule="auto" w:line="276" w:before="0" w:after="60"/>
        <w:contextualSpacing/>
        <w:rPr/>
      </w:pPr>
      <w:r>
        <w:rPr>
          <w:rFonts w:ascii="Calibri" w:hAnsi="Calibri"/>
          <w:b/>
          <w:color w:val="000000"/>
          <w:sz w:val="21"/>
        </w:rPr>
        <w:t xml:space="preserve">Mechanical: </w:t>
      </w:r>
      <w:r>
        <w:rPr>
          <w:rFonts w:ascii="Calibri" w:hAnsi="Calibri"/>
          <w:color w:val="000000"/>
          <w:sz w:val="21"/>
        </w:rPr>
        <w:t>Multiple parallel columns (upgraded to 3 columns to span the horizontal 1000mm width at 30 px/mm resolving power) on an elliptical track.</w:t>
      </w:r>
    </w:p>
    <w:p>
      <w:pPr>
        <w:pStyle w:val="ListBullet"/>
        <w:numPr>
          <w:ilvl w:val="0"/>
          <w:numId w:val="1"/>
        </w:numPr>
        <w:spacing w:lineRule="auto" w:line="276" w:before="0" w:after="60"/>
        <w:contextualSpacing/>
        <w:rPr/>
      </w:pPr>
      <w:r>
        <w:rPr>
          <w:rFonts w:ascii="Calibri" w:hAnsi="Calibri"/>
          <w:b/>
          <w:color w:val="000000"/>
          <w:sz w:val="21"/>
        </w:rPr>
        <w:t xml:space="preserve">Acquisition: </w:t>
      </w:r>
      <w:r>
        <w:rPr>
          <w:rFonts w:ascii="Calibri" w:hAnsi="Calibri"/>
          <w:color w:val="000000"/>
          <w:sz w:val="21"/>
        </w:rPr>
        <w:t>Performs a segmented step-by-step horizontal rotation sweep, stopping at 4 discrete poses (0°, 90°, 180°, 270°) to capture complete patient coverage.</w:t>
      </w:r>
    </w:p>
    <w:p>
      <w:pPr>
        <w:pStyle w:val="ListBullet"/>
        <w:numPr>
          <w:ilvl w:val="0"/>
          <w:numId w:val="1"/>
        </w:numPr>
        <w:spacing w:lineRule="auto" w:line="276" w:before="0" w:after="60"/>
        <w:contextualSpacing/>
        <w:rPr/>
      </w:pPr>
      <w:r>
        <w:rPr>
          <w:rFonts w:ascii="Calibri" w:hAnsi="Calibri"/>
          <w:b/>
          <w:color w:val="000000"/>
          <w:sz w:val="21"/>
        </w:rPr>
        <w:t xml:space="preserve">Cost: </w:t>
      </w:r>
      <w:r>
        <w:rPr>
          <w:rFonts w:ascii="Calibri" w:hAnsi="Calibri"/>
          <w:color w:val="000000"/>
          <w:sz w:val="21"/>
        </w:rPr>
        <w:t>High camera count and high BOM cost.</w:t>
      </w:r>
    </w:p>
    <w:p>
      <w:pPr>
        <w:pStyle w:val="ListBullet"/>
        <w:numPr>
          <w:ilvl w:val="0"/>
          <w:numId w:val="1"/>
        </w:numPr>
        <w:spacing w:lineRule="auto" w:line="276" w:before="0" w:after="60"/>
        <w:contextualSpacing/>
        <w:rPr/>
      </w:pPr>
      <w:r>
        <w:rPr>
          <w:rFonts w:ascii="Calibri" w:hAnsi="Calibri"/>
          <w:b/>
          <w:color w:val="000000"/>
          <w:sz w:val="21"/>
        </w:rPr>
        <w:t xml:space="preserve">Risk: </w:t>
      </w:r>
      <w:r>
        <w:rPr>
          <w:rFonts w:ascii="Calibri" w:hAnsi="Calibri"/>
          <w:color w:val="000000"/>
          <w:sz w:val="21"/>
        </w:rPr>
        <w:t>Calibration complexity for multi-column geometries; high data ingestion bandwidth.</w:t>
      </w:r>
    </w:p>
    <w:p>
      <w:pPr>
        <w:pStyle w:val="ListBullet"/>
        <w:numPr>
          <w:ilvl w:val="0"/>
          <w:numId w:val="1"/>
        </w:numPr>
        <w:spacing w:lineRule="auto" w:line="276" w:before="0" w:after="60"/>
        <w:contextualSpacing/>
        <w:rPr/>
      </w:pPr>
      <w:r>
        <w:rPr>
          <w:rFonts w:ascii="Calibri" w:hAnsi="Calibri"/>
          <w:b/>
          <w:color w:val="000000"/>
          <w:sz w:val="21"/>
        </w:rPr>
        <w:t xml:space="preserve">Timing Considerations: </w:t>
      </w:r>
      <w:r>
        <w:rPr>
          <w:rFonts w:ascii="Calibri" w:hAnsi="Calibri"/>
          <w:color w:val="000000"/>
          <w:sz w:val="21"/>
        </w:rPr>
        <w:t>Scan time is dictated by the column rotation transit and stop exposure time. Baselines assume 5.0s rotation transit time and 2.0s settle time per step.</w:t>
      </w:r>
    </w:p>
    <w:p>
      <w:pPr>
        <w:pStyle w:val="Normal"/>
        <w:spacing w:lineRule="auto" w:line="276" w:before="120" w:after="80"/>
        <w:rPr/>
      </w:pPr>
      <w:r>
        <w:rPr>
          <w:rFonts w:ascii="Calibri" w:hAnsi="Calibri"/>
          <w:color w:val="000000"/>
          <w:sz w:val="22"/>
        </w:rPr>
        <w:t>Model 2 Sensor Optimization Matrix (Target: 30 px/mm, 3 Columns, CoC = 25 µm, Aperture = f/8):</w:t>
      </w:r>
    </w:p>
    <w:tbl>
      <w:tblPr>
        <w:tblStyle w:val="TableGrid"/>
        <w:tblW w:w="9360" w:type="dxa"/>
        <w:jc w:val="start"/>
        <w:tblInd w:w="0" w:type="dxa"/>
        <w:tblLayout w:type="fixed"/>
        <w:tblCellMar>
          <w:top w:w="100" w:type="dxa"/>
          <w:start w:w="80" w:type="dxa"/>
          <w:bottom w:w="100" w:type="dxa"/>
          <w:end w:w="80" w:type="dxa"/>
        </w:tblCellMar>
        <w:tblLook w:val="04a0" w:firstRow="1" w:noVBand="1" w:lastRow="0" w:firstColumn="1" w:lastColumn="0" w:noHBand="0"/>
      </w:tblPr>
      <w:tblGrid>
        <w:gridCol w:w="936"/>
        <w:gridCol w:w="936"/>
        <w:gridCol w:w="936"/>
        <w:gridCol w:w="936"/>
        <w:gridCol w:w="936"/>
        <w:gridCol w:w="936"/>
        <w:gridCol w:w="936"/>
        <w:gridCol w:w="936"/>
        <w:gridCol w:w="936"/>
        <w:gridCol w:w="936"/>
      </w:tblGrid>
      <w:tr>
        <w:trPr/>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Sensor Profile</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FOV (W×H)</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Array FOV</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Horiz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Vert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Combined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DoF (CoC=25µm)</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Cams Needed</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Cost</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Scan Time</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IMX455 (61MP)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319mm × 213mm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861mm × 1990mm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76.2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33 (3 × 11)</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$214,500</w:t>
            </w:r>
          </w:p>
        </w:tc>
        <w:tc>
          <w:tcPr>
            <w:tcW w:w="936" w:type="dxa"/>
            <w:tcBorders/>
            <w:tcMar>
              <w:top w:w="0" w:type="dxa"/>
              <w:start w:w="108" w:type="dxa"/>
              <w:bottom w:w="0" w:type="dxa"/>
              <w:end w:w="108" w:type="dxa"/>
            </w:tcMar>
          </w:tcPr>
          <w:p>
            <w:r>
              <w:rPr>
                <w:color w:val="000000"/>
                <w:sz w:val="16"/>
              </w:rPr>
              <w:t>26.2s (+20s to +30s)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GMAX3265 (65.4MP)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311mm × 233mm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840mm × 2176mm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82.8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33 (3 × 11)</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$214,500</w:t>
            </w:r>
          </w:p>
        </w:tc>
        <w:tc>
          <w:tcPr>
            <w:tcW w:w="936" w:type="dxa"/>
            <w:tcBorders/>
            <w:tcMar>
              <w:top w:w="0" w:type="dxa"/>
              <w:start w:w="108" w:type="dxa"/>
              <w:bottom w:w="0" w:type="dxa"/>
              <w:end w:w="108" w:type="dxa"/>
            </w:tcMar>
          </w:tcPr>
          <w:p>
            <w:r>
              <w:rPr>
                <w:color w:val="000000"/>
                <w:sz w:val="16"/>
              </w:rPr>
              <w:t>26.2s (+20s to +30s)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IMX927/IMX937 (105MP)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341mm × 341mm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921mm × 2028mm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98.0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21 (3 × 7)</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$178,500</w:t>
            </w:r>
          </w:p>
        </w:tc>
        <w:tc>
          <w:tcPr>
            <w:tcW w:w="936" w:type="dxa"/>
            <w:tcBorders/>
            <w:tcMar>
              <w:top w:w="0" w:type="dxa"/>
              <w:start w:w="108" w:type="dxa"/>
              <w:bottom w:w="0" w:type="dxa"/>
              <w:end w:w="108" w:type="dxa"/>
            </w:tcMar>
          </w:tcPr>
          <w:p>
            <w:r>
              <w:rPr>
                <w:color w:val="000000"/>
                <w:sz w:val="16"/>
              </w:rPr>
              <w:t>26.2s (+20s to +30s)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IMX661 (127.7MP)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445mm × 317mm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1201mm × 2159mm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41.1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24 (3 × 8)</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$288,000</w:t>
            </w:r>
          </w:p>
        </w:tc>
        <w:tc>
          <w:tcPr>
            <w:tcW w:w="936" w:type="dxa"/>
            <w:tcBorders/>
            <w:tcMar>
              <w:top w:w="0" w:type="dxa"/>
              <w:start w:w="108" w:type="dxa"/>
              <w:bottom w:w="0" w:type="dxa"/>
              <w:end w:w="108" w:type="dxa"/>
            </w:tcMar>
          </w:tcPr>
          <w:p>
            <w:r>
              <w:rPr>
                <w:color w:val="000000"/>
                <w:sz w:val="16"/>
              </w:rPr>
              <w:t>27.8s (+20s to +30s)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IMX411 (151MP)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473mm × 354mm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1277mm × 2106mm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31.4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21 (3 × 7)</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$315,000</w:t>
            </w:r>
          </w:p>
        </w:tc>
        <w:tc>
          <w:tcPr>
            <w:tcW w:w="936" w:type="dxa"/>
            <w:tcBorders/>
            <w:tcMar>
              <w:top w:w="0" w:type="dxa"/>
              <w:start w:w="108" w:type="dxa"/>
              <w:bottom w:w="0" w:type="dxa"/>
              <w:end w:w="108" w:type="dxa"/>
            </w:tcMar>
          </w:tcPr>
          <w:p>
            <w:r>
              <w:rPr>
                <w:color w:val="000000"/>
                <w:sz w:val="16"/>
              </w:rPr>
              <w:t>26.2s (+20s to +30s)</w:t>
            </w:r>
          </w:p>
        </w:tc>
      </w:tr>
    </w:tbl>
    <w:p>
      <w:pPr>
        <w:pStyle w:val="Normal"/>
        <w:spacing w:lineRule="auto" w:line="276" w:before="0" w:after="80"/>
        <w:rPr/>
      </w:pPr>
      <w:r>
        <w:rPr>
          <w:color w:val="000000"/>
        </w:rPr>
      </w:r>
    </w:p>
    <w:p>
      <w:pPr>
        <w:pStyle w:val="Normal"/>
        <w:spacing w:before="80" w:after="160"/>
        <w:jc w:val="center"/>
        <w:rPr/>
      </w:pPr>
      <w:r>
        <w:rPr>
          <w:color w:val="000000"/>
        </w:rPr>
        <w:drawing>
          <wp:inline distT="0" distB="0" distL="0" distR="0">
            <wp:extent cx="4389120" cy="2028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389120" cy="2028825"/>
                    </a:xfrm>
                    <a:prstGeom prst="rect">
                      <a:avLst/>
                    </a:prstGeom>
                    <a:noFill/>
                  </pic:spPr>
                </pic:pic>
              </a:graphicData>
            </a:graphic>
          </wp:inline>
        </w:drawing>
      </w:r>
    </w:p>
    <w:p>
      <w:pPr>
        <w:pStyle w:val="Normal"/>
        <w:keepNext w:val="true"/>
        <w:spacing w:before="240" w:after="80"/>
        <w:rPr/>
      </w:pPr>
      <w:r>
        <w:rPr>
          <w:rFonts w:ascii="Calibri" w:hAnsi="Calibri"/>
          <w:b/>
          <w:color w:val="000000"/>
          <w:sz w:val="24"/>
        </w:rPr>
        <w:t>Model 3: Option C — Turntable Scanning Gantry</w:t>
      </w:r>
    </w:p>
    <w:p>
      <w:pPr>
        <w:pStyle w:val="ListBullet"/>
        <w:numPr>
          <w:ilvl w:val="0"/>
          <w:numId w:val="1"/>
        </w:numPr>
        <w:spacing w:lineRule="auto" w:line="276" w:before="0" w:after="60"/>
        <w:contextualSpacing/>
        <w:rPr/>
      </w:pPr>
      <w:r>
        <w:rPr>
          <w:rFonts w:ascii="Calibri" w:hAnsi="Calibri"/>
          <w:b/>
          <w:color w:val="000000"/>
          <w:sz w:val="21"/>
        </w:rPr>
        <w:t xml:space="preserve">Mechanical: </w:t>
      </w:r>
      <w:r>
        <w:rPr>
          <w:rFonts w:ascii="Calibri" w:hAnsi="Calibri"/>
          <w:color w:val="000000"/>
          <w:sz w:val="21"/>
        </w:rPr>
        <w:t>Static columns with motorized vertical carriages; patient stands on a rotating turntable.</w:t>
      </w:r>
    </w:p>
    <w:p>
      <w:pPr>
        <w:pStyle w:val="ListBullet"/>
        <w:numPr>
          <w:ilvl w:val="0"/>
          <w:numId w:val="1"/>
        </w:numPr>
        <w:spacing w:lineRule="auto" w:line="276" w:before="0" w:after="60"/>
        <w:contextualSpacing/>
        <w:rPr/>
      </w:pPr>
      <w:r>
        <w:rPr>
          <w:rFonts w:ascii="Calibri" w:hAnsi="Calibri"/>
          <w:b/>
          <w:color w:val="000000"/>
          <w:sz w:val="21"/>
        </w:rPr>
        <w:t xml:space="preserve">Acquisition: </w:t>
      </w:r>
      <w:r>
        <w:rPr>
          <w:rFonts w:ascii="Calibri" w:hAnsi="Calibri"/>
          <w:color w:val="000000"/>
          <w:sz w:val="21"/>
        </w:rPr>
        <w:t>Turntable rotates patient to 4 poses (0°, 90°, 180°, 270°); carriages sweep vertically at each stop.</w:t>
      </w:r>
    </w:p>
    <w:p>
      <w:pPr>
        <w:pStyle w:val="ListBullet"/>
        <w:numPr>
          <w:ilvl w:val="0"/>
          <w:numId w:val="1"/>
        </w:numPr>
        <w:spacing w:lineRule="auto" w:line="276" w:before="0" w:after="60"/>
        <w:contextualSpacing/>
        <w:rPr/>
      </w:pPr>
      <w:r>
        <w:rPr>
          <w:rFonts w:ascii="Calibri" w:hAnsi="Calibri"/>
          <w:b/>
          <w:color w:val="000000"/>
          <w:sz w:val="21"/>
        </w:rPr>
        <w:t xml:space="preserve">Cost: </w:t>
      </w:r>
      <w:r>
        <w:rPr>
          <w:rFonts w:ascii="Calibri" w:hAnsi="Calibri"/>
          <w:color w:val="000000"/>
          <w:sz w:val="21"/>
        </w:rPr>
        <w:t>Low camera count, low BOM cost.</w:t>
      </w:r>
    </w:p>
    <w:p>
      <w:pPr>
        <w:pStyle w:val="ListBullet"/>
        <w:numPr>
          <w:ilvl w:val="0"/>
          <w:numId w:val="1"/>
        </w:numPr>
        <w:spacing w:lineRule="auto" w:line="276" w:before="0" w:after="60"/>
        <w:contextualSpacing/>
        <w:rPr/>
      </w:pPr>
      <w:r>
        <w:rPr>
          <w:rFonts w:ascii="Calibri" w:hAnsi="Calibri"/>
          <w:b/>
          <w:color w:val="000000"/>
          <w:sz w:val="21"/>
        </w:rPr>
        <w:t xml:space="preserve">Patient Pose Guidelines: </w:t>
      </w:r>
      <w:r>
        <w:rPr>
          <w:rFonts w:ascii="Calibri" w:hAnsi="Calibri"/>
          <w:color w:val="000000"/>
          <w:sz w:val="21"/>
        </w:rPr>
        <w:t>Patient must dynamically adjust leg stance (forward/backward) and stretch hands based on the active camera pose location to prevent occlusions.</w:t>
      </w:r>
    </w:p>
    <w:p>
      <w:pPr>
        <w:pStyle w:val="ListBullet"/>
        <w:numPr>
          <w:ilvl w:val="0"/>
          <w:numId w:val="1"/>
        </w:numPr>
        <w:spacing w:lineRule="auto" w:line="276" w:before="0" w:after="60"/>
        <w:contextualSpacing/>
        <w:rPr/>
      </w:pPr>
      <w:r>
        <w:rPr>
          <w:rFonts w:ascii="Calibri" w:hAnsi="Calibri"/>
          <w:b/>
          <w:color w:val="000000"/>
          <w:sz w:val="21"/>
        </w:rPr>
        <w:t xml:space="preserve">Timing Considerations: </w:t>
      </w:r>
      <w:r>
        <w:rPr>
          <w:rFonts w:ascii="Calibri" w:hAnsi="Calibri"/>
          <w:color w:val="000000"/>
          <w:sz w:val="21"/>
        </w:rPr>
        <w:t>Scan time is dependent on turntable rotation speed and vertical carriage travel steps. Baselines assume 5.0s turntable rotation time and 2.0s settle time per vertical sweep step.</w:t>
      </w:r>
    </w:p>
    <w:p>
      <w:pPr>
        <w:pStyle w:val="Normal"/>
        <w:spacing w:lineRule="auto" w:line="276" w:before="120" w:after="80"/>
        <w:rPr/>
      </w:pPr>
      <w:r>
        <w:rPr>
          <w:rFonts w:ascii="Calibri" w:hAnsi="Calibri"/>
          <w:color w:val="000000"/>
          <w:sz w:val="22"/>
        </w:rPr>
        <w:t>Model 3 Sensor Optimization Matrix (Target: 30 px/mm, CoC = 25 µm, Aperture = f/8, Carriage Travel):</w:t>
      </w:r>
    </w:p>
    <w:tbl>
      <w:tblPr>
        <w:tblStyle w:val="TableGrid"/>
        <w:tblW w:w="9360" w:type="dxa"/>
        <w:jc w:val="start"/>
        <w:tblInd w:w="0" w:type="dxa"/>
        <w:tblLayout w:type="fixed"/>
        <w:tblCellMar>
          <w:top w:w="100" w:type="dxa"/>
          <w:start w:w="80" w:type="dxa"/>
          <w:bottom w:w="100" w:type="dxa"/>
          <w:end w:w="80" w:type="dxa"/>
        </w:tblCellMar>
        <w:tblLook w:val="04a0" w:firstRow="1" w:noVBand="1" w:lastRow="0" w:firstColumn="1" w:lastColumn="0" w:noHBand="0"/>
      </w:tblPr>
      <w:tblGrid>
        <w:gridCol w:w="936"/>
        <w:gridCol w:w="936"/>
        <w:gridCol w:w="936"/>
        <w:gridCol w:w="936"/>
        <w:gridCol w:w="936"/>
        <w:gridCol w:w="936"/>
        <w:gridCol w:w="936"/>
        <w:gridCol w:w="936"/>
        <w:gridCol w:w="936"/>
        <w:gridCol w:w="936"/>
      </w:tblGrid>
      <w:tr>
        <w:trPr/>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Sensor Profile</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FOV (W×H)</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Array FOV</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Horiz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Vert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Combined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DoF (CoC=25µm)</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Cams Needed</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Cost</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Scan Time</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IMX455 (61MP)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319mm × 213mm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1085mm × 543mm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36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76.2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 (4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$78,000</w:t>
            </w:r>
          </w:p>
        </w:tc>
        <w:tc>
          <w:tcPr>
            <w:tcW w:w="936" w:type="dxa"/>
            <w:tcBorders/>
            <w:tcMar>
              <w:top w:w="0" w:type="dxa"/>
              <w:start w:w="108" w:type="dxa"/>
              <w:bottom w:w="0" w:type="dxa"/>
              <w:end w:w="108" w:type="dxa"/>
            </w:tcMar>
          </w:tcPr>
          <w:p>
            <w:r>
              <w:rPr>
                <w:color w:val="000000"/>
                <w:sz w:val="16"/>
              </w:rPr>
              <w:t>115.8s (+20s to +30s)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GMAX3265 (65.4MP)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311mm × 233mm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1057mm × 594mm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36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82.8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 (4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$78,000</w:t>
            </w:r>
          </w:p>
        </w:tc>
        <w:tc>
          <w:tcPr>
            <w:tcW w:w="936" w:type="dxa"/>
            <w:tcBorders/>
            <w:tcMar>
              <w:top w:w="0" w:type="dxa"/>
              <w:start w:w="108" w:type="dxa"/>
              <w:bottom w:w="0" w:type="dxa"/>
              <w:end w:w="108" w:type="dxa"/>
            </w:tcMar>
          </w:tcPr>
          <w:p>
            <w:r>
              <w:rPr>
                <w:color w:val="000000"/>
                <w:sz w:val="16"/>
              </w:rPr>
              <w:t>115.8s (+20s to +30s)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IMX927/IMX937 (105MP)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341mm × 341mm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1159mm × 870mm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20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98.0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(3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$76,500</w:t>
            </w:r>
          </w:p>
        </w:tc>
        <w:tc>
          <w:tcPr>
            <w:tcW w:w="936" w:type="dxa"/>
            <w:tcBorders/>
            <w:tcMar>
              <w:top w:w="0" w:type="dxa"/>
              <w:start w:w="108" w:type="dxa"/>
              <w:bottom w:w="0" w:type="dxa"/>
              <w:end w:w="108" w:type="dxa"/>
            </w:tcMar>
          </w:tcPr>
          <w:p>
            <w:r>
              <w:rPr>
                <w:color w:val="000000"/>
                <w:sz w:val="16"/>
              </w:rPr>
              <w:t>71.4s (+20s to +30s)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IMX661 (127.7MP)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445mm × 317mm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1133mm × 807mm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41.1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(3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$108,000</w:t>
            </w:r>
          </w:p>
        </w:tc>
        <w:tc>
          <w:tcPr>
            <w:tcW w:w="936" w:type="dxa"/>
            <w:tcBorders/>
            <w:tcMar>
              <w:top w:w="0" w:type="dxa"/>
              <w:start w:w="108" w:type="dxa"/>
              <w:bottom w:w="0" w:type="dxa"/>
              <w:end w:w="108" w:type="dxa"/>
            </w:tcMar>
          </w:tcPr>
          <w:p>
            <w:r>
              <w:rPr>
                <w:color w:val="000000"/>
                <w:sz w:val="16"/>
              </w:rPr>
              <w:t>91.8s (+20s to +30s)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IMX411 (151MP)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473mm × 354mm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1206mm × 903mm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20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31.4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(3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$135,000</w:t>
            </w:r>
          </w:p>
        </w:tc>
        <w:tc>
          <w:tcPr>
            <w:tcW w:w="936" w:type="dxa"/>
            <w:tcBorders/>
            <w:tcMar>
              <w:top w:w="0" w:type="dxa"/>
              <w:start w:w="108" w:type="dxa"/>
              <w:bottom w:w="0" w:type="dxa"/>
              <w:end w:w="108" w:type="dxa"/>
            </w:tcMar>
          </w:tcPr>
          <w:p>
            <w:r>
              <w:rPr>
                <w:color w:val="000000"/>
                <w:sz w:val="16"/>
              </w:rPr>
              <w:t>71.4s (+20s to +30s)</w:t>
            </w:r>
          </w:p>
        </w:tc>
      </w:tr>
    </w:tbl>
    <w:p>
      <w:pPr>
        <w:pStyle w:val="Normal"/>
        <w:spacing w:lineRule="auto" w:line="276" w:before="0" w:after="80"/>
        <w:rPr/>
      </w:pPr>
      <w:r>
        <w:rPr>
          <w:color w:val="000000"/>
        </w:rPr>
      </w:r>
    </w:p>
    <w:p>
      <w:pPr>
        <w:pStyle w:val="Normal"/>
        <w:spacing w:before="80" w:after="160"/>
        <w:jc w:val="center"/>
        <w:rPr/>
      </w:pPr>
      <w:r>
        <w:rPr>
          <w:color w:val="000000"/>
        </w:rPr>
        <w:drawing>
          <wp:inline distT="0" distB="0" distL="0" distR="0">
            <wp:extent cx="4389120" cy="2028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4389120" cy="2028825"/>
                    </a:xfrm>
                    <a:prstGeom prst="rect">
                      <a:avLst/>
                    </a:prstGeom>
                    <a:noFill/>
                  </pic:spPr>
                </pic:pic>
              </a:graphicData>
            </a:graphic>
          </wp:inline>
        </w:drawing>
      </w:r>
    </w:p>
    <w:p>
      <w:pPr>
        <w:pStyle w:val="Heading1"/>
        <w:spacing w:before="0" w:after="0"/>
        <w:rPr/>
      </w:pPr>
      <w:r>
        <w:rPr>
          <w:color w:val="000000"/>
        </w:rPr>
      </w:r>
    </w:p>
    <w:p>
      <w:r>
        <w:rPr>
          <w:b/>
          <w:color w:val="000000"/>
          <w:sz w:val="22"/>
        </w:rPr>
        <w:t>Important Notes &amp; Pricing Disclaimers:</w:t>
      </w:r>
    </w:p>
    <w:p>
      <w:pPr>
        <w:pStyle w:val="ListBullet"/>
      </w:pPr>
      <w:r>
        <w:rPr>
          <w:b/>
          <w:color w:val="000000"/>
        </w:rPr>
        <w:t xml:space="preserve">Budgetary Estimates Only: </w:t>
      </w:r>
      <w:r>
        <w:rPr>
          <w:color w:val="000000"/>
        </w:rPr>
        <w:t>All camera unit costs and total system estimates listed in this document are budgetary catalog figures and subject to change once formal firm-fixed quotes are received directly from camera manufacturers and authorized distributors.</w:t>
      </w:r>
    </w:p>
    <w:p>
      <w:pPr>
        <w:pStyle w:val="ListBullet"/>
      </w:pPr>
      <w:r>
        <w:rPr>
          <w:b/>
          <w:color w:val="000000"/>
        </w:rPr>
        <w:t xml:space="preserve">Scope of Pricing (Camera Bodies Only): </w:t>
      </w:r>
      <w:r>
        <w:rPr>
          <w:color w:val="000000"/>
        </w:rPr>
        <w:t>The pricing listed reflects camera bodies only. Costs do NOT include optical lenses, lens mounts, frame grabbers, interface cabling, illumination arrays, power supplies, or mechanical gantry structures.</w:t>
      </w:r>
    </w:p>
    <w:p>
      <w:r>
        <w:rPr>
          <w:b/>
          <w:color w:val="000000"/>
          <w:sz w:val="22"/>
        </w:rPr>
        <w:t>Architectural Classification: 3D Reconstruction vs. 2D Separate Image Analysis</w:t>
      </w:r>
    </w:p>
    <w:p>
      <w:pPr>
        <w:pStyle w:val="ListBullet"/>
      </w:pPr>
      <w:r>
        <w:rPr>
          <w:b/>
          <w:color w:val="000000"/>
        </w:rPr>
        <w:t xml:space="preserve">Model 1 (3D Volumetric Model): </w:t>
      </w:r>
      <w:r>
        <w:rPr>
          <w:color w:val="000000"/>
        </w:rPr>
        <w:t>Model 1 is a true 3D Photogrammetric Model. A 360-degree rotating column sweeps around the patient to capture high-density overlapping frames, allowing continuous multi-view stereo calibration and 3D surface mesh reconstruction.</w:t>
      </w:r>
    </w:p>
    <w:p>
      <w:pPr>
        <w:pStyle w:val="ListBullet"/>
      </w:pPr>
      <w:r>
        <w:rPr>
          <w:b/>
          <w:color w:val="000000"/>
        </w:rPr>
        <w:t xml:space="preserve">Model 2 &amp; Model 3 (2D Clinical Photography Systems): </w:t>
      </w:r>
      <w:r>
        <w:rPr>
          <w:color w:val="000000"/>
        </w:rPr>
        <w:t>Model 2 (Dual-Column) and Model 3 (Scanning Carriage) are 2D Clinical Photography Systems. They execute discrete multi-pose indexing steps (0°, 90°, 180°, 270°).</w:t>
      </w:r>
    </w:p>
    <w:p>
      <w:pPr>
        <w:pStyle w:val="ListBullet"/>
      </w:pPr>
      <w:r>
        <w:rPr>
          <w:b/>
          <w:color w:val="000000"/>
        </w:rPr>
        <w:t xml:space="preserve">Separate Frame-by-Frame Image Analysis: </w:t>
      </w:r>
      <w:r>
        <w:rPr>
          <w:color w:val="000000"/>
        </w:rPr>
        <w:t>In Model 2 and Model 3, diagnostic image analysis, lesion segmentation, and color profiling are performed on each captured 2D image separately (frame-by-frame analysis), rather than generating a fused 3D volumetric mesh.</w:t>
      </w:r>
    </w:p>
    <w:p>
      <w:r>
        <w:rPr>
          <w:b/>
          <w:color w:val="000000"/>
          <w:sz w:val="22"/>
        </w:rPr>
        <w:t>Model-Specific Engineering Considerations, Motion Artifacts &amp; Scan Time Trade-Offs</w:t>
      </w:r>
    </w:p>
    <w:p>
      <w:pPr>
        <w:pStyle w:val="ListBullet"/>
      </w:pPr>
      <w:r>
        <w:rPr>
          <w:b/>
          <w:color w:val="000000"/>
        </w:rPr>
        <w:t xml:space="preserve">Model 1 — Motion Artifacts &amp; Under-Foot Imaging: </w:t>
      </w:r>
      <w:r>
        <w:rPr>
          <w:color w:val="000000"/>
        </w:rPr>
        <w:t>Continuous 360-degree rotation of the column around the patient carries a risk of patient postural sway, breathing, or tracking motion artifacts during the sweep. Additionally, standard vertical columns do not capture the soles of the feet; if under-foot lesion imaging is required, separate under-foot images must be captured using an auxiliary under-foot platform/mirror setup.</w:t>
      </w:r>
    </w:p>
    <w:p>
      <w:pPr>
        <w:pStyle w:val="ListBullet"/>
      </w:pPr>
      <w:r>
        <w:rPr>
          <w:b/>
          <w:color w:val="000000"/>
        </w:rPr>
        <w:t xml:space="preserve">Model 2 — Optimal 4-Pose Positioning: </w:t>
      </w:r>
      <w:r>
        <w:rPr>
          <w:color w:val="000000"/>
        </w:rPr>
        <w:t>Model 2 relies on determining the optimal standardized 4-pose clinical positions (0°, 90°, 180°, 270°) to maximize anatomical line-of-sight and achieve 98% skin surface coverage while keeping patient repositioning simple.</w:t>
      </w:r>
    </w:p>
    <w:p>
      <w:pPr>
        <w:pStyle w:val="ListBullet"/>
      </w:pPr>
      <w:r>
        <w:rPr>
          <w:color w:val="000000"/>
        </w:rPr>
        <w:t>Model 3 — 4-Pose Optimization &amp; Extended Scan Time: Like Model 2, Model 3 uses standardized 4-pose positions (0°, 90°, 180°, 270°). However, Model 3 takes significantly more total scan time (71.4s – 115.8s depending on sensor FOV) compared to Model 2 (26.2s + 20s to 30s overhead) because it requires combined turntable rotation transits and multi-step vertical carriage travel.</w:t>
      </w:r>
    </w:p>
    <w:p>
      <w:pPr>
        <w:pStyle w:val="ListBullet"/>
      </w:pPr>
      <w:r>
        <w:rPr>
          <w:b/>
          <w:color w:val="000000"/>
        </w:rPr>
        <w:t xml:space="preserve">Estimated Scan Timing &amp; Optical Scope Note: </w:t>
      </w:r>
      <w:r>
        <w:rPr>
          <w:color w:val="000000"/>
        </w:rPr>
        <w:t>All scan timing figures listed across Model 1, Model 2, and Model 3 are rough estimates based on baseline transit assumptions. They do NOT account for exact motor acceleration/deceleration profiles, jerk-limited kinematics, or firmware handshake latencies. The primary objective of this phase is strictly optical and geometric modeling — specifically calculating Pixel Density (px/mm), Field of View (FOV W×H), Camera Array Count, and Depth of Field (DoF) to achieve 98% patient envelope coverage.</w:t>
      </w:r>
    </w:p>
    <w:p>
      <w:r>
        <w:rPr>
          <w:b/>
          <w:color w:val="000000"/>
          <w:sz w:val="22"/>
        </w:rPr>
        <w:t>Interactive 3D Simulation &amp; Web Calculator Access:</w:t>
      </w:r>
    </w:p>
    <w:p>
      <w:pPr>
        <w:pStyle w:val="ListBullet"/>
      </w:pPr>
      <w:r>
        <w:rPr>
          <w:b/>
          <w:color w:val="000000"/>
        </w:rPr>
        <w:t xml:space="preserve">Live Cloudflare Deployment URL: </w:t>
      </w:r>
      <w:r>
        <w:rPr>
          <w:color w:val="000000"/>
        </w:rPr>
        <w:t>https://poc6-4pc.pages.dev/</w:t>
      </w:r>
    </w:p>
    <w:p>
      <w:pPr>
        <w:pStyle w:val="ListBullet"/>
      </w:pPr>
      <w:r>
        <w:rPr>
          <w:b/>
          <w:color w:val="000000"/>
        </w:rPr>
        <w:t xml:space="preserve">Security Passkey / Password: </w:t>
      </w:r>
      <w:r>
        <w:rPr>
          <w:b/>
          <w:color w:val="000000"/>
        </w:rPr>
        <w:t>rfq@30</w:t>
      </w:r>
    </w:p>
    <w:p>
      <w:pPr>
        <w:pStyle w:val="ListBullet"/>
      </w:pPr>
      <w:r>
        <w:rPr>
          <w:b/>
          <w:color w:val="000000"/>
        </w:rPr>
        <w:t xml:space="preserve">Simulation Features: </w:t>
      </w:r>
      <w:r>
        <w:rPr>
          <w:color w:val="000000"/>
        </w:rPr>
        <w:t>Provides real-time interactive 3D WebGL gantry manipulation, patient envelope positioning, real-time optical resolution calculations, camera array FOV coverage, and multi-user collaborative RFQ feedback.</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LibreOffice/26.2.4.2$Windows_X86_64 LibreOffice_project/0229ac93fcf0d7cbc6376066c6f35021cef002dc</Application>
  <AppVersion>15.0000</AppVersion>
  <Pages>6</Pages>
  <Words>1373</Words>
  <Characters>7169</Characters>
  <CharactersWithSpaces>8259</CharactersWithSpaces>
  <Paragraphs>249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2026-07-23T18:52:14Z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