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0F1E" w:val="clear"/>
            <w:tcMar>
              <w:top w:type="dxa" w:w="300"/>
              <w:left w:type="dxa" w:w="300"/>
              <w:bottom w:type="dxa" w:w="280"/>
              <w:right w:type="dxa" w:w="300"/>
            </w:tcMar>
            <w:vAlign w:val="top"/>
          </w:tcPr>
          <w:p>
            <w:pPr>
              <w:spacing w:after="80" w:before="0"/>
              <w:jc w:val="left"/>
            </w:pPr>
            <w:r>
              <w:rPr>
                <w:rFonts w:ascii="Calibri" w:cs="Calibri" w:eastAsia="Calibri" w:hAnsi="Calibri"/>
                <w:b/>
                <w:bCs/>
                <w:color w:val="00A896"/>
                <w:sz w:val="18"/>
                <w:szCs w:val="18"/>
              </w:rPr>
              <w:t xml:space="preserve">RESEARCH COMPLETE  |  ADO PBI #3981779</w:t>
            </w:r>
          </w:p>
          <w:p>
            <w:pPr>
              <w:spacing w:after="30" w:before="0"/>
              <w:jc w:val="left"/>
            </w:pPr>
            <w:r>
              <w:rPr>
                <w:rFonts w:ascii="Calibri" w:cs="Calibri" w:eastAsia="Calibri" w:hAnsi="Calibri"/>
                <w:b/>
                <w:bCs/>
                <w:color w:val="FFFFFF"/>
                <w:sz w:val="40"/>
                <w:szCs w:val="40"/>
              </w:rPr>
              <w:t xml:space="preserve">EPA System Auto Restart</w:t>
            </w:r>
          </w:p>
          <w:p>
            <w:pPr>
              <w:spacing w:after="160" w:before="0"/>
              <w:jc w:val="left"/>
            </w:pPr>
            <w:r>
              <w:rPr>
                <w:rFonts w:ascii="Calibri" w:cs="Calibri" w:eastAsia="Calibri" w:hAnsi="Calibri"/>
                <w:color w:val="AAAAAA"/>
                <w:sz w:val="24"/>
                <w:szCs w:val="24"/>
              </w:rPr>
              <w:t xml:space="preserve">SPIKE — Final Findings &amp; Conclusion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2375"/>
              <w:gridCol w:w="2375"/>
              <w:gridCol w:w="2375"/>
            </w:tblGrid>
            <w:tr>
              <w:tc>
                <w:tcPr>
                  <w:tcW w:type="dxa" w:w="2375"/>
                  <w:tcBorders>
                    <w:top w:val="none" w:color="FFFFFF" w:sz="0"/>
                    <w:left w:val="none" w:color="FFFFFF" w:sz="0"/>
                    <w:bottom w:val="none" w:color="FFFFFF" w:sz="0"/>
                    <w:right w:val="none" w:color="FFFFFF" w:sz="0"/>
                  </w:tcBorders>
                  <w:shd w:fill="0F1829" w:val="clear"/>
                  <w:tcMar>
                    <w:top w:type="dxa" w:w="100"/>
                    <w:left w:type="dxa" w:w="160"/>
                    <w:bottom w:type="dxa" w:w="100"/>
                    <w:right w:type="dxa" w:w="160"/>
                  </w:tcMar>
                  <w:vAlign w:val="top"/>
                </w:tcPr>
                <w:p>
                  <w:pPr>
                    <w:spacing w:after="20" w:before="0"/>
                    <w:jc w:val="left"/>
                  </w:pPr>
                  <w:r>
                    <w:rPr>
                      <w:rFonts w:ascii="Calibri" w:cs="Calibri" w:eastAsia="Calibri" w:hAnsi="Calibri"/>
                      <w:color w:val="7AADFF"/>
                      <w:sz w:val="15"/>
                      <w:szCs w:val="15"/>
                    </w:rPr>
                    <w:t xml:space="preserve">FROM</w:t>
                  </w:r>
                </w:p>
                <w:p>
                  <w:pPr>
                    <w:spacing w:after="0" w:before="0"/>
                    <w:jc w:val="left"/>
                  </w:pPr>
                  <w:r>
                    <w:rPr>
                      <w:rFonts w:ascii="Calibri" w:cs="Calibri" w:eastAsia="Calibri" w:hAnsi="Calibri"/>
                      <w:b/>
                      <w:bCs/>
                      <w:color w:val="FFFFFF"/>
                      <w:sz w:val="19"/>
                      <w:szCs w:val="19"/>
                    </w:rPr>
                    <w:t xml:space="preserve">Niranjan Patra</w:t>
                  </w:r>
                </w:p>
              </w:tc>
              <w:tc>
                <w:tcPr>
                  <w:tcW w:type="dxa" w:w="2375"/>
                  <w:tcBorders>
                    <w:top w:val="none" w:color="FFFFFF" w:sz="0"/>
                    <w:left w:val="none" w:color="FFFFFF" w:sz="0"/>
                    <w:bottom w:val="none" w:color="FFFFFF" w:sz="0"/>
                    <w:right w:val="none" w:color="FFFFFF" w:sz="0"/>
                  </w:tcBorders>
                  <w:shd w:fill="0F1829" w:val="clear"/>
                  <w:tcMar>
                    <w:top w:type="dxa" w:w="100"/>
                    <w:left w:type="dxa" w:w="160"/>
                    <w:bottom w:type="dxa" w:w="100"/>
                    <w:right w:type="dxa" w:w="160"/>
                  </w:tcMar>
                  <w:vAlign w:val="top"/>
                </w:tcPr>
                <w:p>
                  <w:pPr>
                    <w:spacing w:after="20" w:before="0"/>
                    <w:jc w:val="left"/>
                  </w:pPr>
                  <w:r>
                    <w:rPr>
                      <w:rFonts w:ascii="Calibri" w:cs="Calibri" w:eastAsia="Calibri" w:hAnsi="Calibri"/>
                      <w:color w:val="7AADFF"/>
                      <w:sz w:val="15"/>
                      <w:szCs w:val="15"/>
                    </w:rPr>
                    <w:t xml:space="preserve">PLATFORM</w:t>
                  </w:r>
                </w:p>
                <w:p>
                  <w:pPr>
                    <w:spacing w:after="0" w:before="0"/>
                    <w:jc w:val="left"/>
                  </w:pPr>
                  <w:r>
                    <w:rPr>
                      <w:rFonts w:ascii="Calibri" w:cs="Calibri" w:eastAsia="Calibri" w:hAnsi="Calibri"/>
                      <w:b/>
                      <w:bCs/>
                      <w:color w:val="FFFFFF"/>
                      <w:sz w:val="19"/>
                      <w:szCs w:val="19"/>
                    </w:rPr>
                    <w:t xml:space="preserve">IBM PA Cloud SaaS</w:t>
                  </w:r>
                </w:p>
              </w:tc>
              <w:tc>
                <w:tcPr>
                  <w:tcW w:type="dxa" w:w="2375"/>
                  <w:tcBorders>
                    <w:top w:val="none" w:color="FFFFFF" w:sz="0"/>
                    <w:left w:val="none" w:color="FFFFFF" w:sz="0"/>
                    <w:bottom w:val="none" w:color="FFFFFF" w:sz="0"/>
                    <w:right w:val="none" w:color="FFFFFF" w:sz="0"/>
                  </w:tcBorders>
                  <w:shd w:fill="0F1829" w:val="clear"/>
                  <w:tcMar>
                    <w:top w:type="dxa" w:w="100"/>
                    <w:left w:type="dxa" w:w="160"/>
                    <w:bottom w:type="dxa" w:w="100"/>
                    <w:right w:type="dxa" w:w="160"/>
                  </w:tcMar>
                  <w:vAlign w:val="top"/>
                </w:tcPr>
                <w:p>
                  <w:pPr>
                    <w:spacing w:after="20" w:before="0"/>
                    <w:jc w:val="left"/>
                  </w:pPr>
                  <w:r>
                    <w:rPr>
                      <w:rFonts w:ascii="Calibri" w:cs="Calibri" w:eastAsia="Calibri" w:hAnsi="Calibri"/>
                      <w:color w:val="7AADFF"/>
                      <w:sz w:val="15"/>
                      <w:szCs w:val="15"/>
                    </w:rPr>
                    <w:t xml:space="preserve">SPRINT</w:t>
                  </w:r>
                </w:p>
                <w:p>
                  <w:pPr>
                    <w:spacing w:after="0" w:before="0"/>
                    <w:jc w:val="left"/>
                  </w:pPr>
                  <w:r>
                    <w:rPr>
                      <w:rFonts w:ascii="Calibri" w:cs="Calibri" w:eastAsia="Calibri" w:hAnsi="Calibri"/>
                      <w:b/>
                      <w:bCs/>
                      <w:color w:val="FFFFFF"/>
                      <w:sz w:val="19"/>
                      <w:szCs w:val="19"/>
                    </w:rPr>
                    <w:t xml:space="preserve">PI 21 / Sprint 9</w:t>
                  </w:r>
                </w:p>
              </w:tc>
              <w:tc>
                <w:tcPr>
                  <w:tcW w:type="dxa" w:w="2375"/>
                  <w:tcBorders>
                    <w:top w:val="none" w:color="FFFFFF" w:sz="0"/>
                    <w:left w:val="none" w:color="FFFFFF" w:sz="0"/>
                    <w:bottom w:val="none" w:color="FFFFFF" w:sz="0"/>
                    <w:right w:val="none" w:color="FFFFFF" w:sz="0"/>
                  </w:tcBorders>
                  <w:shd w:fill="0F1829" w:val="clear"/>
                  <w:tcMar>
                    <w:top w:type="dxa" w:w="100"/>
                    <w:left w:type="dxa" w:w="160"/>
                    <w:bottom w:type="dxa" w:w="100"/>
                    <w:right w:type="dxa" w:w="160"/>
                  </w:tcMar>
                  <w:vAlign w:val="top"/>
                </w:tcPr>
                <w:p>
                  <w:pPr>
                    <w:spacing w:after="20" w:before="0"/>
                    <w:jc w:val="left"/>
                  </w:pPr>
                  <w:r>
                    <w:rPr>
                      <w:rFonts w:ascii="Calibri" w:cs="Calibri" w:eastAsia="Calibri" w:hAnsi="Calibri"/>
                      <w:color w:val="7AADFF"/>
                      <w:sz w:val="15"/>
                      <w:szCs w:val="15"/>
                    </w:rPr>
                    <w:t xml:space="preserve">STATUS</w:t>
                  </w:r>
                </w:p>
                <w:p>
                  <w:pPr>
                    <w:spacing w:after="0" w:before="0"/>
                    <w:jc w:val="left"/>
                  </w:pPr>
                  <w:r>
                    <w:rPr>
                      <w:rFonts w:ascii="Calibri" w:cs="Calibri" w:eastAsia="Calibri" w:hAnsi="Calibri"/>
                      <w:b/>
                      <w:bCs/>
                      <w:color w:val="00B865"/>
                      <w:sz w:val="19"/>
                      <w:szCs w:val="19"/>
                    </w:rPr>
                    <w:t xml:space="preserve">SPIKE Complete</w:t>
                  </w:r>
                </w:p>
              </w:tc>
            </w:tr>
          </w:tbl>
          <w:p/>
        </w:tc>
      </w:tr>
    </w:tbl>
    <w:p>
      <w:pPr>
        <w:spacing w:after="0" w:before="80"/>
        <w:jc w:val="left"/>
      </w:pPr>
      <w:r>
        <w:rPr>
          <w:rFonts w:ascii="Calibri" w:cs="Calibri" w:eastAsia="Calibri" w:hAnsi="Calibri"/>
          <w:color w:val="1C2333"/>
          <w:sz w:val="22"/>
          <w:szCs w:val="22"/>
        </w:rPr>
        <w:t xml:space="preserve"/>
      </w:r>
    </w:p>
    <w:p>
      <w:pPr>
        <w:spacing w:after="0" w:before="14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A6BFF" w:val="clear"/>
            <w:tcMar>
              <w:top w:type="dxa" w:w="80"/>
              <w:left w:type="dxa" w:w="160"/>
              <w:bottom w:type="dxa" w:w="80"/>
              <w:right w:type="dxa" w:w="160"/>
            </w:tcMar>
            <w:vAlign w:val="center"/>
          </w:tcPr>
          <w:p>
            <w:pPr>
              <w:spacing w:after="0" w:before="0"/>
              <w:jc w:val="center"/>
            </w:pPr>
            <w:r>
              <w:rPr>
                <w:rFonts w:ascii="Calibri" w:cs="Calibri" w:eastAsia="Calibri" w:hAnsi="Calibri"/>
                <w:b/>
                <w:bCs/>
                <w:color w:val="FFFFFF"/>
                <w:sz w:val="20"/>
                <w:szCs w:val="20"/>
              </w:rPr>
              <w:t xml:space="preserve">01</w:t>
            </w:r>
          </w:p>
        </w:tc>
        <w:tc>
          <w:tcPr>
            <w:tcW w:type="dxa" w:w="94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left"/>
            </w:pPr>
            <w:r>
              <w:rPr>
                <w:rFonts w:ascii="Calibri" w:cs="Calibri" w:eastAsia="Calibri" w:hAnsi="Calibri"/>
                <w:b/>
                <w:bCs/>
                <w:color w:val="FFFFFF"/>
                <w:sz w:val="24"/>
                <w:szCs w:val="24"/>
              </w:rPr>
              <w:t xml:space="preserve">Objective</w:t>
            </w:r>
          </w:p>
        </w:tc>
      </w:tr>
    </w:tbl>
    <w:p>
      <w:pPr>
        <w:spacing w:after="0" w:before="6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6BFF" w:sz="1"/>
              <w:left w:val="single" w:color="1A6BFF" w:sz="12"/>
              <w:bottom w:val="single" w:color="1A6BFF" w:sz="1"/>
              <w:right w:val="single" w:color="D4DDEE" w:sz="1"/>
            </w:tcBorders>
            <w:shd w:fill="EBF2FF" w:val="clear"/>
            <w:tcMar>
              <w:top w:type="dxa" w:w="140"/>
              <w:left w:type="dxa" w:w="160"/>
              <w:bottom w:type="dxa" w:w="140"/>
              <w:right w:type="dxa" w:w="160"/>
            </w:tcMar>
            <w:vAlign w:val="top"/>
          </w:tcPr>
          <w:p>
            <w:pPr>
              <w:spacing w:after="0" w:before="0"/>
              <w:jc w:val="left"/>
            </w:pPr>
            <w:r>
              <w:rPr>
                <w:rFonts w:ascii="Calibri" w:cs="Calibri" w:eastAsia="Calibri" w:hAnsi="Calibri"/>
                <w:color w:val="5A6275"/>
                <w:sz w:val="22"/>
                <w:szCs w:val="22"/>
              </w:rPr>
              <w:t xml:space="preserve">Research and determine the best design for automatically restarting the EPA (IBM Planning Analytics Cloud) instance on weekends — to proactively reclaim memory, reduce performance degradation, and improve platform stability for the Assurant EPA environment.</w:t>
            </w:r>
          </w:p>
        </w:tc>
      </w:tr>
    </w:tbl>
    <w:p>
      <w:pPr>
        <w:spacing w:after="0" w:before="14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A6BFF" w:val="clear"/>
            <w:tcMar>
              <w:top w:type="dxa" w:w="80"/>
              <w:left w:type="dxa" w:w="160"/>
              <w:bottom w:type="dxa" w:w="80"/>
              <w:right w:type="dxa" w:w="160"/>
            </w:tcMar>
            <w:vAlign w:val="center"/>
          </w:tcPr>
          <w:p>
            <w:pPr>
              <w:spacing w:after="0" w:before="0"/>
              <w:jc w:val="center"/>
            </w:pPr>
            <w:r>
              <w:rPr>
                <w:rFonts w:ascii="Calibri" w:cs="Calibri" w:eastAsia="Calibri" w:hAnsi="Calibri"/>
                <w:b/>
                <w:bCs/>
                <w:color w:val="FFFFFF"/>
                <w:sz w:val="20"/>
                <w:szCs w:val="20"/>
              </w:rPr>
              <w:t xml:space="preserve">02</w:t>
            </w:r>
          </w:p>
        </w:tc>
        <w:tc>
          <w:tcPr>
            <w:tcW w:type="dxa" w:w="94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left"/>
            </w:pPr>
            <w:r>
              <w:rPr>
                <w:rFonts w:ascii="Calibri" w:cs="Calibri" w:eastAsia="Calibri" w:hAnsi="Calibri"/>
                <w:b/>
                <w:bCs/>
                <w:color w:val="FFFFFF"/>
                <w:sz w:val="24"/>
                <w:szCs w:val="24"/>
              </w:rPr>
              <w:t xml:space="preserve">Research Approach</w:t>
            </w:r>
          </w:p>
        </w:tc>
      </w:tr>
    </w:tbl>
    <w:p>
      <w:pPr>
        <w:spacing w:after="0" w:before="6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4DDEE" w:sz="1"/>
              <w:left w:val="single" w:color="D4DDEE" w:sz="1"/>
              <w:bottom w:val="single" w:color="D4DDEE" w:sz="1"/>
              <w:right w:val="single" w:color="D4DDEE" w:sz="1"/>
            </w:tcBorders>
            <w:shd w:fill="EBF2FF" w:val="clear"/>
            <w:tcMar>
              <w:top w:type="dxa" w:w="120"/>
              <w:left w:type="dxa" w:w="160"/>
              <w:bottom w:type="dxa" w:w="120"/>
              <w:right w:type="dxa" w:w="160"/>
            </w:tcMar>
            <w:vAlign w:val="top"/>
          </w:tcPr>
          <w:p>
            <w:pPr>
              <w:spacing w:after="60" w:before="0"/>
              <w:jc w:val="left"/>
            </w:pPr>
            <w:r>
              <w:rPr>
                <w:rFonts w:ascii="Calibri" w:cs="Calibri" w:eastAsia="Calibri" w:hAnsi="Calibri"/>
                <w:b/>
                <w:bCs/>
                <w:color w:val="1A6BFF"/>
                <w:sz w:val="22"/>
                <w:szCs w:val="22"/>
              </w:rPr>
              <w:t xml:space="preserve">IBM-Native Tools</w:t>
            </w:r>
          </w:p>
          <w:p>
            <w:pPr>
              <w:pStyle w:val="ListParagraph"/>
              <w:numPr>
                <w:ilvl w:val="0"/>
                <w:numId w:val="2"/>
              </w:numPr>
              <w:spacing w:after="0" w:before="0"/>
              <w:jc w:val="left"/>
            </w:pPr>
            <w:r>
              <w:rPr>
                <w:rFonts w:ascii="Calibri" w:cs="Calibri" w:eastAsia="Calibri" w:hAnsi="Calibri"/>
                <w:color w:val="5A6275"/>
                <w:sz w:val="20"/>
                <w:szCs w:val="20"/>
              </w:rPr>
              <w:t xml:space="preserve">PAW Administration UI</w:t>
            </w:r>
          </w:p>
          <w:p>
            <w:pPr>
              <w:pStyle w:val="ListParagraph"/>
              <w:numPr>
                <w:ilvl w:val="0"/>
                <w:numId w:val="2"/>
              </w:numPr>
              <w:spacing w:after="0" w:before="0"/>
              <w:jc w:val="left"/>
            </w:pPr>
            <w:r>
              <w:rPr>
                <w:rFonts w:ascii="Calibri" w:cs="Calibri" w:eastAsia="Calibri" w:hAnsi="Calibri"/>
                <w:color w:val="5A6275"/>
                <w:sz w:val="20"/>
                <w:szCs w:val="20"/>
              </w:rPr>
              <w:t xml:space="preserve">REST / OData API</w:t>
            </w:r>
          </w:p>
          <w:p>
            <w:pPr>
              <w:pStyle w:val="ListParagraph"/>
              <w:numPr>
                <w:ilvl w:val="0"/>
                <w:numId w:val="2"/>
              </w:numPr>
              <w:spacing w:after="0" w:before="0"/>
              <w:jc w:val="left"/>
            </w:pPr>
            <w:r>
              <w:rPr>
                <w:rFonts w:ascii="Calibri" w:cs="Calibri" w:eastAsia="Calibri" w:hAnsi="Calibri"/>
                <w:color w:val="5A6275"/>
                <w:sz w:val="20"/>
                <w:szCs w:val="20"/>
              </w:rPr>
              <w:t xml:space="preserve">IBM Maintenance Windows</w:t>
            </w:r>
          </w:p>
          <w:p>
            <w:pPr>
              <w:pStyle w:val="ListParagraph"/>
              <w:numPr>
                <w:ilvl w:val="0"/>
                <w:numId w:val="2"/>
              </w:numPr>
              <w:spacing w:after="0" w:before="0"/>
              <w:jc w:val="left"/>
            </w:pPr>
            <w:r>
              <w:rPr>
                <w:rFonts w:ascii="Calibri" w:cs="Calibri" w:eastAsia="Calibri" w:hAnsi="Calibri"/>
                <w:color w:val="5A6275"/>
                <w:sz w:val="20"/>
                <w:szCs w:val="20"/>
              </w:rPr>
              <w:t xml:space="preserve">IBM Ideas Portal</w:t>
            </w:r>
          </w:p>
        </w:tc>
        <w:tc>
          <w:tcPr>
            <w:tcW w:type="dxa" w:w="3360"/>
            <w:tcBorders>
              <w:top w:val="single" w:color="D4DDEE" w:sz="1"/>
              <w:left w:val="single" w:color="D4DDEE" w:sz="1"/>
              <w:bottom w:val="single" w:color="D4DDEE" w:sz="1"/>
              <w:right w:val="single" w:color="D4DDEE" w:sz="1"/>
            </w:tcBorders>
            <w:shd w:fill="E6FAF8" w:val="clear"/>
            <w:tcMar>
              <w:top w:type="dxa" w:w="120"/>
              <w:left w:type="dxa" w:w="160"/>
              <w:bottom w:type="dxa" w:w="120"/>
              <w:right w:type="dxa" w:w="160"/>
            </w:tcMar>
            <w:vAlign w:val="top"/>
          </w:tcPr>
          <w:p>
            <w:pPr>
              <w:spacing w:after="60" w:before="0"/>
              <w:jc w:val="left"/>
            </w:pPr>
            <w:r>
              <w:rPr>
                <w:rFonts w:ascii="Calibri" w:cs="Calibri" w:eastAsia="Calibri" w:hAnsi="Calibri"/>
                <w:b/>
                <w:bCs/>
                <w:color w:val="00A896"/>
                <w:sz w:val="22"/>
                <w:szCs w:val="22"/>
              </w:rPr>
              <w:t xml:space="preserve">TI / Script-Based</w:t>
            </w:r>
          </w:p>
          <w:p>
            <w:pPr>
              <w:pStyle w:val="ListParagraph"/>
              <w:numPr>
                <w:ilvl w:val="0"/>
                <w:numId w:val="2"/>
              </w:numPr>
              <w:spacing w:after="0" w:before="0"/>
              <w:jc w:val="left"/>
            </w:pPr>
            <w:r>
              <w:rPr>
                <w:rFonts w:ascii="Calibri" w:cs="Calibri" w:eastAsia="Calibri" w:hAnsi="Calibri"/>
                <w:color w:val="5A6275"/>
                <w:sz w:val="20"/>
                <w:szCs w:val="20"/>
              </w:rPr>
              <w:t xml:space="preserve">ExecuteCommand (batch)</w:t>
            </w:r>
          </w:p>
          <w:p>
            <w:pPr>
              <w:pStyle w:val="ListParagraph"/>
              <w:numPr>
                <w:ilvl w:val="0"/>
                <w:numId w:val="2"/>
              </w:numPr>
              <w:spacing w:after="0" w:before="0"/>
              <w:jc w:val="left"/>
            </w:pPr>
            <w:r>
              <w:rPr>
                <w:rFonts w:ascii="Calibri" w:cs="Calibri" w:eastAsia="Calibri" w:hAnsi="Calibri"/>
                <w:color w:val="5A6275"/>
                <w:sz w:val="20"/>
                <w:szCs w:val="20"/>
              </w:rPr>
              <w:t xml:space="preserve">ExecuteHttpRequest</w:t>
            </w:r>
          </w:p>
          <w:p>
            <w:pPr>
              <w:pStyle w:val="ListParagraph"/>
              <w:numPr>
                <w:ilvl w:val="0"/>
                <w:numId w:val="2"/>
              </w:numPr>
              <w:spacing w:after="0" w:before="0"/>
              <w:jc w:val="left"/>
            </w:pPr>
            <w:r>
              <w:rPr>
                <w:rFonts w:ascii="Calibri" w:cs="Calibri" w:eastAsia="Calibri" w:hAnsi="Calibri"/>
                <w:color w:val="5A6275"/>
                <w:sz w:val="20"/>
                <w:szCs w:val="20"/>
              </w:rPr>
              <w:t xml:space="preserve">TI Hygiene Chore</w:t>
            </w:r>
          </w:p>
          <w:p>
            <w:pPr>
              <w:pStyle w:val="ListParagraph"/>
              <w:numPr>
                <w:ilvl w:val="0"/>
                <w:numId w:val="2"/>
              </w:numPr>
              <w:spacing w:after="0" w:before="0"/>
              <w:jc w:val="left"/>
            </w:pPr>
            <w:r>
              <w:rPr>
                <w:rFonts w:ascii="Calibri" w:cs="Calibri" w:eastAsia="Calibri" w:hAnsi="Calibri"/>
                <w:color w:val="5A6275"/>
                <w:sz w:val="20"/>
                <w:szCs w:val="20"/>
              </w:rPr>
              <w:t xml:space="preserve">TM1py restart()</w:t>
            </w:r>
          </w:p>
        </w:tc>
        <w:tc>
          <w:tcPr>
            <w:tcW w:type="dxa" w:w="3360"/>
            <w:tcBorders>
              <w:top w:val="single" w:color="D4DDEE" w:sz="1"/>
              <w:left w:val="single" w:color="D4DDEE" w:sz="1"/>
              <w:bottom w:val="single" w:color="D4DDEE" w:sz="1"/>
              <w:right w:val="single" w:color="D4DDEE" w:sz="1"/>
            </w:tcBorders>
            <w:shd w:fill="FEF9EC" w:val="clear"/>
            <w:tcMar>
              <w:top w:type="dxa" w:w="120"/>
              <w:left w:type="dxa" w:w="160"/>
              <w:bottom w:type="dxa" w:w="120"/>
              <w:right w:type="dxa" w:w="160"/>
            </w:tcMar>
            <w:vAlign w:val="top"/>
          </w:tcPr>
          <w:p>
            <w:pPr>
              <w:spacing w:after="60" w:before="0"/>
              <w:jc w:val="left"/>
            </w:pPr>
            <w:r>
              <w:rPr>
                <w:rFonts w:ascii="Calibri" w:cs="Calibri" w:eastAsia="Calibri" w:hAnsi="Calibri"/>
                <w:b/>
                <w:bCs/>
                <w:color w:val="E6A817"/>
                <w:sz w:val="22"/>
                <w:szCs w:val="22"/>
              </w:rPr>
              <w:t xml:space="preserve">Enterprise Schedulers</w:t>
            </w:r>
          </w:p>
          <w:p>
            <w:pPr>
              <w:pStyle w:val="ListParagraph"/>
              <w:numPr>
                <w:ilvl w:val="0"/>
                <w:numId w:val="2"/>
              </w:numPr>
              <w:spacing w:after="0" w:before="0"/>
              <w:jc w:val="left"/>
            </w:pPr>
            <w:r>
              <w:rPr>
                <w:rFonts w:ascii="Calibri" w:cs="Calibri" w:eastAsia="Calibri" w:hAnsi="Calibri"/>
                <w:color w:val="5A6275"/>
                <w:sz w:val="20"/>
                <w:szCs w:val="20"/>
              </w:rPr>
              <w:t xml:space="preserve">Windows Task Scheduler</w:t>
            </w:r>
          </w:p>
          <w:p>
            <w:pPr>
              <w:pStyle w:val="ListParagraph"/>
              <w:numPr>
                <w:ilvl w:val="0"/>
                <w:numId w:val="2"/>
              </w:numPr>
              <w:spacing w:after="0" w:before="0"/>
              <w:jc w:val="left"/>
            </w:pPr>
            <w:r>
              <w:rPr>
                <w:rFonts w:ascii="Calibri" w:cs="Calibri" w:eastAsia="Calibri" w:hAnsi="Calibri"/>
                <w:color w:val="5A6275"/>
                <w:sz w:val="20"/>
                <w:szCs w:val="20"/>
              </w:rPr>
              <w:t xml:space="preserve">Control-M</w:t>
            </w:r>
          </w:p>
          <w:p>
            <w:pPr>
              <w:pStyle w:val="ListParagraph"/>
              <w:numPr>
                <w:ilvl w:val="0"/>
                <w:numId w:val="2"/>
              </w:numPr>
              <w:spacing w:after="0" w:before="0"/>
              <w:jc w:val="left"/>
            </w:pPr>
            <w:r>
              <w:rPr>
                <w:rFonts w:ascii="Calibri" w:cs="Calibri" w:eastAsia="Calibri" w:hAnsi="Calibri"/>
                <w:color w:val="5A6275"/>
                <w:sz w:val="20"/>
                <w:szCs w:val="20"/>
              </w:rPr>
              <w:t xml:space="preserve">Power Automate</w:t>
            </w:r>
          </w:p>
          <w:p>
            <w:pPr>
              <w:pStyle w:val="ListParagraph"/>
              <w:numPr>
                <w:ilvl w:val="0"/>
                <w:numId w:val="2"/>
              </w:numPr>
              <w:spacing w:after="0" w:before="0"/>
              <w:jc w:val="left"/>
            </w:pPr>
            <w:r>
              <w:rPr>
                <w:rFonts w:ascii="Calibri" w:cs="Calibri" w:eastAsia="Calibri" w:hAnsi="Calibri"/>
                <w:color w:val="5A6275"/>
                <w:sz w:val="20"/>
                <w:szCs w:val="20"/>
              </w:rPr>
              <w:t xml:space="preserve">Cognos Command Center</w:t>
            </w:r>
          </w:p>
        </w:tc>
      </w:tr>
    </w:tbl>
    <w:p>
      <w:pPr>
        <w:spacing w:after="0" w:before="60"/>
        <w:jc w:val="left"/>
      </w:pPr>
      <w:r>
        <w:rPr>
          <w:rFonts w:ascii="Calibri" w:cs="Calibri" w:eastAsia="Calibri" w:hAnsi="Calibri"/>
          <w:color w:val="1C2333"/>
          <w:sz w:val="22"/>
          <w:szCs w:val="22"/>
        </w:rPr>
        <w:t xml:space="preserve"/>
      </w:r>
    </w:p>
    <w:p>
      <w:pPr>
        <w:spacing w:after="0" w:before="0"/>
        <w:jc w:val="left"/>
      </w:pPr>
      <w:r>
        <w:rPr>
          <w:rFonts w:ascii="Calibri" w:cs="Calibri" w:eastAsia="Calibri" w:hAnsi="Calibri"/>
          <w:color w:val="5A6275"/>
          <w:sz w:val="22"/>
          <w:szCs w:val="22"/>
        </w:rPr>
        <w:t xml:space="preserve">A formal </w:t>
      </w:r>
      <w:r>
        <w:rPr>
          <w:rFonts w:ascii="Calibri" w:cs="Calibri" w:eastAsia="Calibri" w:hAnsi="Calibri"/>
          <w:b/>
          <w:bCs/>
          <w:color w:val="1C2333"/>
          <w:sz w:val="22"/>
          <w:szCs w:val="22"/>
        </w:rPr>
        <w:t xml:space="preserve">Severity 4 IBM Support case</w:t>
      </w:r>
      <w:r>
        <w:rPr>
          <w:rFonts w:ascii="Calibri" w:cs="Calibri" w:eastAsia="Calibri" w:hAnsi="Calibri"/>
          <w:color w:val="5A6275"/>
          <w:sz w:val="22"/>
          <w:szCs w:val="22"/>
        </w:rPr>
        <w:t xml:space="preserve"> was raised on April 23, 2026 to obtain IBM's official position directly from their support engineering team (IBM Support Engineer: Jakub Makowka).</w:t>
      </w:r>
    </w:p>
    <w:p>
      <w:pPr>
        <w:spacing w:after="0" w:before="14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A6BFF" w:val="clear"/>
            <w:tcMar>
              <w:top w:type="dxa" w:w="80"/>
              <w:left w:type="dxa" w:w="160"/>
              <w:bottom w:type="dxa" w:w="80"/>
              <w:right w:type="dxa" w:w="160"/>
            </w:tcMar>
            <w:vAlign w:val="center"/>
          </w:tcPr>
          <w:p>
            <w:pPr>
              <w:spacing w:after="0" w:before="0"/>
              <w:jc w:val="center"/>
            </w:pPr>
            <w:r>
              <w:rPr>
                <w:rFonts w:ascii="Calibri" w:cs="Calibri" w:eastAsia="Calibri" w:hAnsi="Calibri"/>
                <w:b/>
                <w:bCs/>
                <w:color w:val="FFFFFF"/>
                <w:sz w:val="20"/>
                <w:szCs w:val="20"/>
              </w:rPr>
              <w:t xml:space="preserve">03</w:t>
            </w:r>
          </w:p>
        </w:tc>
        <w:tc>
          <w:tcPr>
            <w:tcW w:type="dxa" w:w="94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left"/>
            </w:pPr>
            <w:r>
              <w:rPr>
                <w:rFonts w:ascii="Calibri" w:cs="Calibri" w:eastAsia="Calibri" w:hAnsi="Calibri"/>
                <w:b/>
                <w:bCs/>
                <w:color w:val="FFFFFF"/>
                <w:sz w:val="24"/>
                <w:szCs w:val="24"/>
              </w:rPr>
              <w:t xml:space="preserve">IBM Official Response — April 23, 2026</w:t>
            </w:r>
          </w:p>
        </w:tc>
      </w:tr>
    </w:tbl>
    <w:p>
      <w:pPr>
        <w:spacing w:after="0" w:before="6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480"/>
        <w:gridCol w:w="2200"/>
      </w:tblGrid>
      <w:tr>
        <w:tc>
          <w:tcPr>
            <w:tcW w:type="dxa" w:w="140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center"/>
          </w:tcPr>
          <w:p>
            <w:pPr>
              <w:spacing w:after="0" w:before="0"/>
              <w:jc w:val="center"/>
            </w:pPr>
            <w:r>
              <w:rPr>
                <w:rFonts w:ascii="Calibri" w:cs="Calibri" w:eastAsia="Calibri" w:hAnsi="Calibri"/>
                <w:b/>
                <w:bCs/>
                <w:color w:val="FFFFFF"/>
                <w:sz w:val="26"/>
                <w:szCs w:val="26"/>
              </w:rPr>
              <w:t xml:space="preserve">IBM</w:t>
            </w:r>
          </w:p>
        </w:tc>
        <w:tc>
          <w:tcPr>
            <w:tcW w:type="dxa" w:w="64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center"/>
          </w:tcPr>
          <w:p>
            <w:pPr>
              <w:spacing w:after="0" w:before="0"/>
              <w:jc w:val="left"/>
            </w:pPr>
            <w:r>
              <w:rPr>
                <w:rFonts w:ascii="Calibri" w:cs="Calibri" w:eastAsia="Calibri" w:hAnsi="Calibri"/>
                <w:color w:val="AAAAAA"/>
                <w:sz w:val="18"/>
                <w:szCs w:val="18"/>
              </w:rPr>
              <w:t xml:space="preserve">Support Engineer: Jakub Makowka  |  IBM Planning Analytics Cloud Case</w:t>
            </w:r>
          </w:p>
        </w:tc>
        <w:tc>
          <w:tcPr>
            <w:tcW w:type="dxa" w:w="220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center"/>
          </w:tcPr>
          <w:p>
            <w:pPr>
              <w:spacing w:after="0" w:before="0"/>
              <w:jc w:val="right"/>
            </w:pPr>
            <w:r>
              <w:rPr>
                <w:rFonts w:ascii="Calibri" w:cs="Calibri" w:eastAsia="Calibri" w:hAnsi="Calibri"/>
                <w:color w:val="666666"/>
                <w:sz w:val="17"/>
                <w:szCs w:val="17"/>
              </w:rPr>
              <w:t xml:space="preserve">Apr 23, 2026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8980"/>
      </w:tblGrid>
      <w:tr>
        <w:tc>
          <w:tcPr>
            <w:tcW w:type="dxa" w:w="1100"/>
            <w:tcBorders>
              <w:top w:val="single" w:color="D4DDEE" w:sz="1"/>
              <w:left w:val="none" w:color="FFFFFF" w:sz="0"/>
              <w:bottom w:val="single" w:color="D4DDEE" w:sz="1"/>
              <w:right w:val="single" w:color="D4DDEE" w:sz="1"/>
            </w:tcBorders>
            <w:shd w:fill="FDECEA"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E63946"/>
                <w:sz w:val="28"/>
                <w:szCs w:val="28"/>
              </w:rPr>
              <w:t xml:space="preserve">x</w:t>
            </w:r>
          </w:p>
          <w:p>
            <w:pPr>
              <w:spacing w:after="0" w:before="0"/>
              <w:jc w:val="center"/>
            </w:pPr>
            <w:r>
              <w:rPr>
                <w:rFonts w:ascii="Calibri" w:cs="Calibri" w:eastAsia="Calibri" w:hAnsi="Calibri"/>
                <w:b/>
                <w:bCs/>
                <w:color w:val="E63946"/>
                <w:sz w:val="16"/>
                <w:szCs w:val="16"/>
              </w:rPr>
              <w:t xml:space="preserve">Blocked</w:t>
            </w:r>
          </w:p>
        </w:tc>
        <w:tc>
          <w:tcPr>
            <w:tcW w:type="dxa" w:w="8980"/>
            <w:tcBorders>
              <w:top w:val="single" w:color="D4DDEE" w:sz="1"/>
              <w:left w:val="none" w:color="FFFFFF" w:sz="0"/>
              <w:bottom w:val="single" w:color="D4DDEE" w:sz="1"/>
              <w:right w:val="none" w:color="FFFFFF" w:sz="0"/>
            </w:tcBorders>
            <w:tcMar>
              <w:top w:type="dxa" w:w="120"/>
              <w:left w:type="dxa" w:w="160"/>
              <w:bottom w:type="dxa" w:w="120"/>
              <w:right w:type="dxa" w:w="160"/>
            </w:tcMar>
            <w:vAlign w:val="top"/>
          </w:tcPr>
          <w:p>
            <w:pPr>
              <w:spacing w:after="40" w:before="0"/>
              <w:jc w:val="left"/>
            </w:pPr>
            <w:r>
              <w:rPr>
                <w:rFonts w:ascii="Calibri" w:cs="Calibri" w:eastAsia="Calibri" w:hAnsi="Calibri"/>
                <w:b/>
                <w:bCs/>
                <w:color w:val="1C2333"/>
                <w:sz w:val="22"/>
                <w:szCs w:val="22"/>
              </w:rPr>
              <w:t xml:space="preserve">Scheduled / Automatic Restart by Customer</w:t>
            </w:r>
          </w:p>
          <w:p>
            <w:pPr>
              <w:spacing w:after="0" w:before="0"/>
              <w:jc w:val="left"/>
            </w:pPr>
            <w:r>
              <w:rPr>
                <w:rFonts w:ascii="Calibri" w:cs="Calibri" w:eastAsia="Calibri" w:hAnsi="Calibri"/>
                <w:color w:val="5A6275"/>
                <w:sz w:val="20"/>
                <w:szCs w:val="20"/>
              </w:rPr>
              <w:t xml:space="preserve">Not supported in current PA Cloud versions. The Windows Task Scheduler approach previously available has been removed and is no longer supported by IBM.</w:t>
            </w:r>
          </w:p>
        </w:tc>
      </w:tr>
      <w:tr>
        <w:tc>
          <w:tcPr>
            <w:tcW w:type="dxa" w:w="1100"/>
            <w:tcBorders>
              <w:top w:val="single" w:color="D4DDEE" w:sz="1"/>
              <w:left w:val="none" w:color="FFFFFF" w:sz="0"/>
              <w:bottom w:val="single" w:color="D4DDEE" w:sz="1"/>
              <w:right w:val="single" w:color="D4DDEE" w:sz="1"/>
            </w:tcBorders>
            <w:shd w:fill="FDECEA"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E63946"/>
                <w:sz w:val="28"/>
                <w:szCs w:val="28"/>
              </w:rPr>
              <w:t xml:space="preserve">x</w:t>
            </w:r>
          </w:p>
          <w:p>
            <w:pPr>
              <w:spacing w:after="0" w:before="0"/>
              <w:jc w:val="center"/>
            </w:pPr>
            <w:r>
              <w:rPr>
                <w:rFonts w:ascii="Calibri" w:cs="Calibri" w:eastAsia="Calibri" w:hAnsi="Calibri"/>
                <w:b/>
                <w:bCs/>
                <w:color w:val="E63946"/>
                <w:sz w:val="16"/>
                <w:szCs w:val="16"/>
              </w:rPr>
              <w:t xml:space="preserve">Blocked</w:t>
            </w:r>
          </w:p>
        </w:tc>
        <w:tc>
          <w:tcPr>
            <w:tcW w:type="dxa" w:w="8980"/>
            <w:tcBorders>
              <w:top w:val="single" w:color="D4DDEE" w:sz="1"/>
              <w:left w:val="none" w:color="FFFFFF" w:sz="0"/>
              <w:bottom w:val="single" w:color="D4DDEE" w:sz="1"/>
              <w:right w:val="none" w:color="FFFFFF" w:sz="0"/>
            </w:tcBorders>
            <w:tcMar>
              <w:top w:type="dxa" w:w="120"/>
              <w:left w:type="dxa" w:w="160"/>
              <w:bottom w:type="dxa" w:w="120"/>
              <w:right w:type="dxa" w:w="160"/>
            </w:tcMar>
            <w:vAlign w:val="top"/>
          </w:tcPr>
          <w:p>
            <w:pPr>
              <w:spacing w:after="40" w:before="0"/>
              <w:jc w:val="left"/>
            </w:pPr>
            <w:r>
              <w:rPr>
                <w:rFonts w:ascii="Calibri" w:cs="Calibri" w:eastAsia="Calibri" w:hAnsi="Calibri"/>
                <w:b/>
                <w:bCs/>
                <w:color w:val="1C2333"/>
                <w:sz w:val="22"/>
                <w:szCs w:val="22"/>
              </w:rPr>
              <w:t xml:space="preserve">Additional IBM-Managed Maintenance Windows</w:t>
            </w:r>
          </w:p>
          <w:p>
            <w:pPr>
              <w:spacing w:after="0" w:before="0"/>
              <w:jc w:val="left"/>
            </w:pPr>
            <w:r>
              <w:rPr>
                <w:rFonts w:ascii="Calibri" w:cs="Calibri" w:eastAsia="Calibri" w:hAnsi="Calibri"/>
                <w:color w:val="5A6275"/>
                <w:sz w:val="20"/>
                <w:szCs w:val="20"/>
              </w:rPr>
              <w:t xml:space="preserve">Not possible beyond the standard cadence. Customers cannot request or schedule additional IBM-managed maintenance windows.</w:t>
            </w:r>
          </w:p>
        </w:tc>
      </w:tr>
      <w:tr>
        <w:tc>
          <w:tcPr>
            <w:tcW w:type="dxa" w:w="1100"/>
            <w:tcBorders>
              <w:top w:val="single" w:color="D4DDEE" w:sz="1"/>
              <w:left w:val="none" w:color="FFFFFF" w:sz="0"/>
              <w:bottom w:val="single" w:color="D4DDEE" w:sz="1"/>
              <w:right w:val="single" w:color="D4DDEE" w:sz="1"/>
            </w:tcBorders>
            <w:shd w:fill="FDECEA"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E63946"/>
                <w:sz w:val="28"/>
                <w:szCs w:val="28"/>
              </w:rPr>
              <w:t xml:space="preserve">x</w:t>
            </w:r>
          </w:p>
          <w:p>
            <w:pPr>
              <w:spacing w:after="0" w:before="0"/>
              <w:jc w:val="center"/>
            </w:pPr>
            <w:r>
              <w:rPr>
                <w:rFonts w:ascii="Calibri" w:cs="Calibri" w:eastAsia="Calibri" w:hAnsi="Calibri"/>
                <w:b/>
                <w:bCs/>
                <w:color w:val="E63946"/>
                <w:sz w:val="16"/>
                <w:szCs w:val="16"/>
              </w:rPr>
              <w:t xml:space="preserve">Blocked</w:t>
            </w:r>
          </w:p>
        </w:tc>
        <w:tc>
          <w:tcPr>
            <w:tcW w:type="dxa" w:w="8980"/>
            <w:tcBorders>
              <w:top w:val="single" w:color="D4DDEE" w:sz="1"/>
              <w:left w:val="none" w:color="FFFFFF" w:sz="0"/>
              <w:bottom w:val="single" w:color="D4DDEE" w:sz="1"/>
              <w:right w:val="none" w:color="FFFFFF" w:sz="0"/>
            </w:tcBorders>
            <w:tcMar>
              <w:top w:type="dxa" w:w="120"/>
              <w:left w:type="dxa" w:w="160"/>
              <w:bottom w:type="dxa" w:w="120"/>
              <w:right w:type="dxa" w:w="160"/>
            </w:tcMar>
            <w:vAlign w:val="top"/>
          </w:tcPr>
          <w:p>
            <w:pPr>
              <w:spacing w:after="40" w:before="0"/>
              <w:jc w:val="left"/>
            </w:pPr>
            <w:r>
              <w:rPr>
                <w:rFonts w:ascii="Calibri" w:cs="Calibri" w:eastAsia="Calibri" w:hAnsi="Calibri"/>
                <w:b/>
                <w:bCs/>
                <w:color w:val="1C2333"/>
                <w:sz w:val="22"/>
                <w:szCs w:val="22"/>
              </w:rPr>
              <w:t xml:space="preserve">Programmatic Restart via REST API / PAW Administration</w:t>
            </w:r>
          </w:p>
          <w:p>
            <w:pPr>
              <w:spacing w:after="0" w:before="0"/>
              <w:jc w:val="left"/>
            </w:pPr>
            <w:r>
              <w:rPr>
                <w:rFonts w:ascii="Calibri" w:cs="Calibri" w:eastAsia="Calibri" w:hAnsi="Calibri"/>
                <w:color w:val="5A6275"/>
                <w:sz w:val="20"/>
                <w:szCs w:val="20"/>
              </w:rPr>
              <w:t xml:space="preserve">Only Start/Stop operations are available via the PAW API. REST endpoints do not have the required permissions to restart the underlying Windows service. A full restart cannot be triggered programmatically.</w:t>
            </w:r>
          </w:p>
        </w:tc>
      </w:tr>
      <w:tr>
        <w:tc>
          <w:tcPr>
            <w:tcW w:type="dxa" w:w="1100"/>
            <w:tcBorders>
              <w:top w:val="single" w:color="D4DDEE" w:sz="1"/>
              <w:left w:val="none" w:color="FFFFFF" w:sz="0"/>
              <w:bottom w:val="none" w:color="FFFFFF" w:sz="0"/>
              <w:right w:val="single" w:color="D4DDEE" w:sz="1"/>
            </w:tcBorders>
            <w:shd w:fill="E6FAF0"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00B865"/>
                <w:sz w:val="28"/>
                <w:szCs w:val="28"/>
              </w:rPr>
              <w:t xml:space="preserve">+</w:t>
            </w:r>
          </w:p>
          <w:p>
            <w:pPr>
              <w:spacing w:after="0" w:before="0"/>
              <w:jc w:val="center"/>
            </w:pPr>
            <w:r>
              <w:rPr>
                <w:rFonts w:ascii="Calibri" w:cs="Calibri" w:eastAsia="Calibri" w:hAnsi="Calibri"/>
                <w:b/>
                <w:bCs/>
                <w:color w:val="00B865"/>
                <w:sz w:val="16"/>
                <w:szCs w:val="16"/>
              </w:rPr>
              <w:t xml:space="preserve">Confirmed</w:t>
            </w:r>
          </w:p>
        </w:tc>
        <w:tc>
          <w:tcPr>
            <w:tcW w:type="dxa" w:w="8980"/>
            <w:tcBorders>
              <w:top w:val="single" w:color="D4DDEE" w:sz="1"/>
              <w:left w:val="none" w:color="FFFFFF" w:sz="0"/>
              <w:bottom w:val="none" w:color="FFFFFF" w:sz="0"/>
              <w:right w:val="none" w:color="FFFFFF" w:sz="0"/>
            </w:tcBorders>
            <w:tcMar>
              <w:top w:type="dxa" w:w="120"/>
              <w:left w:type="dxa" w:w="160"/>
              <w:bottom w:type="dxa" w:w="120"/>
              <w:right w:type="dxa" w:w="160"/>
            </w:tcMar>
            <w:vAlign w:val="top"/>
          </w:tcPr>
          <w:p>
            <w:pPr>
              <w:spacing w:after="40" w:before="0"/>
              <w:jc w:val="left"/>
            </w:pPr>
            <w:r>
              <w:rPr>
                <w:rFonts w:ascii="Calibri" w:cs="Calibri" w:eastAsia="Calibri" w:hAnsi="Calibri"/>
                <w:b/>
                <w:bCs/>
                <w:color w:val="1C2333"/>
                <w:sz w:val="22"/>
                <w:szCs w:val="22"/>
              </w:rPr>
              <w:t xml:space="preserve">IBM Weekly Maintenance Already Includes a Data Tier Restart</w:t>
            </w:r>
          </w:p>
          <w:p>
            <w:pPr>
              <w:spacing w:after="0" w:before="0"/>
              <w:jc w:val="left"/>
            </w:pPr>
            <w:r>
              <w:rPr>
                <w:rFonts w:ascii="Calibri" w:cs="Calibri" w:eastAsia="Calibri" w:hAnsi="Calibri"/>
                <w:color w:val="5A6275"/>
                <w:sz w:val="20"/>
                <w:szCs w:val="20"/>
              </w:rPr>
              <w:t xml:space="preserve">IBM confirmed that during their weekly maintenance windows, Data Tiers are usually restarted. This can be verified by reviewing Server Logs in PAW Administration after each maintenance window.</w:t>
            </w:r>
          </w:p>
        </w:tc>
      </w:tr>
    </w:tbl>
    <w:p>
      <w:pPr>
        <w:spacing w:after="0" w:before="14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A6BFF" w:val="clear"/>
            <w:tcMar>
              <w:top w:type="dxa" w:w="80"/>
              <w:left w:type="dxa" w:w="160"/>
              <w:bottom w:type="dxa" w:w="80"/>
              <w:right w:type="dxa" w:w="160"/>
            </w:tcMar>
            <w:vAlign w:val="center"/>
          </w:tcPr>
          <w:p>
            <w:pPr>
              <w:spacing w:after="0" w:before="0"/>
              <w:jc w:val="center"/>
            </w:pPr>
            <w:r>
              <w:rPr>
                <w:rFonts w:ascii="Calibri" w:cs="Calibri" w:eastAsia="Calibri" w:hAnsi="Calibri"/>
                <w:b/>
                <w:bCs/>
                <w:color w:val="FFFFFF"/>
                <w:sz w:val="20"/>
                <w:szCs w:val="20"/>
              </w:rPr>
              <w:t xml:space="preserve">04</w:t>
            </w:r>
          </w:p>
        </w:tc>
        <w:tc>
          <w:tcPr>
            <w:tcW w:type="dxa" w:w="94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left"/>
            </w:pPr>
            <w:r>
              <w:rPr>
                <w:rFonts w:ascii="Calibri" w:cs="Calibri" w:eastAsia="Calibri" w:hAnsi="Calibri"/>
                <w:b/>
                <w:bCs/>
                <w:color w:val="FFFFFF"/>
                <w:sz w:val="24"/>
                <w:szCs w:val="24"/>
              </w:rPr>
              <w:t xml:space="preserve">Key Positive Finding</w:t>
            </w:r>
          </w:p>
        </w:tc>
      </w:tr>
    </w:tbl>
    <w:p>
      <w:pPr>
        <w:spacing w:after="0" w:before="6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B865" w:sz="1"/>
              <w:left w:val="single" w:color="00B865" w:sz="12"/>
              <w:bottom w:val="single" w:color="00B865" w:sz="1"/>
              <w:right w:val="single" w:color="0D2B1A" w:sz="1"/>
            </w:tcBorders>
            <w:shd w:fill="0D2B1A" w:val="clear"/>
            <w:tcMar>
              <w:top w:type="dxa" w:w="200"/>
              <w:left w:type="dxa" w:w="160"/>
              <w:bottom w:type="dxa" w:w="200"/>
              <w:right w:type="dxa" w:w="160"/>
            </w:tcMar>
            <w:vAlign w:val="top"/>
          </w:tcPr>
          <w:p>
            <w:pPr>
              <w:spacing w:after="80" w:before="0"/>
              <w:jc w:val="left"/>
            </w:pPr>
            <w:r>
              <w:rPr>
                <w:rFonts w:ascii="Calibri" w:cs="Calibri" w:eastAsia="Calibri" w:hAnsi="Calibri"/>
                <w:b/>
                <w:bCs/>
                <w:color w:val="E6A817"/>
                <w:sz w:val="18"/>
                <w:szCs w:val="18"/>
              </w:rPr>
              <w:t xml:space="preserve">UNEXPECTED OUTCOME</w:t>
            </w:r>
          </w:p>
          <w:p>
            <w:pPr>
              <w:spacing w:after="80" w:before="0"/>
              <w:jc w:val="left"/>
            </w:pPr>
            <w:r>
              <w:rPr>
                <w:rFonts w:ascii="Calibri" w:cs="Calibri" w:eastAsia="Calibri" w:hAnsi="Calibri"/>
                <w:color w:val="CCCCCC"/>
                <w:sz w:val="22"/>
                <w:szCs w:val="22"/>
              </w:rPr>
              <w:t xml:space="preserve">While all customer-triggered automated restart paths are confirmed blocked, IBM's existing </w:t>
            </w:r>
            <w:r>
              <w:rPr>
                <w:rFonts w:ascii="Calibri" w:cs="Calibri" w:eastAsia="Calibri" w:hAnsi="Calibri"/>
                <w:b/>
                <w:bCs/>
                <w:color w:val="E6A817"/>
                <w:sz w:val="22"/>
                <w:szCs w:val="22"/>
              </w:rPr>
              <w:t xml:space="preserve">weekly maintenance cadence already includes a Data Tier restart</w:t>
            </w:r>
            <w:r>
              <w:rPr>
                <w:rFonts w:ascii="Calibri" w:cs="Calibri" w:eastAsia="Calibri" w:hAnsi="Calibri"/>
                <w:color w:val="CCCCCC"/>
                <w:sz w:val="22"/>
                <w:szCs w:val="22"/>
              </w:rPr>
              <w:t xml:space="preserve"> — which is precisely the memory reclaim mechanism this SPIKE was designed to achieve.</w:t>
            </w:r>
          </w:p>
          <w:p>
            <w:pPr>
              <w:spacing w:after="0" w:before="0"/>
              <w:jc w:val="left"/>
            </w:pPr>
            <w:r>
              <w:rPr>
                <w:rFonts w:ascii="Calibri" w:cs="Calibri" w:eastAsia="Calibri" w:hAnsi="Calibri"/>
                <w:color w:val="CCCCCC"/>
                <w:sz w:val="22"/>
                <w:szCs w:val="22"/>
              </w:rPr>
              <w:t xml:space="preserve">This means EPA is very likely already benefiting from a weekly memory reset via IBM's standard operations. We can </w:t>
            </w:r>
            <w:r>
              <w:rPr>
                <w:rFonts w:ascii="Calibri" w:cs="Calibri" w:eastAsia="Calibri" w:hAnsi="Calibri"/>
                <w:b/>
                <w:bCs/>
                <w:color w:val="FFFFFF"/>
                <w:sz w:val="22"/>
                <w:szCs w:val="22"/>
              </w:rPr>
              <w:t xml:space="preserve">verify this immediately by reviewing PAW Server Logs</w:t>
            </w:r>
            <w:r>
              <w:rPr>
                <w:rFonts w:ascii="Calibri" w:cs="Calibri" w:eastAsia="Calibri" w:hAnsi="Calibri"/>
                <w:color w:val="CCCCCC"/>
                <w:sz w:val="22"/>
                <w:szCs w:val="22"/>
              </w:rPr>
              <w:t xml:space="preserve"> after IBM's next maintenance window.</w:t>
            </w:r>
          </w:p>
        </w:tc>
      </w:tr>
    </w:tbl>
    <w:p>
      <w:pPr>
        <w:spacing w:after="0" w:before="14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A6BFF" w:val="clear"/>
            <w:tcMar>
              <w:top w:type="dxa" w:w="80"/>
              <w:left w:type="dxa" w:w="160"/>
              <w:bottom w:type="dxa" w:w="80"/>
              <w:right w:type="dxa" w:w="160"/>
            </w:tcMar>
            <w:vAlign w:val="center"/>
          </w:tcPr>
          <w:p>
            <w:pPr>
              <w:spacing w:after="0" w:before="0"/>
              <w:jc w:val="center"/>
            </w:pPr>
            <w:r>
              <w:rPr>
                <w:rFonts w:ascii="Calibri" w:cs="Calibri" w:eastAsia="Calibri" w:hAnsi="Calibri"/>
                <w:b/>
                <w:bCs/>
                <w:color w:val="FFFFFF"/>
                <w:sz w:val="20"/>
                <w:szCs w:val="20"/>
              </w:rPr>
              <w:t xml:space="preserve">05</w:t>
            </w:r>
          </w:p>
        </w:tc>
        <w:tc>
          <w:tcPr>
            <w:tcW w:type="dxa" w:w="94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left"/>
            </w:pPr>
            <w:r>
              <w:rPr>
                <w:rFonts w:ascii="Calibri" w:cs="Calibri" w:eastAsia="Calibri" w:hAnsi="Calibri"/>
                <w:b/>
                <w:bCs/>
                <w:color w:val="FFFFFF"/>
                <w:sz w:val="24"/>
                <w:szCs w:val="24"/>
              </w:rPr>
              <w:t xml:space="preserve">Final Conclusion</w:t>
            </w:r>
          </w:p>
        </w:tc>
      </w:tr>
    </w:tbl>
    <w:p>
      <w:pPr>
        <w:spacing w:after="0" w:before="6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00A896" w:sz="12"/>
              <w:right w:val="none" w:color="FFFFFF" w:sz="0"/>
            </w:tcBorders>
            <w:shd w:fill="0A0F1E" w:val="clear"/>
            <w:tcMar>
              <w:top w:type="dxa" w:w="220"/>
              <w:left w:type="dxa" w:w="160"/>
              <w:bottom w:type="dxa" w:w="220"/>
              <w:right w:type="dxa" w:w="160"/>
            </w:tcMar>
            <w:vAlign w:val="top"/>
          </w:tcPr>
          <w:p>
            <w:pPr>
              <w:spacing w:after="80" w:before="0"/>
              <w:jc w:val="left"/>
            </w:pPr>
            <w:r>
              <w:rPr>
                <w:rFonts w:ascii="Calibri" w:cs="Calibri" w:eastAsia="Calibri" w:hAnsi="Calibri"/>
                <w:b/>
                <w:bCs/>
                <w:color w:val="00A896"/>
                <w:sz w:val="18"/>
                <w:szCs w:val="18"/>
              </w:rPr>
              <w:t xml:space="preserve">SPIKE #3981779 — Conclusion</w:t>
            </w:r>
          </w:p>
          <w:p>
            <w:pPr>
              <w:spacing w:after="0" w:before="0"/>
              <w:jc w:val="left"/>
            </w:pPr>
            <w:r>
              <w:rPr>
                <w:rFonts w:ascii="Calibri" w:cs="Calibri" w:eastAsia="Calibri" w:hAnsi="Calibri"/>
                <w:color w:val="CCCCCC"/>
                <w:sz w:val="22"/>
                <w:szCs w:val="22"/>
              </w:rPr>
              <w:t xml:space="preserve">All customer-controlled automated restart options are </w:t>
            </w:r>
            <w:r>
              <w:rPr>
                <w:rFonts w:ascii="Calibri" w:cs="Calibri" w:eastAsia="Calibri" w:hAnsi="Calibri"/>
                <w:b/>
                <w:bCs/>
                <w:color w:val="E63946"/>
                <w:sz w:val="22"/>
                <w:szCs w:val="22"/>
              </w:rPr>
              <w:t xml:space="preserve">architecturally blocked</w:t>
            </w:r>
            <w:r>
              <w:rPr>
                <w:rFonts w:ascii="Calibri" w:cs="Calibri" w:eastAsia="Calibri" w:hAnsi="Calibri"/>
                <w:color w:val="CCCCCC"/>
                <w:sz w:val="22"/>
                <w:szCs w:val="22"/>
              </w:rPr>
              <w:t xml:space="preserve"> in IBM PA Cloud SaaS — this is a platform-level constraint, not a configuration gap. However, </w:t>
            </w:r>
            <w:r>
              <w:rPr>
                <w:rFonts w:ascii="Calibri" w:cs="Calibri" w:eastAsia="Calibri" w:hAnsi="Calibri"/>
                <w:b/>
                <w:bCs/>
                <w:color w:val="FFFFFF"/>
                <w:sz w:val="22"/>
                <w:szCs w:val="22"/>
              </w:rPr>
              <w:t xml:space="preserve">IBM's own weekly maintenance already delivers the core memory reclaim benefit</w:t>
            </w:r>
            <w:r>
              <w:rPr>
                <w:rFonts w:ascii="Calibri" w:cs="Calibri" w:eastAsia="Calibri" w:hAnsi="Calibri"/>
                <w:color w:val="CCCCCC"/>
                <w:sz w:val="22"/>
                <w:szCs w:val="22"/>
              </w:rPr>
              <w:t xml:space="preserve"> this SPIKE set out to achieve. The recommended path is to verify this via Server Logs, monitor RAM trends, and supplement with manual PAW restarts only if IBM's cadence proves insufficient.</w:t>
            </w:r>
          </w:p>
        </w:tc>
      </w:tr>
    </w:tbl>
    <w:p>
      <w:pPr>
        <w:spacing w:after="0" w:before="14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shd w:fill="1A6BFF" w:val="clear"/>
            <w:tcMar>
              <w:top w:type="dxa" w:w="80"/>
              <w:left w:type="dxa" w:w="160"/>
              <w:bottom w:type="dxa" w:w="80"/>
              <w:right w:type="dxa" w:w="160"/>
            </w:tcMar>
            <w:vAlign w:val="center"/>
          </w:tcPr>
          <w:p>
            <w:pPr>
              <w:spacing w:after="0" w:before="0"/>
              <w:jc w:val="center"/>
            </w:pPr>
            <w:r>
              <w:rPr>
                <w:rFonts w:ascii="Calibri" w:cs="Calibri" w:eastAsia="Calibri" w:hAnsi="Calibri"/>
                <w:b/>
                <w:bCs/>
                <w:color w:val="FFFFFF"/>
                <w:sz w:val="20"/>
                <w:szCs w:val="20"/>
              </w:rPr>
              <w:t xml:space="preserve">06</w:t>
            </w:r>
          </w:p>
        </w:tc>
        <w:tc>
          <w:tcPr>
            <w:tcW w:type="dxa" w:w="94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left"/>
            </w:pPr>
            <w:r>
              <w:rPr>
                <w:rFonts w:ascii="Calibri" w:cs="Calibri" w:eastAsia="Calibri" w:hAnsi="Calibri"/>
                <w:b/>
                <w:bCs/>
                <w:color w:val="FFFFFF"/>
                <w:sz w:val="24"/>
                <w:szCs w:val="24"/>
              </w:rPr>
              <w:t xml:space="preserve">Recommended Next Steps</w:t>
            </w:r>
          </w:p>
        </w:tc>
      </w:tr>
    </w:tbl>
    <w:p>
      <w:pPr>
        <w:spacing w:after="0" w:before="6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D4DDEE" w:sz="1"/>
              <w:left w:val="none" w:color="FFFFFF" w:sz="0"/>
              <w:bottom w:val="single" w:color="D4DDEE" w:sz="1"/>
              <w:right w:val="single" w:color="D4DDEE" w:sz="1"/>
            </w:tcBorders>
            <w:shd w:fill="0A0F1E"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1</w:t>
            </w:r>
          </w:p>
        </w:tc>
        <w:tc>
          <w:tcPr>
            <w:tcW w:type="dxa" w:w="9480"/>
            <w:tcBorders>
              <w:top w:val="single" w:color="D4DDEE" w:sz="1"/>
              <w:left w:val="none" w:color="FFFFFF" w:sz="0"/>
              <w:bottom w:val="single" w:color="D4DDEE" w:sz="1"/>
              <w:right w:val="none" w:color="FFFFFF" w:sz="0"/>
            </w:tcBorders>
            <w:tcMar>
              <w:top w:type="dxa" w:w="120"/>
              <w:left w:type="dxa" w:w="160"/>
              <w:bottom w:type="dxa" w:w="120"/>
              <w:right w:type="dxa" w:w="160"/>
            </w:tcMar>
          </w:tcPr>
          <w:p>
            <w:pPr>
              <w:spacing w:after="40" w:before="0"/>
              <w:jc w:val="left"/>
            </w:pPr>
            <w:r>
              <w:rPr>
                <w:rFonts w:ascii="Calibri" w:cs="Calibri" w:eastAsia="Calibri" w:hAnsi="Calibri"/>
                <w:b/>
                <w:bCs/>
                <w:color w:val="1C2333"/>
                <w:sz w:val="22"/>
                <w:szCs w:val="22"/>
              </w:rPr>
              <w:t xml:space="preserve">Verify IBM Weekly Restart via PAW Server Logs</w:t>
            </w:r>
          </w:p>
          <w:p>
            <w:pPr>
              <w:spacing w:after="60" w:before="0"/>
              <w:jc w:val="left"/>
            </w:pPr>
            <w:r>
              <w:rPr>
                <w:rFonts w:ascii="Calibri" w:cs="Calibri" w:eastAsia="Calibri" w:hAnsi="Calibri"/>
                <w:color w:val="5A6275"/>
                <w:sz w:val="20"/>
                <w:szCs w:val="20"/>
              </w:rPr>
              <w:t xml:space="preserve">Review Server Logs in PAW Administration after IBM's next maintenance window to confirm Data Tier restart occurred and note the frequency.</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none" w:color="FFFFFF" w:sz="0"/>
                    <w:left w:val="none" w:color="FFFFFF" w:sz="0"/>
                    <w:bottom w:val="none" w:color="FFFFFF" w:sz="0"/>
                    <w:right w:val="none" w:color="FFFFFF" w:sz="0"/>
                  </w:tcBorders>
                  <w:shd w:fill="E6FAF0" w:val="clear"/>
                  <w:tcMar>
                    <w:top w:type="dxa" w:w="50"/>
                    <w:left w:type="dxa" w:w="160"/>
                    <w:bottom w:type="dxa" w:w="50"/>
                    <w:right w:type="dxa" w:w="160"/>
                  </w:tcMar>
                  <w:vAlign w:val="top"/>
                </w:tcPr>
                <w:p>
                  <w:pPr>
                    <w:spacing w:after="0" w:before="0"/>
                    <w:jc w:val="center"/>
                  </w:pPr>
                  <w:r>
                    <w:rPr>
                      <w:rFonts w:ascii="Calibri" w:cs="Calibri" w:eastAsia="Calibri" w:hAnsi="Calibri"/>
                      <w:b/>
                      <w:bCs/>
                      <w:color w:val="00B865"/>
                      <w:sz w:val="16"/>
                      <w:szCs w:val="16"/>
                    </w:rPr>
                    <w:t xml:space="preserve">IMMEDIATE</w:t>
                  </w:r>
                </w:p>
              </w:tc>
            </w:tr>
          </w:tbl>
          <w:p/>
        </w:tc>
      </w:tr>
      <w:tr>
        <w:tc>
          <w:tcPr>
            <w:tcW w:type="dxa" w:w="600"/>
            <w:tcBorders>
              <w:top w:val="single" w:color="D4DDEE" w:sz="1"/>
              <w:left w:val="none" w:color="FFFFFF" w:sz="0"/>
              <w:bottom w:val="single" w:color="D4DDEE" w:sz="1"/>
              <w:right w:val="single" w:color="D4DDEE" w:sz="1"/>
            </w:tcBorders>
            <w:shd w:fill="0A0F1E"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2</w:t>
            </w:r>
          </w:p>
        </w:tc>
        <w:tc>
          <w:tcPr>
            <w:tcW w:type="dxa" w:w="9480"/>
            <w:tcBorders>
              <w:top w:val="single" w:color="D4DDEE" w:sz="1"/>
              <w:left w:val="none" w:color="FFFFFF" w:sz="0"/>
              <w:bottom w:val="single" w:color="D4DDEE" w:sz="1"/>
              <w:right w:val="none" w:color="FFFFFF" w:sz="0"/>
            </w:tcBorders>
            <w:tcMar>
              <w:top w:type="dxa" w:w="120"/>
              <w:left w:type="dxa" w:w="160"/>
              <w:bottom w:type="dxa" w:w="120"/>
              <w:right w:type="dxa" w:w="160"/>
            </w:tcMar>
          </w:tcPr>
          <w:p>
            <w:pPr>
              <w:spacing w:after="40" w:before="0"/>
              <w:jc w:val="left"/>
            </w:pPr>
            <w:r>
              <w:rPr>
                <w:rFonts w:ascii="Calibri" w:cs="Calibri" w:eastAsia="Calibri" w:hAnsi="Calibri"/>
                <w:b/>
                <w:bCs/>
                <w:color w:val="1C2333"/>
                <w:sz w:val="22"/>
                <w:szCs w:val="22"/>
              </w:rPr>
              <w:t xml:space="preserve">Monitor RAM Trends via PAW Admin / Monitoring</w:t>
            </w:r>
          </w:p>
          <w:p>
            <w:pPr>
              <w:spacing w:after="60" w:before="0"/>
              <w:jc w:val="left"/>
            </w:pPr>
            <w:r>
              <w:rPr>
                <w:rFonts w:ascii="Calibri" w:cs="Calibri" w:eastAsia="Calibri" w:hAnsi="Calibri"/>
                <w:color w:val="5A6275"/>
                <w:sz w:val="20"/>
                <w:szCs w:val="20"/>
              </w:rPr>
              <w:t xml:space="preserve">Track weekly RAM usage patterns to assess whether IBM's existing maintenance cadence alone is sufficient for Assurant's EPA workload.</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none" w:color="FFFFFF" w:sz="0"/>
                    <w:left w:val="none" w:color="FFFFFF" w:sz="0"/>
                    <w:bottom w:val="none" w:color="FFFFFF" w:sz="0"/>
                    <w:right w:val="none" w:color="FFFFFF" w:sz="0"/>
                  </w:tcBorders>
                  <w:shd w:fill="EBF2FF" w:val="clear"/>
                  <w:tcMar>
                    <w:top w:type="dxa" w:w="50"/>
                    <w:left w:type="dxa" w:w="160"/>
                    <w:bottom w:type="dxa" w:w="50"/>
                    <w:right w:type="dxa" w:w="160"/>
                  </w:tcMar>
                  <w:vAlign w:val="top"/>
                </w:tcPr>
                <w:p>
                  <w:pPr>
                    <w:spacing w:after="0" w:before="0"/>
                    <w:jc w:val="center"/>
                  </w:pPr>
                  <w:r>
                    <w:rPr>
                      <w:rFonts w:ascii="Calibri" w:cs="Calibri" w:eastAsia="Calibri" w:hAnsi="Calibri"/>
                      <w:b/>
                      <w:bCs/>
                      <w:color w:val="1A6BFF"/>
                      <w:sz w:val="16"/>
                      <w:szCs w:val="16"/>
                    </w:rPr>
                    <w:t xml:space="preserve">ONGOING</w:t>
                  </w:r>
                </w:p>
              </w:tc>
            </w:tr>
          </w:tbl>
          <w:p/>
        </w:tc>
      </w:tr>
      <w:tr>
        <w:tc>
          <w:tcPr>
            <w:tcW w:type="dxa" w:w="600"/>
            <w:tcBorders>
              <w:top w:val="single" w:color="D4DDEE" w:sz="1"/>
              <w:left w:val="none" w:color="FFFFFF" w:sz="0"/>
              <w:bottom w:val="single" w:color="D4DDEE" w:sz="1"/>
              <w:right w:val="single" w:color="D4DDEE" w:sz="1"/>
            </w:tcBorders>
            <w:shd w:fill="0A0F1E"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3</w:t>
            </w:r>
          </w:p>
        </w:tc>
        <w:tc>
          <w:tcPr>
            <w:tcW w:type="dxa" w:w="9480"/>
            <w:tcBorders>
              <w:top w:val="single" w:color="D4DDEE" w:sz="1"/>
              <w:left w:val="none" w:color="FFFFFF" w:sz="0"/>
              <w:bottom w:val="single" w:color="D4DDEE" w:sz="1"/>
              <w:right w:val="none" w:color="FFFFFF" w:sz="0"/>
            </w:tcBorders>
            <w:tcMar>
              <w:top w:type="dxa" w:w="120"/>
              <w:left w:type="dxa" w:w="160"/>
              <w:bottom w:type="dxa" w:w="120"/>
              <w:right w:type="dxa" w:w="160"/>
            </w:tcMar>
          </w:tcPr>
          <w:p>
            <w:pPr>
              <w:spacing w:after="40" w:before="0"/>
              <w:jc w:val="left"/>
            </w:pPr>
            <w:r>
              <w:rPr>
                <w:rFonts w:ascii="Calibri" w:cs="Calibri" w:eastAsia="Calibri" w:hAnsi="Calibri"/>
                <w:b/>
                <w:bCs/>
                <w:color w:val="1C2333"/>
                <w:sz w:val="22"/>
                <w:szCs w:val="22"/>
              </w:rPr>
              <w:t xml:space="preserve">Manual PAW Restarts if Additional Cadence Is Needed</w:t>
            </w:r>
          </w:p>
          <w:p>
            <w:pPr>
              <w:spacing w:after="60" w:before="0"/>
              <w:jc w:val="left"/>
            </w:pPr>
            <w:r>
              <w:rPr>
                <w:rFonts w:ascii="Calibri" w:cs="Calibri" w:eastAsia="Calibri" w:hAnsi="Calibri"/>
                <w:color w:val="5A6275"/>
                <w:sz w:val="20"/>
                <w:szCs w:val="20"/>
              </w:rPr>
              <w:t xml:space="preserve">If RAM trends show degradation between IBM windows, perform manual restarts via PAW Administration and register each as a Standard Change in ServiceNow for SOX ITGC compliance.</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none" w:color="FFFFFF" w:sz="0"/>
                    <w:left w:val="none" w:color="FFFFFF" w:sz="0"/>
                    <w:bottom w:val="none" w:color="FFFFFF" w:sz="0"/>
                    <w:right w:val="none" w:color="FFFFFF" w:sz="0"/>
                  </w:tcBorders>
                  <w:shd w:fill="FEF9EC" w:val="clear"/>
                  <w:tcMar>
                    <w:top w:type="dxa" w:w="50"/>
                    <w:left w:type="dxa" w:w="160"/>
                    <w:bottom w:type="dxa" w:w="50"/>
                    <w:right w:type="dxa" w:w="160"/>
                  </w:tcMar>
                  <w:vAlign w:val="top"/>
                </w:tcPr>
                <w:p>
                  <w:pPr>
                    <w:spacing w:after="0" w:before="0"/>
                    <w:jc w:val="center"/>
                  </w:pPr>
                  <w:r>
                    <w:rPr>
                      <w:rFonts w:ascii="Calibri" w:cs="Calibri" w:eastAsia="Calibri" w:hAnsi="Calibri"/>
                      <w:b/>
                      <w:bCs/>
                      <w:color w:val="E6A817"/>
                      <w:sz w:val="16"/>
                      <w:szCs w:val="16"/>
                    </w:rPr>
                    <w:t xml:space="preserve">IF NEEDED</w:t>
                  </w:r>
                </w:p>
              </w:tc>
            </w:tr>
          </w:tbl>
          <w:p/>
        </w:tc>
      </w:tr>
      <w:tr>
        <w:tc>
          <w:tcPr>
            <w:tcW w:type="dxa" w:w="600"/>
            <w:tcBorders>
              <w:top w:val="single" w:color="D4DDEE" w:sz="1"/>
              <w:left w:val="none" w:color="FFFFFF" w:sz="0"/>
              <w:bottom w:val="single" w:color="D4DDEE" w:sz="1"/>
              <w:right w:val="single" w:color="D4DDEE" w:sz="1"/>
            </w:tcBorders>
            <w:shd w:fill="0A0F1E"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4</w:t>
            </w:r>
          </w:p>
        </w:tc>
        <w:tc>
          <w:tcPr>
            <w:tcW w:type="dxa" w:w="9480"/>
            <w:tcBorders>
              <w:top w:val="single" w:color="D4DDEE" w:sz="1"/>
              <w:left w:val="none" w:color="FFFFFF" w:sz="0"/>
              <w:bottom w:val="single" w:color="D4DDEE" w:sz="1"/>
              <w:right w:val="none" w:color="FFFFFF" w:sz="0"/>
            </w:tcBorders>
            <w:tcMar>
              <w:top w:type="dxa" w:w="120"/>
              <w:left w:type="dxa" w:w="160"/>
              <w:bottom w:type="dxa" w:w="120"/>
              <w:right w:type="dxa" w:w="160"/>
            </w:tcMar>
          </w:tcPr>
          <w:p>
            <w:pPr>
              <w:spacing w:after="40" w:before="0"/>
              <w:jc w:val="left"/>
            </w:pPr>
            <w:r>
              <w:rPr>
                <w:rFonts w:ascii="Calibri" w:cs="Calibri" w:eastAsia="Calibri" w:hAnsi="Calibri"/>
                <w:b/>
                <w:bCs/>
                <w:color w:val="1C2333"/>
                <w:sz w:val="22"/>
                <w:szCs w:val="22"/>
              </w:rPr>
              <w:t xml:space="preserve">Implement Pre-Restart TI Hygiene Chore</w:t>
            </w:r>
          </w:p>
          <w:p>
            <w:pPr>
              <w:spacing w:after="60" w:before="0"/>
              <w:jc w:val="left"/>
            </w:pPr>
            <w:r>
              <w:rPr>
                <w:rFonts w:ascii="Calibri" w:cs="Calibri" w:eastAsia="Calibri" w:hAnsi="Calibri"/>
                <w:color w:val="5A6275"/>
                <w:sz w:val="20"/>
                <w:szCs w:val="20"/>
              </w:rPr>
              <w:t xml:space="preserve">Before any manual restart, run a TI chore executing SaveDataAll and zombie session cancellation to ensure full data integrity at the point of restart.</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none" w:color="FFFFFF" w:sz="0"/>
                    <w:left w:val="none" w:color="FFFFFF" w:sz="0"/>
                    <w:bottom w:val="none" w:color="FFFFFF" w:sz="0"/>
                    <w:right w:val="none" w:color="FFFFFF" w:sz="0"/>
                  </w:tcBorders>
                  <w:shd w:fill="FEF9EC" w:val="clear"/>
                  <w:tcMar>
                    <w:top w:type="dxa" w:w="50"/>
                    <w:left w:type="dxa" w:w="160"/>
                    <w:bottom w:type="dxa" w:w="50"/>
                    <w:right w:type="dxa" w:w="160"/>
                  </w:tcMar>
                  <w:vAlign w:val="top"/>
                </w:tcPr>
                <w:p>
                  <w:pPr>
                    <w:spacing w:after="0" w:before="0"/>
                    <w:jc w:val="center"/>
                  </w:pPr>
                  <w:r>
                    <w:rPr>
                      <w:rFonts w:ascii="Calibri" w:cs="Calibri" w:eastAsia="Calibri" w:hAnsi="Calibri"/>
                      <w:b/>
                      <w:bCs/>
                      <w:color w:val="E6A817"/>
                      <w:sz w:val="16"/>
                      <w:szCs w:val="16"/>
                    </w:rPr>
                    <w:t xml:space="preserve">IF NEEDED</w:t>
                  </w:r>
                </w:p>
              </w:tc>
            </w:tr>
          </w:tbl>
          <w:p/>
        </w:tc>
      </w:tr>
      <w:tr>
        <w:tc>
          <w:tcPr>
            <w:tcW w:type="dxa" w:w="600"/>
            <w:tcBorders>
              <w:top w:val="single" w:color="D4DDEE" w:sz="1"/>
              <w:left w:val="none" w:color="FFFFFF" w:sz="0"/>
              <w:bottom w:val="none" w:color="FFFFFF" w:sz="0"/>
              <w:right w:val="single" w:color="D4DDEE" w:sz="1"/>
            </w:tcBorders>
            <w:shd w:fill="0A0F1E" w:val="clear"/>
            <w:tcMar>
              <w:top w:type="dxa" w:w="100"/>
              <w:left w:type="dxa" w:w="160"/>
              <w:bottom w:type="dxa" w:w="100"/>
              <w:right w:type="dxa" w:w="160"/>
            </w:tcMar>
            <w:vAlign w:val="center"/>
          </w:tcPr>
          <w:p>
            <w:pPr>
              <w:spacing w:after="0" w:before="0"/>
              <w:jc w:val="center"/>
            </w:pPr>
            <w:r>
              <w:rPr>
                <w:rFonts w:ascii="Calibri" w:cs="Calibri" w:eastAsia="Calibri" w:hAnsi="Calibri"/>
                <w:b/>
                <w:bCs/>
                <w:color w:val="FFFFFF"/>
                <w:sz w:val="22"/>
                <w:szCs w:val="22"/>
              </w:rPr>
              <w:t xml:space="preserve">5</w:t>
            </w:r>
          </w:p>
        </w:tc>
        <w:tc>
          <w:tcPr>
            <w:tcW w:type="dxa" w:w="9480"/>
            <w:tcBorders>
              <w:top w:val="single" w:color="D4DDEE" w:sz="1"/>
              <w:left w:val="none" w:color="FFFFFF" w:sz="0"/>
              <w:bottom w:val="none" w:color="FFFFFF" w:sz="0"/>
              <w:right w:val="none" w:color="FFFFFF" w:sz="0"/>
            </w:tcBorders>
            <w:tcMar>
              <w:top w:type="dxa" w:w="120"/>
              <w:left w:type="dxa" w:w="160"/>
              <w:bottom w:type="dxa" w:w="120"/>
              <w:right w:type="dxa" w:w="160"/>
            </w:tcMar>
          </w:tcPr>
          <w:p>
            <w:pPr>
              <w:spacing w:after="40" w:before="0"/>
              <w:jc w:val="left"/>
            </w:pPr>
            <w:r>
              <w:rPr>
                <w:rFonts w:ascii="Calibri" w:cs="Calibri" w:eastAsia="Calibri" w:hAnsi="Calibri"/>
                <w:b/>
                <w:bCs/>
                <w:color w:val="1C2333"/>
                <w:sz w:val="22"/>
                <w:szCs w:val="22"/>
              </w:rPr>
              <w:t xml:space="preserve">Upvote IBM Ideas PAOC-I-471</w:t>
            </w:r>
          </w:p>
          <w:p>
            <w:pPr>
              <w:spacing w:after="60" w:before="0"/>
              <w:jc w:val="left"/>
            </w:pPr>
            <w:r>
              <w:rPr>
                <w:rFonts w:ascii="Calibri" w:cs="Calibri" w:eastAsia="Calibri" w:hAnsi="Calibri"/>
                <w:color w:val="5A6275"/>
                <w:sz w:val="20"/>
                <w:szCs w:val="20"/>
              </w:rPr>
              <w:t xml:space="preserve">Formally push IBM Development to deliver a native scheduled restart capability. Link the IBM case number raised during this SPIKE as supporting business justification evidence.</w:t>
            </w:r>
          </w:p>
          <w:tbl>
            <w:tblPr>
              <w:tblW w:type="dxa" w:w="1400"/>
              <w:tblBorders>
                <w:top w:val="single" w:color="auto" w:sz="4"/>
                <w:left w:val="single" w:color="auto" w:sz="4"/>
                <w:bottom w:val="single" w:color="auto" w:sz="4"/>
                <w:right w:val="single" w:color="auto" w:sz="4"/>
                <w:insideH w:val="single" w:color="auto" w:sz="4"/>
                <w:insideV w:val="single" w:color="auto" w:sz="4"/>
              </w:tblBorders>
            </w:tblPr>
            <w:tblGrid>
              <w:gridCol w:w="1400"/>
            </w:tblGrid>
            <w:tr>
              <w:tc>
                <w:tcPr>
                  <w:tcW w:type="dxa" w:w="1400"/>
                  <w:tcBorders>
                    <w:top w:val="none" w:color="FFFFFF" w:sz="0"/>
                    <w:left w:val="none" w:color="FFFFFF" w:sz="0"/>
                    <w:bottom w:val="none" w:color="FFFFFF" w:sz="0"/>
                    <w:right w:val="none" w:color="FFFFFF" w:sz="0"/>
                  </w:tcBorders>
                  <w:shd w:fill="FDECEA" w:val="clear"/>
                  <w:tcMar>
                    <w:top w:type="dxa" w:w="50"/>
                    <w:left w:type="dxa" w:w="160"/>
                    <w:bottom w:type="dxa" w:w="50"/>
                    <w:right w:type="dxa" w:w="160"/>
                  </w:tcMar>
                  <w:vAlign w:val="top"/>
                </w:tcPr>
                <w:p>
                  <w:pPr>
                    <w:spacing w:after="0" w:before="0"/>
                    <w:jc w:val="center"/>
                  </w:pPr>
                  <w:r>
                    <w:rPr>
                      <w:rFonts w:ascii="Calibri" w:cs="Calibri" w:eastAsia="Calibri" w:hAnsi="Calibri"/>
                      <w:b/>
                      <w:bCs/>
                      <w:color w:val="E63946"/>
                      <w:sz w:val="16"/>
                      <w:szCs w:val="16"/>
                    </w:rPr>
                    <w:t xml:space="preserve">LONG-TERM</w:t>
                  </w:r>
                </w:p>
              </w:tc>
            </w:tr>
          </w:tbl>
          <w:p/>
        </w:tc>
      </w:tr>
    </w:tbl>
    <w:p>
      <w:pPr>
        <w:spacing w:after="0" w:before="120"/>
        <w:jc w:val="left"/>
      </w:pPr>
      <w:r>
        <w:rPr>
          <w:rFonts w:ascii="Calibri" w:cs="Calibri" w:eastAsia="Calibri" w:hAnsi="Calibri"/>
          <w:color w:val="1C2333"/>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DDEE" w:sz="1"/>
              <w:left w:val="single" w:color="D4DDEE" w:sz="1"/>
              <w:bottom w:val="single" w:color="D4DDEE" w:sz="1"/>
              <w:right w:val="single" w:color="D4DDEE" w:sz="1"/>
            </w:tcBorders>
            <w:shd w:fill="FFFFFF" w:val="clear"/>
            <w:tcMar>
              <w:top w:type="dxa" w:w="160"/>
              <w:left w:type="dxa" w:w="160"/>
              <w:bottom w:type="dxa" w:w="160"/>
              <w:right w:type="dxa" w:w="160"/>
            </w:tcMar>
            <w:vAlign w:val="top"/>
          </w:tcPr>
          <w:p>
            <w:pPr>
              <w:spacing w:after="120" w:before="0"/>
              <w:jc w:val="left"/>
            </w:pPr>
            <w:r>
              <w:rPr>
                <w:rFonts w:ascii="Calibri" w:cs="Calibri" w:eastAsia="Calibri" w:hAnsi="Calibri"/>
                <w:color w:val="5A6275"/>
                <w:sz w:val="22"/>
                <w:szCs w:val="22"/>
              </w:rPr>
              <w:t xml:space="preserve">I will update ADO PBI #3981779 with these findings and mark the SPIKE as complete. Please feel free to reach out if you have any questions or would like to discuss further.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8900"/>
            </w:tblGrid>
            <w:tr>
              <w:tc>
                <w:tcPr>
                  <w:tcW w:type="dxa" w:w="600"/>
                  <w:tcBorders>
                    <w:top w:val="none" w:color="FFFFFF" w:sz="0"/>
                    <w:left w:val="none" w:color="FFFFFF" w:sz="0"/>
                    <w:bottom w:val="none" w:color="FFFFFF" w:sz="0"/>
                    <w:right w:val="none" w:color="FFFFFF" w:sz="0"/>
                  </w:tcBorders>
                  <w:shd w:fill="1A6BFF" w:val="clear"/>
                  <w:tcMar>
                    <w:top w:type="dxa" w:w="120"/>
                    <w:left w:type="dxa" w:w="160"/>
                    <w:bottom w:type="dxa" w:w="120"/>
                    <w:right w:type="dxa" w:w="160"/>
                  </w:tcMar>
                  <w:vAlign w:val="center"/>
                </w:tcPr>
                <w:p>
                  <w:pPr>
                    <w:spacing w:after="0" w:before="0"/>
                    <w:jc w:val="center"/>
                  </w:pPr>
                  <w:r>
                    <w:rPr>
                      <w:rFonts w:ascii="Calibri" w:cs="Calibri" w:eastAsia="Calibri" w:hAnsi="Calibri"/>
                      <w:b/>
                      <w:bCs/>
                      <w:color w:val="FFFFFF"/>
                      <w:sz w:val="22"/>
                      <w:szCs w:val="22"/>
                    </w:rPr>
                    <w:t xml:space="preserve">NP</w:t>
                  </w:r>
                </w:p>
              </w:tc>
              <w:tc>
                <w:tcPr>
                  <w:tcW w:type="dxa" w:w="8900"/>
                  <w:tcBorders>
                    <w:top w:val="none" w:color="FFFFFF" w:sz="0"/>
                    <w:left w:val="none" w:color="FFFFFF" w:sz="0"/>
                    <w:bottom w:val="none" w:color="FFFFFF" w:sz="0"/>
                    <w:right w:val="none" w:color="FFFFFF" w:sz="0"/>
                  </w:tcBorders>
                  <w:shd w:fill="F4F6FA" w:val="clear"/>
                  <w:tcMar>
                    <w:top w:type="dxa" w:w="80"/>
                    <w:left w:type="dxa" w:w="160"/>
                    <w:bottom w:type="dxa" w:w="80"/>
                    <w:right w:type="dxa" w:w="160"/>
                  </w:tcMar>
                  <w:vAlign w:val="top"/>
                </w:tcPr>
                <w:p>
                  <w:pPr>
                    <w:spacing w:after="30" w:before="0"/>
                    <w:jc w:val="left"/>
                  </w:pPr>
                  <w:r>
                    <w:rPr>
                      <w:rFonts w:ascii="Calibri" w:cs="Calibri" w:eastAsia="Calibri" w:hAnsi="Calibri"/>
                      <w:b/>
                      <w:bCs/>
                      <w:color w:val="1C2333"/>
                      <w:sz w:val="22"/>
                      <w:szCs w:val="22"/>
                    </w:rPr>
                    <w:t xml:space="preserve">Niranjan Patra</w:t>
                  </w:r>
                </w:p>
                <w:p>
                  <w:pPr>
                    <w:spacing w:after="0" w:before="0"/>
                    <w:jc w:val="left"/>
                  </w:pPr>
                  <w:r>
                    <w:rPr>
                      <w:rFonts w:ascii="Calibri" w:cs="Calibri" w:eastAsia="Calibri" w:hAnsi="Calibri"/>
                      <w:color w:val="5A6275"/>
                      <w:sz w:val="19"/>
                      <w:szCs w:val="19"/>
                    </w:rPr>
                    <w:t xml:space="preserve">Senior TM1 / IBM Planning Analytics Consultant  |  Tech Mahindra — Assurant EPA Engagement</w:t>
                  </w:r>
                </w:p>
              </w:tc>
            </w:tr>
          </w:tbl>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999999"/>
        <w:sz w:val="16"/>
        <w:szCs w:val="16"/>
      </w:rPr>
      <w:t xml:space="preserve">Niranjan Patra  |  Tech Mahindra  |  Assurant EPA Engagement  |  IBM Planning Analytics Cloud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left"/>
          </w:pPr>
          <w:r>
            <w:rPr>
              <w:rFonts w:ascii="Calibri" w:cs="Calibri" w:eastAsia="Calibri" w:hAnsi="Calibri"/>
              <w:b/>
              <w:bCs/>
              <w:color w:val="FFFFFF"/>
              <w:sz w:val="18"/>
              <w:szCs w:val="18"/>
            </w:rPr>
            <w:t xml:space="preserve">EPA System Auto Restart  |  SPIKE #3981779</w:t>
          </w:r>
        </w:p>
      </w:tc>
      <w:tc>
        <w:tcPr>
          <w:tcW w:type="dxa" w:w="2880"/>
          <w:tcBorders>
            <w:top w:val="none" w:color="FFFFFF" w:sz="0"/>
            <w:left w:val="none" w:color="FFFFFF" w:sz="0"/>
            <w:bottom w:val="none" w:color="FFFFFF" w:sz="0"/>
            <w:right w:val="none" w:color="FFFFFF" w:sz="0"/>
          </w:tcBorders>
          <w:shd w:fill="0A0F1E" w:val="clear"/>
          <w:tcMar>
            <w:top w:type="dxa" w:w="80"/>
            <w:left w:type="dxa" w:w="160"/>
            <w:bottom w:type="dxa" w:w="80"/>
            <w:right w:type="dxa" w:w="160"/>
          </w:tcMar>
          <w:vAlign w:val="top"/>
        </w:tcPr>
        <w:p>
          <w:pPr>
            <w:spacing w:after="0" w:before="0"/>
            <w:jc w:val="right"/>
          </w:pPr>
          <w:r>
            <w:rPr>
              <w:rFonts w:ascii="Calibri" w:cs="Calibri" w:eastAsia="Calibri" w:hAnsi="Calibri"/>
              <w:color w:val="AAAAAA"/>
              <w:sz w:val="17"/>
              <w:szCs w:val="17"/>
            </w:rPr>
            <w:t xml:space="preserve">April 23,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A0F1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2026-04-23T17:16:02.912Z</dcterms:created>
  <dcterms:modified xsi:type="dcterms:W3CDTF">2026-04-23T17:16:02.913Z</dcterms:modified>
</cp:coreProperties>
</file>

<file path=docProps/custom.xml><?xml version="1.0" encoding="utf-8"?>
<Properties xmlns="http://schemas.openxmlformats.org/officeDocument/2006/custom-properties" xmlns:vt="http://schemas.openxmlformats.org/officeDocument/2006/docPropsVTypes"/>
</file>