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jc w:val="center"/>
      </w:pPr>
      <w:r>
        <w:rPr>
          <w:b/>
          <w:bCs/>
          <w:color w:val="888888"/>
          <w:sz w:val="28"/>
          <w:szCs w:val="28"/>
        </w:rPr>
        <w:t xml:space="preserve">PBI #3985450</w:t>
      </w:r>
    </w:p>
    <w:p>
      <w:pPr>
        <w:spacing w:after="120" w:before="120"/>
        <w:jc w:val="center"/>
      </w:pPr>
      <w:r>
        <w:rPr>
          <w:b/>
          <w:bCs/>
          <w:color w:val="1F5C99"/>
          <w:sz w:val="52"/>
          <w:szCs w:val="52"/>
        </w:rPr>
        <w:t xml:space="preserve">EPA Alert Email → ServiceNow Incident</w:t>
      </w:r>
    </w:p>
    <w:p>
      <w:pPr>
        <w:jc w:val="center"/>
      </w:pPr>
      <w:r>
        <w:rPr>
          <w:b/>
          <w:bCs/>
          <w:color w:val="2E75B6"/>
          <w:sz w:val="36"/>
          <w:szCs w:val="36"/>
        </w:rPr>
        <w:t xml:space="preserve">Research Spike Package</w:t>
      </w:r>
    </w:p>
    <w:p>
      <w:r>
        <w:t xml:space="preserve"/>
      </w:r>
    </w:p>
    <w:p>
      <w:pPr>
        <w:pBdr>
          <w:bottom w:val="single" w:color="1F5C99" w:sz="6" w:space="1"/>
        </w:pBdr>
        <w:jc w:val="center"/>
      </w:pPr>
      <w:r>
        <w:t xml:space="preserve"/>
      </w:r>
    </w:p>
    <w:p>
      <w:r>
        <w:t xml:space="preserve"/>
      </w:r>
    </w:p>
    <w:p>
      <w:pPr>
        <w:jc w:val="center"/>
      </w:pPr>
      <w:r>
        <w:rPr>
          <w:sz w:val="24"/>
          <w:szCs w:val="24"/>
        </w:rPr>
        <w:t xml:space="preserve">Prepared by: Niranjan Patra</w:t>
      </w:r>
    </w:p>
    <w:p>
      <w:pPr>
        <w:jc w:val="center"/>
      </w:pPr>
      <w:r>
        <w:rPr>
          <w:color w:val="666666"/>
          <w:sz w:val="22"/>
          <w:szCs w:val="22"/>
        </w:rPr>
        <w:t xml:space="preserve">Senior EPA Consultant – GFS EPA Engagement</w:t>
      </w:r>
    </w:p>
    <w:p>
      <w:pPr>
        <w:jc w:val="center"/>
      </w:pPr>
      <w:r>
        <w:rPr>
          <w:color w:val="666666"/>
          <w:sz w:val="22"/>
          <w:szCs w:val="22"/>
        </w:rPr>
        <w:t xml:space="preserve">Tech Mahindra / Assurant Inc.</w:t>
      </w:r>
    </w:p>
    <w:p>
      <w:r>
        <w:t xml:space="preserve"/>
      </w:r>
    </w:p>
    <w:p>
      <w:pPr>
        <w:jc w:val="center"/>
      </w:pPr>
      <w:r>
        <w:rPr>
          <w:sz w:val="22"/>
          <w:szCs w:val="22"/>
        </w:rPr>
        <w:t xml:space="preserve">Date: April 22, 2026</w:t>
      </w:r>
    </w:p>
    <w:p>
      <w:r>
        <w:t xml:space="preserve"/>
      </w:r>
    </w:p>
    <w:p>
      <w:r>
        <w:t xml:space="preserve"/>
      </w:r>
    </w:p>
    <w:p>
      <w:pPr>
        <w:pBdr>
          <w:top w:val="single" w:color="1F5C99" w:sz="4"/>
          <w:bottom w:val="single" w:color="1F5C99" w:sz="4"/>
          <w:left w:val="single" w:color="1F5C99" w:sz="4"/>
          <w:right w:val="single" w:color="1F5C99" w:sz="4"/>
        </w:pBdr>
        <w:shd w:fill="EBF3FA" w:val="clear"/>
        <w:spacing w:after="120" w:before="120"/>
        <w:jc w:val="center"/>
      </w:pPr>
      <w:r>
        <w:rPr>
          <w:b/>
          <w:bCs/>
          <w:color w:val="1F5C99"/>
          <w:sz w:val="22"/>
          <w:szCs w:val="22"/>
        </w:rPr>
        <w:t xml:space="preserve">RESEARCH SPIKE ONLY — No production changes or integrations as part of this PBI</w:t>
      </w:r>
    </w:p>
    <w:p>
      <w:r>
        <w:br w:type="page"/>
      </w:r>
    </w:p>
    <w:p>
      <w:pPr>
        <w:pStyle w:val="Heading1"/>
      </w:pPr>
      <w:r>
        <w:t xml:space="preserve">Deliverable 1: Initial Outreach Email</w:t>
      </w:r>
    </w:p>
    <w:p>
      <w:r>
        <w:t xml:space="preserve">Use this email to initiate engagement with the ServiceNow team contacts identified in the PBI: April Frantzen and Alison Hudson.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Field</w:t>
            </w:r>
          </w:p>
        </w:tc>
        <w:tc>
          <w:tcPr>
            <w:tcW w:type="dxa" w:w="5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April Frantzen; Alison Hudson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[Your Manager / Lisa Nordling as appropriate]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ServiceNow Engagement Request – EPA Alert Email-to-Incident Research (PBI #3985450)</w:t>
            </w:r>
          </w:p>
        </w:tc>
      </w:tr>
    </w:tbl>
    <w:p>
      <w:r>
        <w:t xml:space="preserve"/>
      </w:r>
    </w:p>
    <w:p>
      <w:pPr>
        <w:pStyle w:val="Heading2"/>
      </w:pPr>
      <w:r>
        <w:t xml:space="preserve">Email Body</w:t>
      </w:r>
    </w:p>
    <w:p>
      <w:r>
        <w:t xml:space="preserve"/>
      </w:r>
    </w:p>
    <w:p>
      <w:r>
        <w:t xml:space="preserve">Hi April and Alison,</w:t>
      </w:r>
    </w:p>
    <w:p>
      <w:r>
        <w:t xml:space="preserve"/>
      </w:r>
    </w:p>
    <w:p>
      <w:r>
        <w:t xml:space="preserve">My name is Niranjan Patra, and I am the EPA System Admin on the GFS Enterprise Planning Analytics (EPA) engagement at Assurant. I am reaching out regarding a research initiative (PBI #3985450) that involves exploring whether IBM Planning Analytics (EPA) system alert emails can be configured to automatically trigger Incident creation in ServiceNow.</w:t>
      </w:r>
    </w:p>
    <w:p>
      <w:r>
        <w:t xml:space="preserve"/>
      </w:r>
    </w:p>
    <w:p>
      <w:r>
        <w:rPr>
          <w:b/>
          <w:bCs/>
        </w:rPr>
        <w:t xml:space="preserve">Background</w:t>
      </w:r>
    </w:p>
    <w:p>
      <w:r>
        <w:t xml:space="preserve">Our EPA system generates alert emails when critical processes fail or threshold conditions are breached. Currently, there is no automated mechanism to escalate these into on-call notifications when email monitoring coverage is not available 24/7. We would like to evaluate whether ServiceNow’s inbound email capabilities can bridge this gap.</w:t>
      </w:r>
    </w:p>
    <w:p>
      <w:r>
        <w:t xml:space="preserve"/>
      </w:r>
    </w:p>
    <w:p>
      <w:r>
        <w:rPr>
          <w:b/>
          <w:bCs/>
        </w:rPr>
        <w:t xml:space="preserve">Scope of This Engagement</w:t>
      </w:r>
    </w:p>
    <w:p>
      <w:r>
        <w:t xml:space="preserve">This is a Research SPIKE only — no production changes or integrations will be implemented as part of this PBI. Our goal is to gather information to assess feasibility and document requirements for a potential future implementation sprint.</w:t>
      </w:r>
    </w:p>
    <w:p>
      <w:r>
        <w:t xml:space="preserve"/>
      </w:r>
    </w:p>
    <w:p>
      <w:r>
        <w:t xml:space="preserve">Specifically, we would like your guidance on:</w:t>
      </w:r>
    </w:p>
    <w:p>
      <w:pPr>
        <w:pStyle w:val="ListParagraph"/>
        <w:numPr>
          <w:ilvl w:val="0"/>
          <w:numId w:val="2"/>
        </w:numPr>
      </w:pPr>
      <w:r>
        <w:t xml:space="preserve">Whether ServiceNow supports automatic Incident creation from inbound alert emails, and what mailbox or configuration setup is required</w:t>
      </w:r>
    </w:p>
    <w:p>
      <w:pPr>
        <w:pStyle w:val="ListParagraph"/>
        <w:numPr>
          <w:ilvl w:val="0"/>
          <w:numId w:val="2"/>
        </w:numPr>
      </w:pPr>
      <w:r>
        <w:t xml:space="preserve">Email format and header requirements (From address, Subject line keywords, body structure) for auto-routing and field population</w:t>
      </w:r>
    </w:p>
    <w:p>
      <w:pPr>
        <w:pStyle w:val="ListParagraph"/>
        <w:numPr>
          <w:ilvl w:val="0"/>
          <w:numId w:val="2"/>
        </w:numPr>
      </w:pPr>
      <w:r>
        <w:t xml:space="preserve">How severity, priority, and assignment group would be determined from email content</w:t>
      </w:r>
    </w:p>
    <w:p>
      <w:pPr>
        <w:pStyle w:val="ListParagraph"/>
        <w:numPr>
          <w:ilvl w:val="0"/>
          <w:numId w:val="2"/>
        </w:numPr>
      </w:pPr>
      <w:r>
        <w:t xml:space="preserve">On-call escalation behavior once an Incident is auto-created (roster setup, trigger rules, acknowledgment)</w:t>
      </w:r>
    </w:p>
    <w:p>
      <w:pPr>
        <w:pStyle w:val="ListParagraph"/>
        <w:numPr>
          <w:ilvl w:val="0"/>
          <w:numId w:val="2"/>
        </w:numPr>
      </w:pPr>
      <w:r>
        <w:t xml:space="preserve">Any security constraints, domain whitelisting, approvals, or prerequisites required on the ServiceNow side</w:t>
      </w:r>
    </w:p>
    <w:p>
      <w:r>
        <w:t xml:space="preserve"/>
      </w:r>
    </w:p>
    <w:p>
      <w:r>
        <w:t xml:space="preserve">I have prepared a detailed questionnaire (attached) covering 20 specific technical questions across these areas, which may be a useful starting point for our discussion.</w:t>
      </w:r>
    </w:p>
    <w:p>
      <w:r>
        <w:t xml:space="preserve"/>
      </w:r>
    </w:p>
    <w:p>
      <w:r>
        <w:rPr>
          <w:b/>
          <w:bCs/>
        </w:rPr>
        <w:t xml:space="preserve">Requested Next Step</w:t>
      </w:r>
    </w:p>
    <w:p>
      <w:r>
        <w:t xml:space="preserve">Would you be available for a 30-minute discovery call this week or next? Alternatively, if your team has an existing documentation or questionnaire intake process, I am happy to follow that route instead.</w:t>
      </w:r>
    </w:p>
    <w:p>
      <w:r>
        <w:t xml:space="preserve"/>
      </w:r>
    </w:p>
    <w:p>
      <w:r>
        <w:t xml:space="preserve">Please let me know what works best. I appreciate your time and support on this.</w:t>
      </w:r>
    </w:p>
    <w:p>
      <w:r>
        <w:t xml:space="preserve"/>
      </w:r>
    </w:p>
    <w:p>
      <w:r>
        <w:t xml:space="preserve">Best regards,</w:t>
      </w:r>
    </w:p>
    <w:p>
      <w:r>
        <w:t xml:space="preserve">Niranjan Patra</w:t>
      </w:r>
    </w:p>
    <w:p>
      <w:r>
        <w:t xml:space="preserve">Senior EPA Consultant – GFS EPA Engagement</w:t>
      </w:r>
    </w:p>
    <w:p>
      <w:r>
        <w:t xml:space="preserve">Tech Mahindra / Assurant Inc.</w:t>
      </w:r>
    </w:p>
    <w:p>
      <w:r>
        <w:br w:type="page"/>
      </w:r>
    </w:p>
    <w:p>
      <w:pPr>
        <w:pStyle w:val="Heading1"/>
      </w:pPr>
      <w:r>
        <w:t xml:space="preserve">Deliverable 2: Research Questionnaire for ServiceNow Team</w:t>
      </w:r>
    </w:p>
    <w:p>
      <w:r>
        <w:t xml:space="preserve">The following 20 questions are organized across six topic areas. They are intended to be sent to April Frantzen and Alison Hudson either ahead of or during the discovery 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200"/>
        <w:gridCol w:w="3060"/>
      </w:tblGrid>
      <w:tr>
        <w:tc>
          <w:tcPr>
            <w:tcW w:type="dxa" w:w="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Area</w:t>
            </w:r>
          </w:p>
        </w:tc>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Question</w:t>
            </w:r>
          </w:p>
        </w:tc>
        <w:tc>
          <w:tcPr>
            <w:tcW w:type="dxa" w:w="30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EPA Context / Notes</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Mailbox Setup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Assurant's ServiceNow instance have inbound email receiving enabled? If not, what is the process to request activation?</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Need to confirm glide.email.inbound.active = true on the instance</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2</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Mailbox Setup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ServiceNow inbound email address (User name field in Email Accounts) that EPA alert emails should target?</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Found under System Mailboxes &gt; Administration &gt; Email Accounts &gt; SMTP record</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3</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Mailbox Setup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there an existing 'Create Incident' Inbound Email Action (IEA) already configured and active on the instance?</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ServiceNow ships an OOTB IEA; need to know if it's enabled or customized</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4</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Email Format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the sending email address (EPA system alert mailbox) need to be registered as a user in the ServiceNow instance for the IEA to process it?</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IEA typically requires a matching user record with the same From address</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5</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Email Format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Subject line format or keywords should EPA alert emails use for the IEA condition to trigger Incident creation (e.g., a specific prefix like 'EPA-ALERT:')?</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IEA conditions can filter on email.subject; we can configure EPA emails to match</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6</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Email Format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Incident field values (priority, urgency, assignment group) be set via structured keywords in the email body? If so, what is the expected syntax?</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e.g. 'priority: 1' or 'assign: groupname' in email body</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7</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Email Format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email headers or metadata does ServiceNow use or parse beyond From, Subject, and Body (e.g., X-Priority, Importance header for severity mapping)?</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Standard Importance: High header maps to priority 1 in OOTB IEA script</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8</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Priority / Severity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should EPA alert severity (Critical / High / Medium) be mapped to ServiceNow Incident priority or urgency fields? Is there a standard mapping already in use?</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Need agreed mapping before configuring IEA script logic</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9</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Priority / Severity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the IEA script be configured to parse severity from the EPA email subject line (e.g., '[CRITICAL] EPA Process Failed') and auto-set priority?</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Standard IEA scripting supports email.subject parsing</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10</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Assignment Group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ServiceNow Assignment Group should EPA-originated Incidents be routed to by default?</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IEA script sets current.assigned_to / current.assignment_group</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11</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Assignment Group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there a Configuration Item (CI) that EPA/IBM Planning Analytics maps to in Assurant's CMDB? Should it be auto-populated on Incidents?</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Improves reporting and escalation routing if CI is set</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12</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On-Call Escalation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 On-Call Scheduling plugin (com.snc.on_call_rotation) active on the Assurant ServiceNow instance?</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Required for automated on-call notifications from Incidents</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13</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On-Call Escalation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there an existing on-call roster/rotation defined for the EPA/EDM/infrastructure support team? If yes, what is the group name?</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Needed to configure the Trigger Rule pointing to the correct rotation</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14</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On-Call Escalation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expected escalation behavior: (a) notify primary on-call immediately on Incident creation, or (b) notify only after a defined SLA breach or non-acknowledgment timeout?</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This determines Trigger Rule condition (on insert vs. time-based)</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15</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On-Call Escalation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acknowledgment action stops the escalation chain — Incident assignment, status change to In Progress, or a custom field?</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Known issue: if Assignment Group is pre-populated, OOTB trigger rule may not fire (KB0547296 workaround needed)</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16</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Security / Auth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Assurant's email security gateway (spam filter / DLP) need to be configured to allow relay of EPA system alert emails to the ServiceNow inbound address?</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IBM PA Cloud (SaaS) sends from IBM-controlled email infrastructure</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17</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Security / Auth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 there domain whitelisting rules on the ServiceNow instance for inbound email processing? If so, what domains are currently allowed?</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Found under System Mailboxes &gt; Email Properties &gt; Allowed Domains</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18</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Security / Auth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 there any change approval or CAB requirements for enabling or modifying Inbound Email Actions in the production ServiceNow instance?</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Research SPIKE only — but good to know for future implementation sprint</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19</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Constraints / Risks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 there any known rate limits or throttling settings on inbound email processing for the Assurant ServiceNow instance?</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Relevant if EPA generates high-volume alert bursts</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rPr>
              <w:t xml:space="preserve">20</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Constraints / Risks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 there any existing IEA rules that could conflict with or intercept EPA alert emails before the intended rule fires?</w:t>
            </w:r>
          </w:p>
        </w:tc>
        <w:tc>
          <w:tcPr>
            <w:tcW w:type="dxa" w:w="30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i/>
                <w:iCs/>
                <w:sz w:val="20"/>
                <w:szCs w:val="20"/>
              </w:rPr>
              <w:t xml:space="preserve">IEA rules execute in order; conflicting rules can suppress Incident creation</w:t>
            </w:r>
          </w:p>
        </w:tc>
      </w:tr>
    </w:tbl>
    <w:p>
      <w:r>
        <w:br w:type="page"/>
      </w:r>
    </w:p>
    <w:p>
      <w:pPr>
        <w:pStyle w:val="Heading1"/>
      </w:pPr>
      <w:r>
        <w:t xml:space="preserve">Deliverable 3: Technical Deep Dive</w:t>
      </w:r>
    </w:p>
    <w:p>
      <w:r>
        <w:t xml:space="preserve">This section documents how ServiceNow’s email-to-incident capability works technically, based on ServiceNow community research. It provides the background knowledge needed to conduct an informed discovery conversation with the ServiceNow team.</w:t>
      </w:r>
    </w:p>
    <w:p>
      <w:r>
        <w:t xml:space="preserve"/>
      </w:r>
    </w:p>
    <w:p>
      <w:pPr>
        <w:pStyle w:val="Heading2"/>
      </w:pPr>
      <w:r>
        <w:t xml:space="preserve">3.1 Inbound Email Action (IEA) — How It Works</w:t>
      </w:r>
    </w:p>
    <w:p>
      <w:r>
        <w:t xml:space="preserve">ServiceNow processes inbound emails through a framework called Inbound Email Actions (IEA), configured under System Policy &gt; Email &gt; Inbound Actions. When an email arrives at the ServiceNow instance mailbox, the system evaluates all active IEA rules in sequence.</w:t>
      </w:r>
    </w:p>
    <w:p>
      <w:r>
        <w:t xml:space="preserve"/>
      </w:r>
    </w:p>
    <w:p>
      <w:r>
        <w:t xml:space="preserve">Each rule has:</w:t>
      </w:r>
    </w:p>
    <w:p>
      <w:pPr>
        <w:pStyle w:val="ListParagraph"/>
        <w:numPr>
          <w:ilvl w:val="0"/>
          <w:numId w:val="2"/>
        </w:numPr>
      </w:pPr>
      <w:r>
        <w:t xml:space="preserve">A Name and target Record table (e.g., Incident)</w:t>
      </w:r>
    </w:p>
    <w:p>
      <w:pPr>
        <w:pStyle w:val="ListParagraph"/>
        <w:numPr>
          <w:ilvl w:val="0"/>
          <w:numId w:val="2"/>
        </w:numPr>
      </w:pPr>
      <w:r>
        <w:t xml:space="preserve">An Action Type: Record Action (creates/updates a record) or Email Reply (sends a response)</w:t>
      </w:r>
    </w:p>
    <w:p>
      <w:pPr>
        <w:pStyle w:val="ListParagraph"/>
        <w:numPr>
          <w:ilvl w:val="0"/>
          <w:numId w:val="2"/>
        </w:numPr>
      </w:pPr>
      <w:r>
        <w:t xml:space="preserve">A Condition: evaluated against email attributes such as subject, sender domain, or body keywords</w:t>
      </w:r>
    </w:p>
    <w:p>
      <w:pPr>
        <w:pStyle w:val="ListParagraph"/>
        <w:numPr>
          <w:ilvl w:val="0"/>
          <w:numId w:val="2"/>
        </w:numPr>
      </w:pPr>
      <w:r>
        <w:t xml:space="preserve">A Script: JavaScript executed when the condition is met, which populates Incident fields</w:t>
      </w:r>
    </w:p>
    <w:p>
      <w:r>
        <w:t xml:space="preserve"/>
      </w:r>
    </w:p>
    <w:p>
      <w:r>
        <w:t xml:space="preserve">ServiceNow ships an Out-of-the-Box (OOTB) IEA called ‘Create Incident’ that fires when an inbound email is not a reply or forward and has no existing record watermark. This rule can be customized or a new rule created specifically for EPA alerts.</w:t>
      </w:r>
    </w:p>
    <w:p>
      <w:r>
        <w:t xml:space="preserve"/>
      </w:r>
    </w:p>
    <w:p>
      <w:pPr>
        <w:pStyle w:val="Heading2"/>
      </w:pPr>
      <w:r>
        <w:t xml:space="preserve">3.2 Pre-Requisites for Inbound Email to Work</w:t>
      </w:r>
    </w:p>
    <w:p>
      <w:r>
        <w:t xml:space="preserve">The following must be in place on the ServiceNow instance before any IEA can function: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Requirement</w:t>
            </w:r>
          </w:p>
        </w:tc>
        <w:tc>
          <w:tcPr>
            <w:tcW w:type="dxa" w:w="5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Inbound Email Receiving Enabled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System Mailboxes &gt; Email Properties &gt; enable 'Receive email' checkbox (glide.email.inbound.active = 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Allowed Sender Domains Configured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Can be set to '*' (all domains) or restricted to specific domains (e.g., assurant.com, ibm.com). EPA alert emails come from IBM-controlled SaaS infrastructure, so the domain must be allowed.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EPA Sender Registered as a User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ServiceNow IEA typically requires the From address to match a user record in the sys_user table. A service account user (e.g., epa-alerts@ibm.com) may need to be created.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IEA Rule Active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'Create Incident' IEA (or a custom EPA-specific rule) must be Active = 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ServiceNow Instance Email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target address (found in Email Accounts &gt; SMTP record &gt; User name field) must be known before EPA alerts can be directed to it.</w:t>
            </w:r>
          </w:p>
        </w:tc>
      </w:tr>
    </w:tbl>
    <w:p>
      <w:r>
        <w:t xml:space="preserve"/>
      </w:r>
    </w:p>
    <w:p>
      <w:pPr>
        <w:pStyle w:val="Heading2"/>
      </w:pPr>
      <w:r>
        <w:t xml:space="preserve">3.3 Email Format Requirements</w:t>
      </w:r>
    </w:p>
    <w:p>
      <w:r>
        <w:t xml:space="preserve">The following email attributes are parsed by the ServiceNow IEA scripting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Email Attribute</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IEA Variable</w:t>
            </w:r>
          </w:p>
        </w:tc>
        <w:tc>
          <w:tcPr>
            <w:tcW w:type="dxa" w:w="3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Mapped to Incident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address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rPr>
              <w:t xml:space="preserve">email.from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caller_id (matched to user record)</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t xml:space="preserve">Subject 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email.subject</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t xml:space="preserve">short_description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body (plain text)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rPr>
              <w:t xml:space="preserve">email.body_text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comments (full email body added as comment)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t xml:space="preserve">Importance: High header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email.importance</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t xml:space="preserve">priority = 1 (via OOTB IEA script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 keyword: priority: 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rPr>
              <w:t xml:space="preserve">email.body.priority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priority field (custom script)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t xml:space="preserve">Body keyword: assign: username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email.body.assign</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t xml:space="preserve">assigned_to field</w:t>
            </w:r>
          </w:p>
        </w:tc>
      </w:tr>
    </w:tbl>
    <w:p>
      <w:r>
        <w:t xml:space="preserve"/>
      </w:r>
    </w:p>
    <w:p>
      <w:r>
        <w:rPr>
          <w:b/>
          <w:bCs/>
        </w:rPr>
        <w:t xml:space="preserve">Recommended EPA email format:</w:t>
      </w:r>
    </w:p>
    <w:p>
      <w:r>
        <w:t xml:space="preserve">Subject: [CRITICAL] EPA Process Failed - &lt;Process Name&gt;</w:t>
      </w:r>
    </w:p>
    <w:p>
      <w:r>
        <w:t xml:space="preserve">Body: priority: 1\nassign: &lt;epa-support-group&gt;\n&lt;Full alert detail from IBM PA&gt;</w:t>
      </w:r>
    </w:p>
    <w:p>
      <w:r>
        <w:t xml:space="preserve"/>
      </w:r>
    </w:p>
    <w:p>
      <w:pPr>
        <w:pStyle w:val="Heading2"/>
      </w:pPr>
      <w:r>
        <w:t xml:space="preserve">3.4 On-Call Escalation Architecture</w:t>
      </w:r>
    </w:p>
    <w:p>
      <w:r>
        <w:t xml:space="preserve">When a ServiceNow Incident is created (including via IEA), the on-call escalation flow works as follows:</w:t>
      </w:r>
    </w:p>
    <w:p>
      <w:r>
        <w:t xml:space="preserve"/>
      </w:r>
    </w:p>
    <w:p>
      <w:pPr>
        <w:pStyle w:val="ListParagraph"/>
        <w:numPr>
          <w:ilvl w:val="0"/>
          <w:numId w:val="3"/>
        </w:numPr>
      </w:pPr>
      <w:r>
        <w:t xml:space="preserve">Incident created with Assignment Group set (e.g., 'EPA Support')</w:t>
      </w:r>
    </w:p>
    <w:p>
      <w:pPr>
        <w:pStyle w:val="ListParagraph"/>
        <w:numPr>
          <w:ilvl w:val="0"/>
          <w:numId w:val="3"/>
        </w:numPr>
      </w:pPr>
      <w:r>
        <w:t xml:space="preserve">On-Call Trigger Rule evaluates the Incident (condition: Assignment Group = EPA Support AND Incident is New/Unassigned)</w:t>
      </w:r>
    </w:p>
    <w:p>
      <w:pPr>
        <w:pStyle w:val="ListParagraph"/>
        <w:numPr>
          <w:ilvl w:val="0"/>
          <w:numId w:val="3"/>
        </w:numPr>
      </w:pPr>
      <w:r>
        <w:t xml:space="preserve">Trigger Rule invokes the workflow: 'On-Call: Escalations By Email Per Rota'</w:t>
      </w:r>
    </w:p>
    <w:p>
      <w:pPr>
        <w:pStyle w:val="ListParagraph"/>
        <w:numPr>
          <w:ilvl w:val="0"/>
          <w:numId w:val="3"/>
        </w:numPr>
      </w:pPr>
      <w:r>
        <w:t xml:space="preserve">On-Call Rotation (com.snc.on_call_rotation) identifies the current primary on-call person from the configured roster</w:t>
      </w:r>
    </w:p>
    <w:p>
      <w:pPr>
        <w:pStyle w:val="ListParagraph"/>
        <w:numPr>
          <w:ilvl w:val="0"/>
          <w:numId w:val="3"/>
        </w:numPr>
      </w:pPr>
      <w:r>
        <w:t xml:space="preserve">Notification sent to the primary contact via email (and/or SMS if Notify plugin is active)</w:t>
      </w:r>
    </w:p>
    <w:p>
      <w:pPr>
        <w:pStyle w:val="ListParagraph"/>
        <w:numPr>
          <w:ilvl w:val="0"/>
          <w:numId w:val="3"/>
        </w:numPr>
      </w:pPr>
      <w:r>
        <w:t xml:space="preserve">If no acknowledgment within the configured response time, escalation moves to secondary, then tertiary contacts</w:t>
      </w:r>
    </w:p>
    <w:p>
      <w:pPr>
        <w:pStyle w:val="ListParagraph"/>
        <w:numPr>
          <w:ilvl w:val="0"/>
          <w:numId w:val="3"/>
        </w:numPr>
      </w:pPr>
      <w:r>
        <w:t xml:space="preserve">Acknowledgment = Incident assigned to the on-call person OR status changed to In Progress</w:t>
      </w:r>
    </w:p>
    <w:p>
      <w:r>
        <w:t xml:space="preserve"/>
      </w:r>
    </w:p>
    <w:p>
      <w:pPr>
        <w:pBdr>
          <w:left w:val="single" w:color="FFA500" w:sz="12"/>
        </w:pBdr>
        <w:shd w:fill="FFF3CD" w:val="clear"/>
        <w:spacing w:after="120" w:before="120"/>
        <w:ind w:left="360"/>
      </w:pPr>
      <w:r>
        <w:rPr>
          <w:sz w:val="20"/>
          <w:szCs w:val="20"/>
        </w:rPr>
        <w:t xml:space="preserve">⚠️  Known Issue (KB0547296): If the Assignment Group field is pre-populated on the Incident at creation time (which it will be when set by the IEA script), the OOTB On-Call Scheduling Trigger Rule may not fire. A workaround Business Rule is required to temporarily blank the Assignment Group, let the Trigger Rule evaluate, then re-populate it.</w:t>
      </w:r>
    </w:p>
    <w:p>
      <w:r>
        <w:t xml:space="preserve"/>
      </w:r>
    </w:p>
    <w:p>
      <w:pPr>
        <w:pStyle w:val="Heading2"/>
      </w:pPr>
      <w:r>
        <w:t xml:space="preserve">3.5 Security &amp; Email Authentication Considerations</w:t>
      </w:r>
    </w:p>
    <w:p>
      <w:r>
        <w:t xml:space="preserve">The following security aspects are relevant given that EPA alert emails will originate from IBM’s Planning Analytics Cloud (SaaS) infrastructure:</w:t>
      </w:r>
    </w:p>
    <w:p>
      <w:r>
        <w:t xml:space="preserve"/>
      </w:r>
    </w:p>
    <w:p>
      <w:pPr>
        <w:pStyle w:val="ListParagraph"/>
        <w:numPr>
          <w:ilvl w:val="0"/>
          <w:numId w:val="2"/>
        </w:numPr>
      </w:pPr>
      <w:r>
        <w:t xml:space="preserve">SPF (Sender Policy Framework): Assurant’s email gateway and ServiceNow’s inbound mail processor may reject emails from unrecognized sender IPs. IBM’s SaaS email infrastructure must be an authorized sender, either via SPF record inclusion or explicit IP whitelisting.</w:t>
      </w:r>
    </w:p>
    <w:p>
      <w:pPr>
        <w:pStyle w:val="ListParagraph"/>
        <w:numPr>
          <w:ilvl w:val="0"/>
          <w:numId w:val="2"/>
        </w:numPr>
      </w:pPr>
      <w:r>
        <w:t xml:space="preserve">Domain Whitelisting in ServiceNow: The instance’s Email Properties allow restricting inbound processing to specific sender domains. The IBM PA Cloud sending domain must be included, or the setting set to '*' (all domains).</w:t>
      </w:r>
    </w:p>
    <w:p>
      <w:pPr>
        <w:pStyle w:val="ListParagraph"/>
        <w:numPr>
          <w:ilvl w:val="0"/>
          <w:numId w:val="2"/>
        </w:numPr>
      </w:pPr>
      <w:r>
        <w:t xml:space="preserve">Sender User Record: ServiceNow IEA processing works most reliably when the From address matches a registered sys_user record. A service account user representing the EPA system email address should be created.</w:t>
      </w:r>
    </w:p>
    <w:p>
      <w:pPr>
        <w:pStyle w:val="ListParagraph"/>
        <w:numPr>
          <w:ilvl w:val="0"/>
          <w:numId w:val="2"/>
        </w:numPr>
      </w:pPr>
      <w:r>
        <w:t xml:space="preserve">No DKIM from ServiceNow SMTP: For outbound notifications from ServiceNow, the platform’s native SMTP relay supports SPF but not DKIM signing. This is generally acceptable but should be noted if Assurant has strict DMARC enforcement policies.</w:t>
      </w:r>
    </w:p>
    <w:p>
      <w:r>
        <w:t xml:space="preserve"/>
      </w:r>
    </w:p>
    <w:p>
      <w:pPr>
        <w:pStyle w:val="Heading2"/>
      </w:pPr>
      <w:r>
        <w:t xml:space="preserve">3.6 Configuration Steps Required (for Future Implementation Sprint)</w:t>
      </w:r>
    </w:p>
    <w:p>
      <w:r>
        <w:t xml:space="preserve">This section is informational only — no actions to be taken as part of this Research SPIKE. Documented here to inform future sprint scoping.</w:t>
      </w:r>
    </w:p>
    <w:p>
      <w:r>
        <w:t xml:space="preserve"/>
      </w:r>
    </w:p>
    <w:p>
      <w:pPr>
        <w:pStyle w:val="ListParagraph"/>
        <w:numPr>
          <w:ilvl w:val="0"/>
          <w:numId w:val="3"/>
        </w:numPr>
      </w:pPr>
      <w:r>
        <w:t xml:space="preserve">Enable inbound email receiving on the ServiceNow instance (if not already active)</w:t>
      </w:r>
    </w:p>
    <w:p>
      <w:pPr>
        <w:pStyle w:val="ListParagraph"/>
        <w:numPr>
          <w:ilvl w:val="0"/>
          <w:numId w:val="3"/>
        </w:numPr>
      </w:pPr>
      <w:r>
        <w:t xml:space="preserve">Configure allowed sender domains to include IBM PA Cloud email domain</w:t>
      </w:r>
    </w:p>
    <w:p>
      <w:pPr>
        <w:pStyle w:val="ListParagraph"/>
        <w:numPr>
          <w:ilvl w:val="0"/>
          <w:numId w:val="3"/>
        </w:numPr>
      </w:pPr>
      <w:r>
        <w:t xml:space="preserve">Create a sys_user service account record for the EPA system’s alert email address</w:t>
      </w:r>
    </w:p>
    <w:p>
      <w:pPr>
        <w:pStyle w:val="ListParagraph"/>
        <w:numPr>
          <w:ilvl w:val="0"/>
          <w:numId w:val="3"/>
        </w:numPr>
      </w:pPr>
      <w:r>
        <w:t xml:space="preserve">Create or customize an Inbound Email Action rule with condition filtering on EPA-specific Subject prefix (e.g., 'EPA-ALERT:')</w:t>
      </w:r>
    </w:p>
    <w:p>
      <w:pPr>
        <w:pStyle w:val="ListParagraph"/>
        <w:numPr>
          <w:ilvl w:val="0"/>
          <w:numId w:val="3"/>
        </w:numPr>
      </w:pPr>
      <w:r>
        <w:t xml:space="preserve">Script IEA to map severity from email subject/body to Incident priority, urgency, and assignment group</w:t>
      </w:r>
    </w:p>
    <w:p>
      <w:pPr>
        <w:pStyle w:val="ListParagraph"/>
        <w:numPr>
          <w:ilvl w:val="0"/>
          <w:numId w:val="3"/>
        </w:numPr>
      </w:pPr>
      <w:r>
        <w:t xml:space="preserve">Configure On-Call Scheduling: Roster, Rotation, Escalation Policy, and Trigger Rule for the EPA support group</w:t>
      </w:r>
    </w:p>
    <w:p>
      <w:pPr>
        <w:pStyle w:val="ListParagraph"/>
        <w:numPr>
          <w:ilvl w:val="0"/>
          <w:numId w:val="3"/>
        </w:numPr>
      </w:pPr>
      <w:r>
        <w:t xml:space="preserve">Implement KB0547296 workaround Business Rule if Assignment Group pre-population blocks Trigger Rule evaluation</w:t>
      </w:r>
    </w:p>
    <w:p>
      <w:pPr>
        <w:pStyle w:val="ListParagraph"/>
        <w:numPr>
          <w:ilvl w:val="0"/>
          <w:numId w:val="3"/>
        </w:numPr>
      </w:pPr>
      <w:r>
        <w:t xml:space="preserve">Test end-to-end in ServiceNow non-production instance before CAB submission</w:t>
      </w:r>
    </w:p>
    <w:p>
      <w:r>
        <w:t xml:space="preserve"/>
      </w:r>
    </w:p>
    <w:p>
      <w:pPr>
        <w:pStyle w:val="Heading2"/>
      </w:pPr>
      <w:r>
        <w:t xml:space="preserve">3.7 Known Risks &amp; Limitations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Risk / Limitation</w:t>
            </w:r>
          </w:p>
        </w:tc>
        <w:tc>
          <w:tcPr>
            <w:tcW w:type="dxa" w:w="5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Sender user record required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IEA may silently fail or create Incidents with unknown caller if the From address is not registered as a ServiceNow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Assignment Group pre-population blocks on-call trigger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OOTB Trigger Rule condition fails if Assignment Group is already set at Incident creation (KB0547296). Workaround Business Rule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IEA rule ordering conflicts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Existing IEA rules (e.g., 'Create Incident' OOTB) may intercept EPA emails before a custom rule fires. Rule ordering and conditions must be carefully reviewed.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IBM PA Cloud sender domain unknown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specific sending domain used by IBM Planning Analytics Cloud SaaS for alert emails must be confirmed with IBM before whitelist configuration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Email volume / rate limiting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If EPA generates high-frequency alerts (e.g., during a system outage), ServiceNow inbound email queuing behavior and rate limits should be validated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Production change approval required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Any enabling of IEA or On-Call configuration in production will require a ServiceNow-side change ticket, separate from the EPA ADO/RFC process</w:t>
            </w:r>
          </w:p>
        </w:tc>
      </w:tr>
    </w:tbl>
    <w:p>
      <w:r>
        <w:t xml:space="preserve"/>
      </w:r>
    </w:p>
    <w:p>
      <w:pPr>
        <w:pStyle w:val="Heading2"/>
      </w:pPr>
      <w:r>
        <w:t xml:space="preserve">3.8 Summary Assessment</w:t>
      </w:r>
    </w:p>
    <w:p>
      <w:r>
        <w:t xml:space="preserve"/>
      </w:r>
    </w:p>
    <w:p>
      <w:pPr>
        <w:pBdr>
          <w:left w:val="single" w:color="2E7D32" w:sz="12"/>
        </w:pBdr>
        <w:shd w:fill="E8F5E9" w:val="clear"/>
        <w:spacing w:after="120" w:before="120"/>
        <w:ind w:left="360"/>
      </w:pPr>
      <w:r>
        <w:rPr>
          <w:sz w:val="22"/>
          <w:szCs w:val="22"/>
        </w:rPr>
        <w:t xml:space="preserve">✅  Email-to-Incident via ServiceNow IEA is technically feasible and well-supported. The OOTB capability exists and is production-proven. The primary unknowns are Assurant-instance-specific (mailbox config, allowed domains, on-call roster existence) rather than platform capability gaps. The questionnaire in Deliverable 2 is designed to resolve all key unknowns through a single discovery conversation with April Frantzen and Alison Hudson.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5C99"/>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2026-04-22T09:08:33.923Z</dcterms:created>
  <dcterms:modified xsi:type="dcterms:W3CDTF">2026-04-22T09:08:33.924Z</dcterms:modified>
</cp:coreProperties>
</file>

<file path=docProps/custom.xml><?xml version="1.0" encoding="utf-8"?>
<Properties xmlns="http://schemas.openxmlformats.org/officeDocument/2006/custom-properties" xmlns:vt="http://schemas.openxmlformats.org/officeDocument/2006/docPropsVTypes"/>
</file>