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B155" w14:textId="77777777" w:rsidR="00000000" w:rsidRDefault="00000000" w:rsidP="00DE43EB">
      <w:pPr>
        <w:autoSpaceDE w:val="0"/>
        <w:autoSpaceDN w:val="0"/>
        <w:adjustRightInd w:val="0"/>
        <w:spacing w:after="0"/>
        <w:jc w:val="center"/>
        <w:rPr>
          <w:b/>
          <w:bCs/>
          <w:szCs w:val="24"/>
        </w:rPr>
      </w:pPr>
    </w:p>
    <w:p w14:paraId="5D1CD642" w14:textId="36549B5C" w:rsidR="00B6405C" w:rsidRPr="008B1954" w:rsidRDefault="00B6405C" w:rsidP="00DE43EB">
      <w:pPr>
        <w:autoSpaceDE w:val="0"/>
        <w:autoSpaceDN w:val="0"/>
        <w:adjustRightInd w:val="0"/>
        <w:spacing w:after="0"/>
        <w:jc w:val="center"/>
        <w:rPr>
          <w:b/>
          <w:bCs/>
        </w:rPr>
      </w:pPr>
      <w:r>
        <w:rPr>
          <w:b/>
          <w:bCs/>
        </w:rPr>
        <w:t>A</w:t>
      </w:r>
    </w:p>
    <w:p w14:paraId="4F3CB736" w14:textId="16C3515B" w:rsidR="00000000" w:rsidRPr="00B6405C" w:rsidRDefault="00B6405C" w:rsidP="00DE43EB">
      <w:pPr>
        <w:autoSpaceDE w:val="0"/>
        <w:autoSpaceDN w:val="0"/>
        <w:adjustRightInd w:val="0"/>
        <w:spacing w:after="0"/>
        <w:jc w:val="center"/>
        <w:rPr>
          <w:b/>
          <w:bCs/>
          <w:sz w:val="52"/>
          <w:szCs w:val="40"/>
        </w:rPr>
      </w:pPr>
      <w:r w:rsidRPr="00B6405C">
        <w:rPr>
          <w:b/>
          <w:bCs/>
          <w:sz w:val="52"/>
          <w:szCs w:val="40"/>
        </w:rPr>
        <w:t>Literature Review</w:t>
      </w:r>
    </w:p>
    <w:p w14:paraId="674D6855" w14:textId="77777777" w:rsidR="00000000" w:rsidRPr="008B1954" w:rsidRDefault="00000000" w:rsidP="00DE43EB">
      <w:pPr>
        <w:autoSpaceDE w:val="0"/>
        <w:autoSpaceDN w:val="0"/>
        <w:adjustRightInd w:val="0"/>
        <w:spacing w:after="0"/>
        <w:jc w:val="center"/>
        <w:rPr>
          <w:b/>
          <w:bCs/>
        </w:rPr>
      </w:pPr>
    </w:p>
    <w:p w14:paraId="1FA87D4A" w14:textId="77777777" w:rsidR="00000000" w:rsidRPr="008B1954" w:rsidRDefault="00000000" w:rsidP="00DE43EB">
      <w:pPr>
        <w:autoSpaceDE w:val="0"/>
        <w:autoSpaceDN w:val="0"/>
        <w:adjustRightInd w:val="0"/>
        <w:spacing w:after="0"/>
      </w:pPr>
    </w:p>
    <w:p w14:paraId="1DDB55C1" w14:textId="77777777" w:rsidR="00000000" w:rsidRDefault="00000000" w:rsidP="00DE43EB">
      <w:pPr>
        <w:autoSpaceDE w:val="0"/>
        <w:autoSpaceDN w:val="0"/>
        <w:adjustRightInd w:val="0"/>
        <w:spacing w:after="0"/>
        <w:jc w:val="center"/>
        <w:rPr>
          <w:b/>
          <w:bCs/>
          <w:sz w:val="28"/>
        </w:rPr>
      </w:pPr>
    </w:p>
    <w:p w14:paraId="027586BD" w14:textId="77777777" w:rsidR="00000000" w:rsidRPr="00AD26CF" w:rsidRDefault="00000000" w:rsidP="00DE43EB">
      <w:pPr>
        <w:autoSpaceDE w:val="0"/>
        <w:autoSpaceDN w:val="0"/>
        <w:adjustRightInd w:val="0"/>
        <w:spacing w:after="0"/>
        <w:jc w:val="center"/>
        <w:rPr>
          <w:b/>
          <w:bCs/>
          <w:sz w:val="28"/>
        </w:rPr>
      </w:pPr>
      <w:r>
        <w:rPr>
          <w:b/>
          <w:bCs/>
          <w:sz w:val="28"/>
        </w:rPr>
        <w:t>MASTER</w:t>
      </w:r>
      <w:r w:rsidRPr="00AD26CF">
        <w:rPr>
          <w:rStyle w:val="Emphasis"/>
          <w:rFonts w:ascii="Arial" w:hAnsi="Arial" w:cs="Arial"/>
          <w:b/>
          <w:bCs/>
          <w:color w:val="444444"/>
          <w:sz w:val="28"/>
          <w:shd w:val="clear" w:color="auto" w:fill="FFFFFF"/>
        </w:rPr>
        <w:t xml:space="preserve"> </w:t>
      </w:r>
      <w:r w:rsidRPr="00AD26CF">
        <w:rPr>
          <w:b/>
          <w:bCs/>
          <w:sz w:val="28"/>
        </w:rPr>
        <w:t>OF TECHNOLOGY</w:t>
      </w:r>
    </w:p>
    <w:p w14:paraId="71BEA7EB" w14:textId="77777777" w:rsidR="00000000" w:rsidRPr="009A7EA3" w:rsidRDefault="00000000" w:rsidP="00DE43EB">
      <w:pPr>
        <w:autoSpaceDE w:val="0"/>
        <w:autoSpaceDN w:val="0"/>
        <w:adjustRightInd w:val="0"/>
        <w:spacing w:after="0"/>
        <w:jc w:val="center"/>
        <w:rPr>
          <w:b/>
          <w:bCs/>
        </w:rPr>
      </w:pPr>
      <w:r w:rsidRPr="009A7EA3">
        <w:rPr>
          <w:b/>
          <w:bCs/>
        </w:rPr>
        <w:t>IN</w:t>
      </w:r>
    </w:p>
    <w:p w14:paraId="3A3CE978" w14:textId="77777777" w:rsidR="00000000" w:rsidRPr="008B1954" w:rsidRDefault="00000000" w:rsidP="00DE43EB">
      <w:pPr>
        <w:autoSpaceDE w:val="0"/>
        <w:autoSpaceDN w:val="0"/>
        <w:adjustRightInd w:val="0"/>
        <w:spacing w:after="0"/>
        <w:jc w:val="center"/>
        <w:rPr>
          <w:bCs/>
          <w:sz w:val="28"/>
          <w:szCs w:val="28"/>
        </w:rPr>
      </w:pPr>
      <w:r>
        <w:rPr>
          <w:b/>
          <w:bCs/>
          <w:sz w:val="28"/>
          <w:szCs w:val="28"/>
        </w:rPr>
        <w:t>Artificial Intelligence</w:t>
      </w:r>
      <w:r w:rsidRPr="00AD26CF">
        <w:rPr>
          <w:b/>
          <w:bCs/>
          <w:sz w:val="28"/>
          <w:szCs w:val="28"/>
        </w:rPr>
        <w:t xml:space="preserve"> </w:t>
      </w:r>
      <w:r>
        <w:rPr>
          <w:b/>
          <w:bCs/>
          <w:sz w:val="28"/>
          <w:szCs w:val="28"/>
        </w:rPr>
        <w:t>and</w:t>
      </w:r>
      <w:r w:rsidRPr="00AD26CF">
        <w:rPr>
          <w:b/>
          <w:bCs/>
          <w:sz w:val="28"/>
          <w:szCs w:val="28"/>
        </w:rPr>
        <w:t xml:space="preserve"> </w:t>
      </w:r>
      <w:r>
        <w:rPr>
          <w:b/>
          <w:bCs/>
          <w:sz w:val="28"/>
          <w:szCs w:val="28"/>
        </w:rPr>
        <w:t>Machine Learning</w:t>
      </w:r>
    </w:p>
    <w:p w14:paraId="4DD57E2E" w14:textId="77777777" w:rsidR="00000000" w:rsidRPr="008B1954" w:rsidRDefault="00000000" w:rsidP="00DE43EB">
      <w:pPr>
        <w:autoSpaceDE w:val="0"/>
        <w:autoSpaceDN w:val="0"/>
        <w:adjustRightInd w:val="0"/>
        <w:spacing w:after="0"/>
        <w:jc w:val="center"/>
      </w:pPr>
    </w:p>
    <w:p w14:paraId="12567F88" w14:textId="77777777" w:rsidR="00000000" w:rsidRDefault="00000000" w:rsidP="00DE43EB">
      <w:pPr>
        <w:autoSpaceDE w:val="0"/>
        <w:autoSpaceDN w:val="0"/>
        <w:adjustRightInd w:val="0"/>
        <w:spacing w:after="0"/>
        <w:jc w:val="center"/>
        <w:rPr>
          <w:szCs w:val="24"/>
        </w:rPr>
      </w:pPr>
    </w:p>
    <w:p w14:paraId="1B674F90" w14:textId="77777777" w:rsidR="00000000" w:rsidRDefault="00000000" w:rsidP="00DE43EB">
      <w:pPr>
        <w:autoSpaceDE w:val="0"/>
        <w:autoSpaceDN w:val="0"/>
        <w:adjustRightInd w:val="0"/>
        <w:spacing w:after="0"/>
        <w:jc w:val="center"/>
        <w:rPr>
          <w:szCs w:val="24"/>
        </w:rPr>
      </w:pPr>
    </w:p>
    <w:p w14:paraId="656401E8" w14:textId="77777777" w:rsidR="00000000" w:rsidRDefault="00000000" w:rsidP="00DE43EB">
      <w:pPr>
        <w:autoSpaceDE w:val="0"/>
        <w:autoSpaceDN w:val="0"/>
        <w:adjustRightInd w:val="0"/>
        <w:spacing w:after="0"/>
        <w:jc w:val="center"/>
        <w:rPr>
          <w:szCs w:val="24"/>
        </w:rPr>
      </w:pPr>
      <w:r w:rsidRPr="008B1954">
        <w:rPr>
          <w:szCs w:val="24"/>
        </w:rPr>
        <w:t>SUBMITTED BY</w:t>
      </w:r>
    </w:p>
    <w:p w14:paraId="48A9FCC5" w14:textId="77777777" w:rsidR="00000000" w:rsidRDefault="00000000" w:rsidP="00DE43EB">
      <w:pPr>
        <w:autoSpaceDE w:val="0"/>
        <w:autoSpaceDN w:val="0"/>
        <w:adjustRightInd w:val="0"/>
        <w:spacing w:after="0"/>
        <w:jc w:val="center"/>
        <w:rPr>
          <w:b/>
          <w:bCs/>
          <w:szCs w:val="24"/>
        </w:rPr>
      </w:pPr>
    </w:p>
    <w:p w14:paraId="3C52E317" w14:textId="77777777" w:rsidR="00000000" w:rsidRDefault="00000000" w:rsidP="00DE43EB">
      <w:pPr>
        <w:autoSpaceDE w:val="0"/>
        <w:autoSpaceDN w:val="0"/>
        <w:adjustRightInd w:val="0"/>
        <w:spacing w:after="0"/>
        <w:jc w:val="center"/>
        <w:rPr>
          <w:b/>
          <w:bCs/>
          <w:szCs w:val="24"/>
        </w:rPr>
      </w:pPr>
    </w:p>
    <w:p w14:paraId="52DEB4CF" w14:textId="77777777" w:rsidR="00000000" w:rsidRPr="009C5E89" w:rsidRDefault="00000000" w:rsidP="00DE43EB">
      <w:pPr>
        <w:autoSpaceDE w:val="0"/>
        <w:autoSpaceDN w:val="0"/>
        <w:adjustRightInd w:val="0"/>
        <w:spacing w:after="0"/>
        <w:jc w:val="center"/>
        <w:rPr>
          <w:b/>
          <w:bCs/>
          <w:sz w:val="28"/>
          <w:szCs w:val="24"/>
        </w:rPr>
      </w:pPr>
      <w:r w:rsidRPr="009C5E89">
        <w:rPr>
          <w:b/>
          <w:bCs/>
          <w:sz w:val="28"/>
          <w:szCs w:val="24"/>
        </w:rPr>
        <w:t xml:space="preserve">Niranjan </w:t>
      </w:r>
      <w:proofErr w:type="spellStart"/>
      <w:r w:rsidRPr="009C5E89">
        <w:rPr>
          <w:b/>
          <w:bCs/>
          <w:sz w:val="28"/>
          <w:szCs w:val="24"/>
        </w:rPr>
        <w:t>Dhanyakumar</w:t>
      </w:r>
      <w:proofErr w:type="spellEnd"/>
      <w:r w:rsidRPr="009C5E89">
        <w:rPr>
          <w:b/>
          <w:bCs/>
          <w:sz w:val="28"/>
          <w:szCs w:val="24"/>
        </w:rPr>
        <w:t xml:space="preserve"> Kolpe</w:t>
      </w:r>
    </w:p>
    <w:p w14:paraId="44CB3FAB" w14:textId="77777777" w:rsidR="00000000" w:rsidRDefault="00000000" w:rsidP="00DE43EB">
      <w:pPr>
        <w:autoSpaceDE w:val="0"/>
        <w:autoSpaceDN w:val="0"/>
        <w:adjustRightInd w:val="0"/>
        <w:spacing w:after="0"/>
        <w:jc w:val="center"/>
        <w:rPr>
          <w:b/>
          <w:bCs/>
          <w:sz w:val="28"/>
          <w:szCs w:val="24"/>
        </w:rPr>
      </w:pPr>
      <w:r w:rsidRPr="009C5E89">
        <w:rPr>
          <w:b/>
          <w:bCs/>
          <w:sz w:val="28"/>
          <w:szCs w:val="24"/>
        </w:rPr>
        <w:t xml:space="preserve">(PRN - </w:t>
      </w:r>
      <w:r>
        <w:rPr>
          <w:b/>
          <w:bCs/>
          <w:sz w:val="28"/>
          <w:szCs w:val="24"/>
        </w:rPr>
        <w:t>25070149016</w:t>
      </w:r>
      <w:r w:rsidRPr="009C5E89">
        <w:rPr>
          <w:b/>
          <w:bCs/>
          <w:sz w:val="28"/>
          <w:szCs w:val="24"/>
        </w:rPr>
        <w:t>)</w:t>
      </w:r>
    </w:p>
    <w:p w14:paraId="44564E20" w14:textId="77777777" w:rsidR="00000000" w:rsidRPr="006630BD" w:rsidRDefault="00000000" w:rsidP="00DE43EB">
      <w:pPr>
        <w:autoSpaceDE w:val="0"/>
        <w:autoSpaceDN w:val="0"/>
        <w:adjustRightInd w:val="0"/>
        <w:spacing w:after="0"/>
        <w:jc w:val="center"/>
        <w:rPr>
          <w:sz w:val="28"/>
          <w:szCs w:val="24"/>
        </w:rPr>
      </w:pPr>
    </w:p>
    <w:p w14:paraId="3DFFF4A5" w14:textId="77777777" w:rsidR="00000000" w:rsidRPr="009C5E89" w:rsidRDefault="00000000" w:rsidP="00DE43EB">
      <w:pPr>
        <w:autoSpaceDE w:val="0"/>
        <w:autoSpaceDN w:val="0"/>
        <w:adjustRightInd w:val="0"/>
        <w:spacing w:after="0"/>
        <w:jc w:val="center"/>
        <w:rPr>
          <w:b/>
          <w:bCs/>
          <w:sz w:val="28"/>
          <w:szCs w:val="24"/>
        </w:rPr>
      </w:pPr>
      <w:r w:rsidRPr="009C5E89">
        <w:rPr>
          <w:b/>
          <w:bCs/>
          <w:sz w:val="28"/>
          <w:szCs w:val="24"/>
        </w:rPr>
        <w:t>Guide: Dr. Shivali Wagle. Co-guide: Dr. Madhvi Saxena.</w:t>
      </w:r>
    </w:p>
    <w:p w14:paraId="1F5941AC" w14:textId="77777777" w:rsidR="00000000" w:rsidRDefault="00000000" w:rsidP="00DE43EB">
      <w:pPr>
        <w:autoSpaceDE w:val="0"/>
        <w:autoSpaceDN w:val="0"/>
        <w:adjustRightInd w:val="0"/>
        <w:spacing w:after="0"/>
        <w:jc w:val="center"/>
      </w:pPr>
    </w:p>
    <w:p w14:paraId="3E393442" w14:textId="77777777" w:rsidR="00000000" w:rsidRPr="008B1954" w:rsidRDefault="00000000" w:rsidP="00DE43EB">
      <w:pPr>
        <w:autoSpaceDE w:val="0"/>
        <w:autoSpaceDN w:val="0"/>
        <w:adjustRightInd w:val="0"/>
        <w:spacing w:after="0"/>
        <w:jc w:val="center"/>
      </w:pPr>
    </w:p>
    <w:p w14:paraId="33969A79" w14:textId="77777777" w:rsidR="00000000" w:rsidRDefault="00000000" w:rsidP="00DE43EB">
      <w:pPr>
        <w:autoSpaceDE w:val="0"/>
        <w:autoSpaceDN w:val="0"/>
        <w:adjustRightInd w:val="0"/>
        <w:spacing w:before="240" w:after="0"/>
        <w:jc w:val="center"/>
        <w:rPr>
          <w:b/>
          <w:bCs/>
          <w:szCs w:val="24"/>
        </w:rPr>
      </w:pPr>
      <w:r>
        <w:rPr>
          <w:b/>
          <w:bCs/>
          <w:noProof/>
        </w:rPr>
        <w:drawing>
          <wp:inline distT="0" distB="0" distL="0" distR="0" wp14:anchorId="58C688D4" wp14:editId="537C0A9A">
            <wp:extent cx="688340" cy="865505"/>
            <wp:effectExtent l="0" t="0" r="0" b="0"/>
            <wp:docPr id="1" name="Picture 1" descr="A red logo with a globe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red logo with a globe and text&#10;&#10;Description automatically generated"/>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8340" cy="865505"/>
                    </a:xfrm>
                    <a:prstGeom prst="rect">
                      <a:avLst/>
                    </a:prstGeom>
                    <a:noFill/>
                  </pic:spPr>
                </pic:pic>
              </a:graphicData>
            </a:graphic>
          </wp:inline>
        </w:drawing>
      </w:r>
    </w:p>
    <w:p w14:paraId="33B0ED46" w14:textId="77777777" w:rsidR="00000000" w:rsidRDefault="00000000" w:rsidP="00DE43EB">
      <w:pPr>
        <w:autoSpaceDE w:val="0"/>
        <w:autoSpaceDN w:val="0"/>
        <w:adjustRightInd w:val="0"/>
        <w:spacing w:after="0"/>
        <w:jc w:val="center"/>
        <w:rPr>
          <w:b/>
          <w:bCs/>
          <w:szCs w:val="24"/>
        </w:rPr>
      </w:pPr>
    </w:p>
    <w:p w14:paraId="258B5DB0" w14:textId="77777777" w:rsidR="00000000" w:rsidRDefault="00000000" w:rsidP="00DE43EB">
      <w:pPr>
        <w:autoSpaceDE w:val="0"/>
        <w:autoSpaceDN w:val="0"/>
        <w:adjustRightInd w:val="0"/>
        <w:spacing w:after="0"/>
        <w:jc w:val="center"/>
        <w:rPr>
          <w:b/>
          <w:bCs/>
          <w:szCs w:val="24"/>
        </w:rPr>
      </w:pPr>
    </w:p>
    <w:p w14:paraId="6E95F8CF" w14:textId="77777777" w:rsidR="00000000" w:rsidRPr="008B1954" w:rsidRDefault="00000000" w:rsidP="00DE43EB">
      <w:pPr>
        <w:autoSpaceDE w:val="0"/>
        <w:autoSpaceDN w:val="0"/>
        <w:adjustRightInd w:val="0"/>
        <w:spacing w:after="0"/>
        <w:jc w:val="center"/>
        <w:rPr>
          <w:b/>
          <w:bCs/>
          <w:szCs w:val="24"/>
        </w:rPr>
      </w:pPr>
      <w:r w:rsidRPr="008B1954">
        <w:rPr>
          <w:b/>
          <w:bCs/>
          <w:szCs w:val="24"/>
        </w:rPr>
        <w:t>SYMBIOSIS INSTITUTE OF TECHNOLOGY</w:t>
      </w:r>
      <w:r>
        <w:rPr>
          <w:b/>
          <w:bCs/>
          <w:szCs w:val="24"/>
        </w:rPr>
        <w:t xml:space="preserve">, </w:t>
      </w:r>
      <w:r w:rsidRPr="008B1954">
        <w:rPr>
          <w:b/>
          <w:bCs/>
          <w:szCs w:val="24"/>
        </w:rPr>
        <w:t>P</w:t>
      </w:r>
      <w:r>
        <w:rPr>
          <w:b/>
          <w:bCs/>
          <w:szCs w:val="24"/>
        </w:rPr>
        <w:t>UNE</w:t>
      </w:r>
      <w:r w:rsidRPr="008B1954">
        <w:rPr>
          <w:b/>
          <w:bCs/>
          <w:szCs w:val="24"/>
        </w:rPr>
        <w:t xml:space="preserve"> </w:t>
      </w:r>
      <w:r>
        <w:rPr>
          <w:b/>
          <w:bCs/>
          <w:szCs w:val="24"/>
        </w:rPr>
        <w:t>–</w:t>
      </w:r>
      <w:r w:rsidRPr="008B1954">
        <w:rPr>
          <w:b/>
          <w:bCs/>
          <w:szCs w:val="24"/>
        </w:rPr>
        <w:t xml:space="preserve"> 412115</w:t>
      </w:r>
    </w:p>
    <w:p w14:paraId="0A770F2B" w14:textId="77777777" w:rsidR="00000000" w:rsidRPr="008B1954" w:rsidRDefault="00000000" w:rsidP="00DE43EB">
      <w:pPr>
        <w:autoSpaceDE w:val="0"/>
        <w:autoSpaceDN w:val="0"/>
        <w:adjustRightInd w:val="0"/>
        <w:spacing w:after="0"/>
        <w:jc w:val="center"/>
        <w:rPr>
          <w:b/>
          <w:bCs/>
          <w:szCs w:val="24"/>
        </w:rPr>
      </w:pPr>
    </w:p>
    <w:p w14:paraId="148DA2BD" w14:textId="77777777" w:rsidR="00000000" w:rsidRPr="002B41BC" w:rsidRDefault="00000000" w:rsidP="00DE43EB">
      <w:pPr>
        <w:autoSpaceDE w:val="0"/>
        <w:autoSpaceDN w:val="0"/>
        <w:adjustRightInd w:val="0"/>
        <w:spacing w:after="0"/>
        <w:jc w:val="center"/>
        <w:rPr>
          <w:b/>
          <w:bCs/>
          <w:szCs w:val="24"/>
        </w:rPr>
      </w:pPr>
      <w:r>
        <w:rPr>
          <w:b/>
          <w:bCs/>
          <w:szCs w:val="24"/>
        </w:rPr>
        <w:t xml:space="preserve">(A CONSTITUENT </w:t>
      </w:r>
      <w:r w:rsidRPr="002B41BC">
        <w:rPr>
          <w:b/>
          <w:bCs/>
          <w:szCs w:val="24"/>
        </w:rPr>
        <w:t xml:space="preserve">OF SYMBIOSIS INTERNATIONAL </w:t>
      </w:r>
      <w:r>
        <w:rPr>
          <w:b/>
          <w:bCs/>
          <w:szCs w:val="24"/>
        </w:rPr>
        <w:t xml:space="preserve">(DEEMED </w:t>
      </w:r>
      <w:r w:rsidRPr="002B41BC">
        <w:rPr>
          <w:b/>
          <w:bCs/>
          <w:szCs w:val="24"/>
        </w:rPr>
        <w:t>UNIVERSITY</w:t>
      </w:r>
      <w:r>
        <w:rPr>
          <w:b/>
          <w:bCs/>
          <w:szCs w:val="24"/>
        </w:rPr>
        <w:t>)</w:t>
      </w:r>
      <w:r w:rsidRPr="002B41BC">
        <w:rPr>
          <w:b/>
          <w:bCs/>
          <w:szCs w:val="24"/>
        </w:rPr>
        <w:t>)</w:t>
      </w:r>
    </w:p>
    <w:p w14:paraId="18A8F664" w14:textId="77777777" w:rsidR="00000000" w:rsidRPr="008B1954" w:rsidRDefault="00000000" w:rsidP="00DE43EB">
      <w:pPr>
        <w:autoSpaceDE w:val="0"/>
        <w:autoSpaceDN w:val="0"/>
        <w:adjustRightInd w:val="0"/>
        <w:spacing w:after="0"/>
        <w:jc w:val="center"/>
        <w:rPr>
          <w:b/>
          <w:bCs/>
          <w:szCs w:val="24"/>
        </w:rPr>
      </w:pPr>
    </w:p>
    <w:p w14:paraId="250129FB" w14:textId="77777777" w:rsidR="00000000" w:rsidRDefault="00000000" w:rsidP="00DE43EB">
      <w:pPr>
        <w:jc w:val="center"/>
        <w:rPr>
          <w:b/>
        </w:rPr>
      </w:pPr>
      <w:r w:rsidRPr="002B41BC">
        <w:rPr>
          <w:b/>
        </w:rPr>
        <w:t>20</w:t>
      </w:r>
      <w:r>
        <w:rPr>
          <w:b/>
        </w:rPr>
        <w:t>2</w:t>
      </w:r>
      <w:r>
        <w:rPr>
          <w:b/>
        </w:rPr>
        <w:t>6</w:t>
      </w:r>
      <w:r>
        <w:rPr>
          <w:b/>
        </w:rPr>
        <w:t>-2</w:t>
      </w:r>
      <w:r>
        <w:rPr>
          <w:b/>
        </w:rPr>
        <w:t>7</w:t>
      </w:r>
    </w:p>
    <w:p w14:paraId="3BFED47F" w14:textId="3A2ADB1D" w:rsidR="00000000" w:rsidRPr="00B6405C" w:rsidRDefault="00B6405C" w:rsidP="00B6405C">
      <w:pPr>
        <w:rPr>
          <w:rFonts w:asciiTheme="majorHAnsi" w:eastAsiaTheme="majorEastAsia" w:hAnsiTheme="majorHAnsi" w:cstheme="majorBidi"/>
          <w:b/>
          <w:bCs/>
          <w:color w:val="17365D" w:themeColor="text2" w:themeShade="BF"/>
          <w:spacing w:val="5"/>
          <w:kern w:val="28"/>
          <w:sz w:val="22"/>
        </w:rPr>
      </w:pPr>
      <w:r>
        <w:rPr>
          <w:b/>
          <w:bCs/>
          <w:sz w:val="22"/>
        </w:rPr>
        <w:br w:type="page"/>
      </w:r>
    </w:p>
    <w:p w14:paraId="6FBAC89E" w14:textId="77777777" w:rsidR="005B4D48" w:rsidRDefault="00000000">
      <w:pPr>
        <w:pStyle w:val="Heading1"/>
        <w:numPr>
          <w:ilvl w:val="0"/>
          <w:numId w:val="12"/>
        </w:numPr>
      </w:pPr>
      <w:r>
        <w:lastRenderedPageBreak/>
        <w:t>SYSTEMATIC LITERATURE REVIEW</w:t>
      </w:r>
    </w:p>
    <w:p w14:paraId="6BAF4989" w14:textId="77777777" w:rsidR="00A82ED9" w:rsidRDefault="00000000" w:rsidP="00DE43EB">
      <w:pPr>
        <w:spacing w:after="240"/>
        <w:jc w:val="both"/>
      </w:pPr>
      <w:r>
        <w:rPr>
          <w:rFonts w:eastAsia="Times New Roman" w:cs="Times New Roman"/>
        </w:rPr>
        <w:t xml:space="preserve">The review followed PRISMA 2020 and used Scopus only. Search A combined PV power terms, forecasting terms (forecast*, predict*, </w:t>
      </w:r>
      <w:proofErr w:type="spellStart"/>
      <w:r>
        <w:rPr>
          <w:rFonts w:eastAsia="Times New Roman" w:cs="Times New Roman"/>
        </w:rPr>
        <w:t>estimat</w:t>
      </w:r>
      <w:proofErr w:type="spellEnd"/>
      <w:r>
        <w:rPr>
          <w:rFonts w:eastAsia="Times New Roman" w:cs="Times New Roman"/>
        </w:rPr>
        <w:t>*, nowcast*) and ML terms, limited to 2021-2026, articles, conference papers and reviews, English, final publication stage and open access, which gave 4,067 records. The 235 reviews among them were screened by title and then by abstract (records marked Include or Unsure went forward), 57 were sought in full text, 53 were read in full and 39 were included.</w:t>
      </w:r>
    </w:p>
    <w:p w14:paraId="3EA4FB97" w14:textId="77777777" w:rsidR="00A82ED9" w:rsidRDefault="00000000" w:rsidP="00DE43EB">
      <w:pPr>
        <w:spacing w:after="240"/>
        <w:jc w:val="both"/>
      </w:pPr>
      <w:r>
        <w:rPr>
          <w:rFonts w:eastAsia="Times New Roman" w:cs="Times New Roman"/>
        </w:rPr>
        <w:t>Search B checked novelty. It added three blocks of terms to the same query: leakage-safe splitting, multiple sites, and persistence or skill-score baselines. Requiring all three blocks returned 0 records. Requiring at least two returned 33 records; after the same filters (articles and conference papers only), screening and full-text checks, 6 primary studies were included. Figure 1 shows both flows.</w:t>
      </w:r>
    </w:p>
    <w:p w14:paraId="5A549C35" w14:textId="77777777" w:rsidR="005B4D48" w:rsidRDefault="00000000">
      <w:r>
        <w:rPr>
          <w:noProof/>
        </w:rPr>
        <w:drawing>
          <wp:inline distT="0" distB="0" distL="0" distR="0" wp14:anchorId="58AF8AC3" wp14:editId="616B4C5B">
            <wp:extent cx="5486400" cy="3910947"/>
            <wp:effectExtent l="0" t="0" r="0" b="0"/>
            <wp:docPr id="1595528155" name="Picture 15955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 Search.jpg"/>
                    <pic:cNvPicPr/>
                  </pic:nvPicPr>
                  <pic:blipFill>
                    <a:blip r:embed="rId7"/>
                    <a:stretch>
                      <a:fillRect/>
                    </a:stretch>
                  </pic:blipFill>
                  <pic:spPr>
                    <a:xfrm>
                      <a:off x="0" y="0"/>
                      <a:ext cx="5486400" cy="3910947"/>
                    </a:xfrm>
                    <a:prstGeom prst="rect">
                      <a:avLst/>
                    </a:prstGeom>
                    <a:ln w="9525">
                      <a:solidFill>
                        <a:srgbClr val="000000"/>
                      </a:solidFill>
                    </a:ln>
                  </pic:spPr>
                </pic:pic>
              </a:graphicData>
            </a:graphic>
          </wp:inline>
        </w:drawing>
      </w:r>
    </w:p>
    <w:p w14:paraId="7AF97A9C" w14:textId="77777777" w:rsidR="005B4D48" w:rsidRDefault="00000000">
      <w:pPr>
        <w:spacing w:after="240"/>
        <w:jc w:val="center"/>
      </w:pPr>
      <w:r>
        <w:rPr>
          <w:rFonts w:eastAsia="Times New Roman" w:cs="Times New Roman"/>
          <w:b/>
          <w:sz w:val="22"/>
        </w:rPr>
        <w:t xml:space="preserve">Figure 1. </w:t>
      </w:r>
      <w:r>
        <w:rPr>
          <w:rFonts w:eastAsia="Times New Roman" w:cs="Times New Roman"/>
          <w:sz w:val="22"/>
        </w:rPr>
        <w:t>PRISMA 2020 flow diagram for Search A (reviews) and Search B (primary studies)</w:t>
      </w:r>
    </w:p>
    <w:p w14:paraId="4FE1BF50" w14:textId="77777777" w:rsidR="005B4D48" w:rsidRDefault="00000000">
      <w:r>
        <w:br w:type="page"/>
      </w:r>
    </w:p>
    <w:p w14:paraId="227537A8" w14:textId="77777777" w:rsidR="005B4D48" w:rsidRDefault="00000000">
      <w:pPr>
        <w:pStyle w:val="Heading1"/>
        <w:pageBreakBefore/>
        <w:numPr>
          <w:ilvl w:val="0"/>
          <w:numId w:val="12"/>
        </w:numPr>
      </w:pPr>
      <w:r>
        <w:lastRenderedPageBreak/>
        <w:t>REVIEW OF METHODS AVAILABLE IN THE LITERATURE</w:t>
      </w:r>
    </w:p>
    <w:p w14:paraId="05E4E879" w14:textId="77777777" w:rsidR="005B4D48" w:rsidRDefault="00000000">
      <w:pPr>
        <w:keepNext/>
        <w:spacing w:before="240" w:after="60"/>
        <w:jc w:val="center"/>
      </w:pPr>
      <w:r>
        <w:rPr>
          <w:rFonts w:eastAsia="Times New Roman" w:cs="Times New Roman"/>
          <w:b/>
        </w:rPr>
        <w:t>Table 1. Comparison of the 39 included reviews (Search A)</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00"/>
        <w:gridCol w:w="1500"/>
        <w:gridCol w:w="1500"/>
        <w:gridCol w:w="1640"/>
        <w:gridCol w:w="2500"/>
      </w:tblGrid>
      <w:tr w:rsidR="00AE3532" w14:paraId="0115F2AB" w14:textId="77777777">
        <w:tc>
          <w:tcPr>
            <w:tcW w:w="1500" w:type="dxa"/>
          </w:tcPr>
          <w:p w14:paraId="39B72587" w14:textId="77777777" w:rsidR="00A82ED9" w:rsidRDefault="00000000">
            <w:r>
              <w:rPr>
                <w:rFonts w:eastAsia="Times New Roman" w:cs="Times New Roman"/>
                <w:b/>
                <w:sz w:val="18"/>
              </w:rPr>
              <w:t>Study (Author, Year, Citation)</w:t>
            </w:r>
          </w:p>
        </w:tc>
        <w:tc>
          <w:tcPr>
            <w:tcW w:w="1500" w:type="dxa"/>
          </w:tcPr>
          <w:p w14:paraId="42276F07" w14:textId="77777777" w:rsidR="00A82ED9" w:rsidRDefault="00000000">
            <w:r>
              <w:rPr>
                <w:rFonts w:eastAsia="Times New Roman" w:cs="Times New Roman"/>
                <w:b/>
                <w:sz w:val="18"/>
              </w:rPr>
              <w:t>Focus</w:t>
            </w:r>
          </w:p>
        </w:tc>
        <w:tc>
          <w:tcPr>
            <w:tcW w:w="1500" w:type="dxa"/>
          </w:tcPr>
          <w:p w14:paraId="7DDB4837" w14:textId="77777777" w:rsidR="00A82ED9" w:rsidRDefault="00000000">
            <w:r>
              <w:rPr>
                <w:rFonts w:eastAsia="Times New Roman" w:cs="Times New Roman"/>
                <w:b/>
                <w:sz w:val="18"/>
              </w:rPr>
              <w:t>Method</w:t>
            </w:r>
          </w:p>
        </w:tc>
        <w:tc>
          <w:tcPr>
            <w:tcW w:w="1640" w:type="dxa"/>
          </w:tcPr>
          <w:p w14:paraId="606E5CAA" w14:textId="77777777" w:rsidR="00A82ED9" w:rsidRDefault="00000000">
            <w:r>
              <w:rPr>
                <w:rFonts w:eastAsia="Times New Roman" w:cs="Times New Roman"/>
                <w:b/>
                <w:sz w:val="18"/>
              </w:rPr>
              <w:t>Dataset</w:t>
            </w:r>
          </w:p>
        </w:tc>
        <w:tc>
          <w:tcPr>
            <w:tcW w:w="2500" w:type="dxa"/>
          </w:tcPr>
          <w:p w14:paraId="04E5DB2D" w14:textId="77777777" w:rsidR="00A82ED9" w:rsidRDefault="00000000">
            <w:r>
              <w:rPr>
                <w:rFonts w:eastAsia="Times New Roman" w:cs="Times New Roman"/>
                <w:b/>
                <w:sz w:val="18"/>
              </w:rPr>
              <w:t>Research Gap</w:t>
            </w:r>
          </w:p>
        </w:tc>
      </w:tr>
      <w:tr w:rsidR="00AE3532" w14:paraId="538D9EAE" w14:textId="77777777">
        <w:tc>
          <w:tcPr>
            <w:tcW w:w="1500" w:type="dxa"/>
          </w:tcPr>
          <w:p w14:paraId="420B28C4" w14:textId="77777777" w:rsidR="00A82ED9" w:rsidRDefault="00000000">
            <w:proofErr w:type="spellStart"/>
            <w:r>
              <w:rPr>
                <w:rFonts w:eastAsia="Times New Roman" w:cs="Times New Roman"/>
                <w:sz w:val="18"/>
              </w:rPr>
              <w:t>Mahaini</w:t>
            </w:r>
            <w:proofErr w:type="spellEnd"/>
            <w:r>
              <w:rPr>
                <w:rFonts w:eastAsia="Times New Roman" w:cs="Times New Roman"/>
                <w:sz w:val="18"/>
              </w:rPr>
              <w:t xml:space="preserve"> et al., 2026 [</w:t>
            </w:r>
            <w:hyperlink w:anchor="ref_1" w:history="1">
              <w:r>
                <w:rPr>
                  <w:rFonts w:eastAsia="Times New Roman" w:cs="Times New Roman"/>
                  <w:color w:val="0563C1"/>
                  <w:sz w:val="18"/>
                </w:rPr>
                <w:t>1</w:t>
              </w:r>
            </w:hyperlink>
            <w:r>
              <w:rPr>
                <w:rFonts w:eastAsia="Times New Roman" w:cs="Times New Roman"/>
                <w:sz w:val="18"/>
              </w:rPr>
              <w:t>]</w:t>
            </w:r>
          </w:p>
        </w:tc>
        <w:tc>
          <w:tcPr>
            <w:tcW w:w="1500" w:type="dxa"/>
          </w:tcPr>
          <w:p w14:paraId="4127CC35" w14:textId="77777777" w:rsidR="00A82ED9" w:rsidRDefault="00000000">
            <w:r>
              <w:rPr>
                <w:rFonts w:eastAsia="Times New Roman" w:cs="Times New Roman"/>
                <w:sz w:val="18"/>
              </w:rPr>
              <w:t>ML PV/wind, ≥24 h</w:t>
            </w:r>
          </w:p>
        </w:tc>
        <w:tc>
          <w:tcPr>
            <w:tcW w:w="1500" w:type="dxa"/>
          </w:tcPr>
          <w:p w14:paraId="2ED1ECDD" w14:textId="77777777" w:rsidR="00A82ED9" w:rsidRDefault="00000000">
            <w:r>
              <w:rPr>
                <w:rFonts w:eastAsia="Times New Roman" w:cs="Times New Roman"/>
                <w:sz w:val="18"/>
              </w:rPr>
              <w:t>SLR, Scopus, 31 studies</w:t>
            </w:r>
          </w:p>
        </w:tc>
        <w:tc>
          <w:tcPr>
            <w:tcW w:w="1640" w:type="dxa"/>
          </w:tcPr>
          <w:p w14:paraId="4678AB6F" w14:textId="77777777" w:rsidR="00A82ED9" w:rsidRDefault="00000000">
            <w:r>
              <w:rPr>
                <w:rFonts w:eastAsia="Times New Roman" w:cs="Times New Roman"/>
                <w:sz w:val="18"/>
              </w:rPr>
              <w:t xml:space="preserve">SCADA (measured); DKASC, </w:t>
            </w:r>
            <w:proofErr w:type="spellStart"/>
            <w:r>
              <w:rPr>
                <w:rFonts w:eastAsia="Times New Roman" w:cs="Times New Roman"/>
                <w:sz w:val="18"/>
              </w:rPr>
              <w:t>SolarDB</w:t>
            </w:r>
            <w:proofErr w:type="spellEnd"/>
            <w:r>
              <w:rPr>
                <w:rFonts w:eastAsia="Times New Roman" w:cs="Times New Roman"/>
                <w:sz w:val="18"/>
              </w:rPr>
              <w:t xml:space="preserve"> (public)</w:t>
            </w:r>
          </w:p>
        </w:tc>
        <w:tc>
          <w:tcPr>
            <w:tcW w:w="2500" w:type="dxa"/>
          </w:tcPr>
          <w:p w14:paraId="1E55904D" w14:textId="77777777" w:rsidR="00A82ED9" w:rsidRDefault="00000000">
            <w:r>
              <w:rPr>
                <w:rFonts w:eastAsia="Times New Roman" w:cs="Times New Roman"/>
                <w:sz w:val="18"/>
              </w:rPr>
              <w:t>Consistent benchmarking; forecast-weather (NWP) inputs; uncertainty reporting; decision-oriented evaluation; compute cost; interpretability</w:t>
            </w:r>
          </w:p>
        </w:tc>
      </w:tr>
      <w:tr w:rsidR="00AE3532" w14:paraId="1048FC06" w14:textId="77777777">
        <w:tc>
          <w:tcPr>
            <w:tcW w:w="1500" w:type="dxa"/>
          </w:tcPr>
          <w:p w14:paraId="7B0D68B3" w14:textId="77777777" w:rsidR="00A82ED9" w:rsidRDefault="00000000">
            <w:proofErr w:type="spellStart"/>
            <w:r>
              <w:rPr>
                <w:rFonts w:eastAsia="Times New Roman" w:cs="Times New Roman"/>
                <w:sz w:val="18"/>
              </w:rPr>
              <w:t>Wedhasari</w:t>
            </w:r>
            <w:proofErr w:type="spellEnd"/>
            <w:r>
              <w:rPr>
                <w:rFonts w:eastAsia="Times New Roman" w:cs="Times New Roman"/>
                <w:sz w:val="18"/>
              </w:rPr>
              <w:t xml:space="preserve"> and Castro, 2026 [</w:t>
            </w:r>
            <w:hyperlink w:anchor="ref_2" w:history="1">
              <w:r>
                <w:rPr>
                  <w:rFonts w:eastAsia="Times New Roman" w:cs="Times New Roman"/>
                  <w:color w:val="0563C1"/>
                  <w:sz w:val="18"/>
                </w:rPr>
                <w:t>2</w:t>
              </w:r>
            </w:hyperlink>
            <w:r>
              <w:rPr>
                <w:rFonts w:eastAsia="Times New Roman" w:cs="Times New Roman"/>
                <w:sz w:val="18"/>
              </w:rPr>
              <w:t>]</w:t>
            </w:r>
          </w:p>
        </w:tc>
        <w:tc>
          <w:tcPr>
            <w:tcW w:w="1500" w:type="dxa"/>
          </w:tcPr>
          <w:p w14:paraId="4C76A605" w14:textId="77777777" w:rsidR="00A82ED9" w:rsidRDefault="00000000">
            <w:r>
              <w:rPr>
                <w:rFonts w:eastAsia="Times New Roman" w:cs="Times New Roman"/>
                <w:sz w:val="18"/>
              </w:rPr>
              <w:t>Validation, leakage, reproducibility</w:t>
            </w:r>
          </w:p>
        </w:tc>
        <w:tc>
          <w:tcPr>
            <w:tcW w:w="1500" w:type="dxa"/>
          </w:tcPr>
          <w:p w14:paraId="7ECBE58E" w14:textId="77777777" w:rsidR="00A82ED9" w:rsidRDefault="00000000">
            <w:r>
              <w:rPr>
                <w:rFonts w:eastAsia="Times New Roman" w:cs="Times New Roman"/>
                <w:sz w:val="18"/>
              </w:rPr>
              <w:t>Structured review, 119 studies</w:t>
            </w:r>
          </w:p>
        </w:tc>
        <w:tc>
          <w:tcPr>
            <w:tcW w:w="1640" w:type="dxa"/>
          </w:tcPr>
          <w:p w14:paraId="6F326D52" w14:textId="77777777" w:rsidR="00A82ED9" w:rsidRDefault="00000000">
            <w:proofErr w:type="spellStart"/>
            <w:r>
              <w:rPr>
                <w:rFonts w:eastAsia="Times New Roman" w:cs="Times New Roman"/>
                <w:sz w:val="18"/>
              </w:rPr>
              <w:t>SunLAB</w:t>
            </w:r>
            <w:proofErr w:type="spellEnd"/>
            <w:r>
              <w:rPr>
                <w:rFonts w:eastAsia="Times New Roman" w:cs="Times New Roman"/>
                <w:sz w:val="18"/>
              </w:rPr>
              <w:t>, DKASC, ESOLMET (on-site)</w:t>
            </w:r>
          </w:p>
        </w:tc>
        <w:tc>
          <w:tcPr>
            <w:tcW w:w="2500" w:type="dxa"/>
          </w:tcPr>
          <w:p w14:paraId="7C98E2FD" w14:textId="77777777" w:rsidR="00A82ED9" w:rsidRDefault="00000000">
            <w:r>
              <w:rPr>
                <w:rFonts w:eastAsia="Times New Roman" w:cs="Times New Roman"/>
                <w:sz w:val="18"/>
              </w:rPr>
              <w:t>Leakage prevention (37%); little cross-validation; seeds unfixed; fragmented metrics, few skill scores; single-site (63%); economic value</w:t>
            </w:r>
          </w:p>
        </w:tc>
      </w:tr>
      <w:tr w:rsidR="00AE3532" w14:paraId="3102314E" w14:textId="77777777">
        <w:tc>
          <w:tcPr>
            <w:tcW w:w="1500" w:type="dxa"/>
          </w:tcPr>
          <w:p w14:paraId="5AF92C3F" w14:textId="77777777" w:rsidR="00A82ED9" w:rsidRDefault="00000000">
            <w:proofErr w:type="spellStart"/>
            <w:r>
              <w:rPr>
                <w:rFonts w:eastAsia="Times New Roman" w:cs="Times New Roman"/>
                <w:sz w:val="18"/>
              </w:rPr>
              <w:t>Jadapalli</w:t>
            </w:r>
            <w:proofErr w:type="spellEnd"/>
            <w:r>
              <w:rPr>
                <w:rFonts w:eastAsia="Times New Roman" w:cs="Times New Roman"/>
                <w:sz w:val="18"/>
              </w:rPr>
              <w:t xml:space="preserve"> et al., 2026 [</w:t>
            </w:r>
            <w:hyperlink w:anchor="ref_3" w:history="1">
              <w:r>
                <w:rPr>
                  <w:rFonts w:eastAsia="Times New Roman" w:cs="Times New Roman"/>
                  <w:color w:val="0563C1"/>
                  <w:sz w:val="18"/>
                </w:rPr>
                <w:t>3</w:t>
              </w:r>
            </w:hyperlink>
            <w:r>
              <w:rPr>
                <w:rFonts w:eastAsia="Times New Roman" w:cs="Times New Roman"/>
                <w:sz w:val="18"/>
              </w:rPr>
              <w:t>]</w:t>
            </w:r>
          </w:p>
        </w:tc>
        <w:tc>
          <w:tcPr>
            <w:tcW w:w="1500" w:type="dxa"/>
          </w:tcPr>
          <w:p w14:paraId="24236453" w14:textId="77777777" w:rsidR="00A82ED9" w:rsidRDefault="00000000">
            <w:r>
              <w:rPr>
                <w:rFonts w:eastAsia="Times New Roman" w:cs="Times New Roman"/>
                <w:sz w:val="18"/>
              </w:rPr>
              <w:t>AI irradiance and PV forecasting</w:t>
            </w:r>
          </w:p>
        </w:tc>
        <w:tc>
          <w:tcPr>
            <w:tcW w:w="1500" w:type="dxa"/>
          </w:tcPr>
          <w:p w14:paraId="7CCC8C28" w14:textId="77777777" w:rsidR="00A82ED9" w:rsidRDefault="00000000">
            <w:r>
              <w:rPr>
                <w:rFonts w:eastAsia="Times New Roman" w:cs="Times New Roman"/>
                <w:sz w:val="18"/>
              </w:rPr>
              <w:t>Scoping review, 60 studies</w:t>
            </w:r>
          </w:p>
        </w:tc>
        <w:tc>
          <w:tcPr>
            <w:tcW w:w="1640" w:type="dxa"/>
          </w:tcPr>
          <w:p w14:paraId="4E29C9B9" w14:textId="77777777" w:rsidR="00A82ED9" w:rsidRDefault="00000000">
            <w:r>
              <w:rPr>
                <w:rFonts w:eastAsia="Times New Roman" w:cs="Times New Roman"/>
                <w:sz w:val="18"/>
              </w:rPr>
              <w:t>None named</w:t>
            </w:r>
          </w:p>
        </w:tc>
        <w:tc>
          <w:tcPr>
            <w:tcW w:w="2500" w:type="dxa"/>
          </w:tcPr>
          <w:p w14:paraId="342CAD54" w14:textId="77777777" w:rsidR="00A82ED9" w:rsidRDefault="00000000">
            <w:r>
              <w:rPr>
                <w:rFonts w:eastAsia="Times New Roman" w:cs="Times New Roman"/>
                <w:sz w:val="18"/>
              </w:rPr>
              <w:t>Cross-climate/cross-site benchmarking; uncertainty; transformer data needs; open data, standard protocols; retraining, explainability, robustness</w:t>
            </w:r>
          </w:p>
        </w:tc>
      </w:tr>
      <w:tr w:rsidR="00AE3532" w14:paraId="1BE8308E" w14:textId="77777777">
        <w:tc>
          <w:tcPr>
            <w:tcW w:w="1500" w:type="dxa"/>
          </w:tcPr>
          <w:p w14:paraId="3C2A433F" w14:textId="77777777" w:rsidR="00A82ED9" w:rsidRDefault="00000000">
            <w:r>
              <w:rPr>
                <w:rFonts w:eastAsia="Times New Roman" w:cs="Times New Roman"/>
                <w:sz w:val="18"/>
              </w:rPr>
              <w:t>Cui et al., 2026 [</w:t>
            </w:r>
            <w:hyperlink w:anchor="ref_4" w:history="1">
              <w:r>
                <w:rPr>
                  <w:rFonts w:eastAsia="Times New Roman" w:cs="Times New Roman"/>
                  <w:color w:val="0563C1"/>
                  <w:sz w:val="18"/>
                </w:rPr>
                <w:t>4</w:t>
              </w:r>
            </w:hyperlink>
            <w:r>
              <w:rPr>
                <w:rFonts w:eastAsia="Times New Roman" w:cs="Times New Roman"/>
                <w:sz w:val="18"/>
              </w:rPr>
              <w:t>]</w:t>
            </w:r>
          </w:p>
        </w:tc>
        <w:tc>
          <w:tcPr>
            <w:tcW w:w="1500" w:type="dxa"/>
          </w:tcPr>
          <w:p w14:paraId="3C628D6C" w14:textId="77777777" w:rsidR="00A82ED9" w:rsidRDefault="00000000">
            <w:r>
              <w:rPr>
                <w:rFonts w:eastAsia="Times New Roman" w:cs="Times New Roman"/>
                <w:sz w:val="18"/>
              </w:rPr>
              <w:t>PV uncertainty modelling</w:t>
            </w:r>
          </w:p>
        </w:tc>
        <w:tc>
          <w:tcPr>
            <w:tcW w:w="1500" w:type="dxa"/>
          </w:tcPr>
          <w:p w14:paraId="2BD8314B" w14:textId="77777777" w:rsidR="00A82ED9" w:rsidRDefault="00000000">
            <w:r>
              <w:rPr>
                <w:rFonts w:eastAsia="Times New Roman" w:cs="Times New Roman"/>
                <w:sz w:val="18"/>
              </w:rPr>
              <w:t>Taxonomy review</w:t>
            </w:r>
          </w:p>
        </w:tc>
        <w:tc>
          <w:tcPr>
            <w:tcW w:w="1640" w:type="dxa"/>
          </w:tcPr>
          <w:p w14:paraId="1FE7C18C" w14:textId="77777777" w:rsidR="00A82ED9" w:rsidRDefault="00000000">
            <w:r>
              <w:rPr>
                <w:rFonts w:eastAsia="Times New Roman" w:cs="Times New Roman"/>
                <w:sz w:val="18"/>
              </w:rPr>
              <w:t>ERA5 (30-yr hourly reanalysis)</w:t>
            </w:r>
          </w:p>
        </w:tc>
        <w:tc>
          <w:tcPr>
            <w:tcW w:w="2500" w:type="dxa"/>
          </w:tcPr>
          <w:p w14:paraId="18F8CD49" w14:textId="77777777" w:rsidR="00A82ED9" w:rsidRDefault="00000000">
            <w:r>
              <w:rPr>
                <w:rFonts w:eastAsia="Times New Roman" w:cs="Times New Roman"/>
                <w:sz w:val="18"/>
              </w:rPr>
              <w:t>Multi-timescale consistency; data fusion; physics-constrained generation; extreme scenarios; cross-regional generalization; unified benchmark</w:t>
            </w:r>
          </w:p>
        </w:tc>
      </w:tr>
      <w:tr w:rsidR="00AE3532" w14:paraId="3DAFF576" w14:textId="77777777">
        <w:tc>
          <w:tcPr>
            <w:tcW w:w="1500" w:type="dxa"/>
          </w:tcPr>
          <w:p w14:paraId="359B728E" w14:textId="77777777" w:rsidR="00A82ED9" w:rsidRDefault="00000000">
            <w:r>
              <w:rPr>
                <w:rFonts w:eastAsia="Times New Roman" w:cs="Times New Roman"/>
                <w:sz w:val="18"/>
              </w:rPr>
              <w:t>Tufail, 2026 [</w:t>
            </w:r>
            <w:hyperlink w:anchor="ref_5" w:history="1">
              <w:r>
                <w:rPr>
                  <w:rFonts w:eastAsia="Times New Roman" w:cs="Times New Roman"/>
                  <w:color w:val="0563C1"/>
                  <w:sz w:val="18"/>
                </w:rPr>
                <w:t>5</w:t>
              </w:r>
            </w:hyperlink>
            <w:r>
              <w:rPr>
                <w:rFonts w:eastAsia="Times New Roman" w:cs="Times New Roman"/>
                <w:sz w:val="18"/>
              </w:rPr>
              <w:t>]</w:t>
            </w:r>
          </w:p>
        </w:tc>
        <w:tc>
          <w:tcPr>
            <w:tcW w:w="1500" w:type="dxa"/>
          </w:tcPr>
          <w:p w14:paraId="2786898E" w14:textId="77777777" w:rsidR="00A82ED9" w:rsidRDefault="00000000">
            <w:r>
              <w:rPr>
                <w:rFonts w:eastAsia="Times New Roman" w:cs="Times New Roman"/>
                <w:sz w:val="18"/>
              </w:rPr>
              <w:t>Explainable AI</w:t>
            </w:r>
          </w:p>
        </w:tc>
        <w:tc>
          <w:tcPr>
            <w:tcW w:w="1500" w:type="dxa"/>
          </w:tcPr>
          <w:p w14:paraId="6F57C980" w14:textId="77777777" w:rsidR="00A82ED9" w:rsidRDefault="00000000">
            <w:r>
              <w:rPr>
                <w:rFonts w:eastAsia="Times New Roman" w:cs="Times New Roman"/>
                <w:sz w:val="18"/>
              </w:rPr>
              <w:t>SLR, 4 databases</w:t>
            </w:r>
          </w:p>
        </w:tc>
        <w:tc>
          <w:tcPr>
            <w:tcW w:w="1640" w:type="dxa"/>
          </w:tcPr>
          <w:p w14:paraId="15DA2731" w14:textId="77777777" w:rsidR="00A82ED9" w:rsidRDefault="00000000">
            <w:r>
              <w:rPr>
                <w:rFonts w:eastAsia="Times New Roman" w:cs="Times New Roman"/>
                <w:sz w:val="18"/>
              </w:rPr>
              <w:t>NSRDB, DKASC, Stanford sky images</w:t>
            </w:r>
          </w:p>
        </w:tc>
        <w:tc>
          <w:tcPr>
            <w:tcW w:w="2500" w:type="dxa"/>
          </w:tcPr>
          <w:p w14:paraId="6D1E47A8" w14:textId="77777777" w:rsidR="00A82ED9" w:rsidRDefault="00000000">
            <w:r>
              <w:rPr>
                <w:rFonts w:eastAsia="Times New Roman" w:cs="Times New Roman"/>
                <w:sz w:val="18"/>
              </w:rPr>
              <w:t>Quantitative XAI evaluation; fragile benchmarking; code/data sharing (1.7%); multi-site validation; human-in-the-loop testing; causal models</w:t>
            </w:r>
          </w:p>
        </w:tc>
      </w:tr>
      <w:tr w:rsidR="00AE3532" w14:paraId="39ABC634" w14:textId="77777777">
        <w:tc>
          <w:tcPr>
            <w:tcW w:w="1500" w:type="dxa"/>
          </w:tcPr>
          <w:p w14:paraId="22688C68" w14:textId="77777777" w:rsidR="00A82ED9" w:rsidRDefault="00000000">
            <w:r>
              <w:rPr>
                <w:rFonts w:eastAsia="Times New Roman" w:cs="Times New Roman"/>
                <w:sz w:val="18"/>
              </w:rPr>
              <w:t>Sharma et al., 2026 [</w:t>
            </w:r>
            <w:hyperlink w:anchor="ref_6" w:history="1">
              <w:r>
                <w:rPr>
                  <w:rFonts w:eastAsia="Times New Roman" w:cs="Times New Roman"/>
                  <w:color w:val="0563C1"/>
                  <w:sz w:val="18"/>
                </w:rPr>
                <w:t>6</w:t>
              </w:r>
            </w:hyperlink>
            <w:r>
              <w:rPr>
                <w:rFonts w:eastAsia="Times New Roman" w:cs="Times New Roman"/>
                <w:sz w:val="18"/>
              </w:rPr>
              <w:t>]</w:t>
            </w:r>
          </w:p>
        </w:tc>
        <w:tc>
          <w:tcPr>
            <w:tcW w:w="1500" w:type="dxa"/>
          </w:tcPr>
          <w:p w14:paraId="1FDF31C6" w14:textId="77777777" w:rsidR="00A82ED9" w:rsidRDefault="00000000">
            <w:r>
              <w:rPr>
                <w:rFonts w:eastAsia="Times New Roman" w:cs="Times New Roman"/>
                <w:sz w:val="18"/>
              </w:rPr>
              <w:t>Transformer variants</w:t>
            </w:r>
          </w:p>
        </w:tc>
        <w:tc>
          <w:tcPr>
            <w:tcW w:w="1500" w:type="dxa"/>
          </w:tcPr>
          <w:p w14:paraId="5085310D" w14:textId="77777777" w:rsidR="00A82ED9" w:rsidRDefault="00000000">
            <w:r>
              <w:rPr>
                <w:rFonts w:eastAsia="Times New Roman" w:cs="Times New Roman"/>
                <w:sz w:val="18"/>
              </w:rPr>
              <w:t>Review + 3-model benchmark</w:t>
            </w:r>
          </w:p>
        </w:tc>
        <w:tc>
          <w:tcPr>
            <w:tcW w:w="1640" w:type="dxa"/>
          </w:tcPr>
          <w:p w14:paraId="20B79B70" w14:textId="77777777" w:rsidR="00A82ED9" w:rsidRDefault="00000000">
            <w:r>
              <w:rPr>
                <w:rFonts w:eastAsia="Times New Roman" w:cs="Times New Roman"/>
                <w:sz w:val="18"/>
              </w:rPr>
              <w:t>Vadodara 10 MW plant (daily, 2015-17)</w:t>
            </w:r>
          </w:p>
        </w:tc>
        <w:tc>
          <w:tcPr>
            <w:tcW w:w="2500" w:type="dxa"/>
          </w:tcPr>
          <w:p w14:paraId="3ED2D7C0" w14:textId="77777777" w:rsidR="00A82ED9" w:rsidRDefault="00000000">
            <w:r>
              <w:rPr>
                <w:rFonts w:eastAsia="Times New Roman" w:cs="Times New Roman"/>
                <w:sz w:val="18"/>
              </w:rPr>
              <w:t>No public benchmark; uncertainty (conformal); physics-informed attention; NWP fusion; multi-site graph models; missing/noisy data</w:t>
            </w:r>
          </w:p>
        </w:tc>
      </w:tr>
      <w:tr w:rsidR="00AE3532" w14:paraId="1F3C08AD" w14:textId="77777777">
        <w:tc>
          <w:tcPr>
            <w:tcW w:w="1500" w:type="dxa"/>
          </w:tcPr>
          <w:p w14:paraId="0DDF907C" w14:textId="77777777" w:rsidR="00A82ED9" w:rsidRDefault="00000000">
            <w:proofErr w:type="spellStart"/>
            <w:r>
              <w:rPr>
                <w:rFonts w:eastAsia="Times New Roman" w:cs="Times New Roman"/>
                <w:sz w:val="18"/>
              </w:rPr>
              <w:t>Matrenin</w:t>
            </w:r>
            <w:proofErr w:type="spellEnd"/>
            <w:r>
              <w:rPr>
                <w:rFonts w:eastAsia="Times New Roman" w:cs="Times New Roman"/>
                <w:sz w:val="18"/>
              </w:rPr>
              <w:t xml:space="preserve"> et al., 2026 [</w:t>
            </w:r>
            <w:hyperlink w:anchor="ref_7" w:history="1">
              <w:r>
                <w:rPr>
                  <w:rFonts w:eastAsia="Times New Roman" w:cs="Times New Roman"/>
                  <w:color w:val="0563C1"/>
                  <w:sz w:val="18"/>
                </w:rPr>
                <w:t>7</w:t>
              </w:r>
            </w:hyperlink>
            <w:r>
              <w:rPr>
                <w:rFonts w:eastAsia="Times New Roman" w:cs="Times New Roman"/>
                <w:sz w:val="18"/>
              </w:rPr>
              <w:t>]</w:t>
            </w:r>
          </w:p>
        </w:tc>
        <w:tc>
          <w:tcPr>
            <w:tcW w:w="1500" w:type="dxa"/>
          </w:tcPr>
          <w:p w14:paraId="54B6A57C" w14:textId="77777777" w:rsidR="00A82ED9" w:rsidRDefault="00000000">
            <w:r>
              <w:rPr>
                <w:rFonts w:eastAsia="Times New Roman" w:cs="Times New Roman"/>
                <w:sz w:val="18"/>
              </w:rPr>
              <w:t>Trustworthy forecasting architecture</w:t>
            </w:r>
          </w:p>
        </w:tc>
        <w:tc>
          <w:tcPr>
            <w:tcW w:w="1500" w:type="dxa"/>
          </w:tcPr>
          <w:p w14:paraId="7DF767FA" w14:textId="77777777" w:rsidR="00A82ED9" w:rsidRDefault="00000000">
            <w:r>
              <w:rPr>
                <w:rFonts w:eastAsia="Times New Roman" w:cs="Times New Roman"/>
                <w:sz w:val="18"/>
              </w:rPr>
              <w:t>SLR (PRISMA 2020)</w:t>
            </w:r>
          </w:p>
        </w:tc>
        <w:tc>
          <w:tcPr>
            <w:tcW w:w="1640" w:type="dxa"/>
          </w:tcPr>
          <w:p w14:paraId="175CCB2C" w14:textId="77777777" w:rsidR="00A82ED9" w:rsidRDefault="00000000">
            <w:r>
              <w:rPr>
                <w:rFonts w:eastAsia="Times New Roman" w:cs="Times New Roman"/>
                <w:sz w:val="18"/>
              </w:rPr>
              <w:t>None named</w:t>
            </w:r>
          </w:p>
        </w:tc>
        <w:tc>
          <w:tcPr>
            <w:tcW w:w="2500" w:type="dxa"/>
          </w:tcPr>
          <w:p w14:paraId="5DEB1972" w14:textId="77777777" w:rsidR="00A82ED9" w:rsidRDefault="00000000">
            <w:r>
              <w:rPr>
                <w:rFonts w:eastAsia="Times New Roman" w:cs="Times New Roman"/>
                <w:sz w:val="18"/>
              </w:rPr>
              <w:t>Semantic data models; end-to-end architecture; shallow XAI; drift governance; lifecycle automation; clean-data evaluation; non-standard metrics</w:t>
            </w:r>
          </w:p>
        </w:tc>
      </w:tr>
      <w:tr w:rsidR="00AE3532" w14:paraId="5BB18BB4" w14:textId="77777777">
        <w:tc>
          <w:tcPr>
            <w:tcW w:w="1500" w:type="dxa"/>
          </w:tcPr>
          <w:p w14:paraId="5D259BA7" w14:textId="77777777" w:rsidR="00A82ED9" w:rsidRDefault="00000000">
            <w:r>
              <w:rPr>
                <w:rFonts w:eastAsia="Times New Roman" w:cs="Times New Roman"/>
                <w:sz w:val="18"/>
              </w:rPr>
              <w:t>Sadeq et al., 2026 [</w:t>
            </w:r>
            <w:hyperlink w:anchor="ref_8" w:history="1">
              <w:r>
                <w:rPr>
                  <w:rFonts w:eastAsia="Times New Roman" w:cs="Times New Roman"/>
                  <w:color w:val="0563C1"/>
                  <w:sz w:val="18"/>
                </w:rPr>
                <w:t>8</w:t>
              </w:r>
            </w:hyperlink>
            <w:r>
              <w:rPr>
                <w:rFonts w:eastAsia="Times New Roman" w:cs="Times New Roman"/>
                <w:sz w:val="18"/>
              </w:rPr>
              <w:t>]</w:t>
            </w:r>
          </w:p>
        </w:tc>
        <w:tc>
          <w:tcPr>
            <w:tcW w:w="1500" w:type="dxa"/>
          </w:tcPr>
          <w:p w14:paraId="06D14876" w14:textId="77777777" w:rsidR="00A82ED9" w:rsidRDefault="00000000">
            <w:r>
              <w:rPr>
                <w:rFonts w:eastAsia="Times New Roman" w:cs="Times New Roman"/>
                <w:sz w:val="18"/>
              </w:rPr>
              <w:t>BIPV potential, power, energy</w:t>
            </w:r>
          </w:p>
        </w:tc>
        <w:tc>
          <w:tcPr>
            <w:tcW w:w="1500" w:type="dxa"/>
          </w:tcPr>
          <w:p w14:paraId="25D594D6" w14:textId="77777777" w:rsidR="00A82ED9" w:rsidRDefault="00000000">
            <w:r>
              <w:rPr>
                <w:rFonts w:eastAsia="Times New Roman" w:cs="Times New Roman"/>
                <w:sz w:val="18"/>
              </w:rPr>
              <w:t>SLR (PRISMA), 6 databases</w:t>
            </w:r>
          </w:p>
        </w:tc>
        <w:tc>
          <w:tcPr>
            <w:tcW w:w="1640" w:type="dxa"/>
          </w:tcPr>
          <w:p w14:paraId="0DBB918A" w14:textId="77777777" w:rsidR="00A82ED9" w:rsidRDefault="00000000">
            <w:r>
              <w:rPr>
                <w:rFonts w:eastAsia="Times New Roman" w:cs="Times New Roman"/>
                <w:sz w:val="18"/>
              </w:rPr>
              <w:t>None named</w:t>
            </w:r>
          </w:p>
        </w:tc>
        <w:tc>
          <w:tcPr>
            <w:tcW w:w="2500" w:type="dxa"/>
          </w:tcPr>
          <w:p w14:paraId="6FCB0CA8" w14:textId="77777777" w:rsidR="00A82ED9" w:rsidRDefault="00000000">
            <w:r>
              <w:rPr>
                <w:rFonts w:eastAsia="Times New Roman" w:cs="Times New Roman"/>
                <w:sz w:val="18"/>
              </w:rPr>
              <w:t>Unified PPE framework; urban generalization; inconsistent metrics; short horizons; techno-economics; façade validation data</w:t>
            </w:r>
          </w:p>
        </w:tc>
      </w:tr>
      <w:tr w:rsidR="00AE3532" w14:paraId="5982F433" w14:textId="77777777">
        <w:tc>
          <w:tcPr>
            <w:tcW w:w="1500" w:type="dxa"/>
          </w:tcPr>
          <w:p w14:paraId="45497033" w14:textId="77777777" w:rsidR="00A82ED9" w:rsidRDefault="00000000">
            <w:r>
              <w:rPr>
                <w:rFonts w:eastAsia="Times New Roman" w:cs="Times New Roman"/>
                <w:sz w:val="18"/>
              </w:rPr>
              <w:t>Singh et al., 2026 [</w:t>
            </w:r>
            <w:hyperlink w:anchor="ref_9" w:history="1">
              <w:r>
                <w:rPr>
                  <w:rFonts w:eastAsia="Times New Roman" w:cs="Times New Roman"/>
                  <w:color w:val="0563C1"/>
                  <w:sz w:val="18"/>
                </w:rPr>
                <w:t>9</w:t>
              </w:r>
            </w:hyperlink>
            <w:r>
              <w:rPr>
                <w:rFonts w:eastAsia="Times New Roman" w:cs="Times New Roman"/>
                <w:sz w:val="18"/>
              </w:rPr>
              <w:t>]</w:t>
            </w:r>
          </w:p>
        </w:tc>
        <w:tc>
          <w:tcPr>
            <w:tcW w:w="1500" w:type="dxa"/>
          </w:tcPr>
          <w:p w14:paraId="2D623F60" w14:textId="77777777" w:rsidR="00A82ED9" w:rsidRDefault="00000000">
            <w:r>
              <w:rPr>
                <w:rFonts w:eastAsia="Times New Roman" w:cs="Times New Roman"/>
                <w:sz w:val="18"/>
              </w:rPr>
              <w:t>ML, DL and hybrid methods</w:t>
            </w:r>
          </w:p>
        </w:tc>
        <w:tc>
          <w:tcPr>
            <w:tcW w:w="1500" w:type="dxa"/>
          </w:tcPr>
          <w:p w14:paraId="2D262077" w14:textId="77777777" w:rsidR="00A82ED9" w:rsidRDefault="00000000">
            <w:r>
              <w:rPr>
                <w:rFonts w:eastAsia="Times New Roman" w:cs="Times New Roman"/>
                <w:sz w:val="18"/>
              </w:rPr>
              <w:t>Narrative review</w:t>
            </w:r>
          </w:p>
        </w:tc>
        <w:tc>
          <w:tcPr>
            <w:tcW w:w="1640" w:type="dxa"/>
          </w:tcPr>
          <w:p w14:paraId="2AB83FDC" w14:textId="77777777" w:rsidR="00A82ED9" w:rsidRDefault="00000000">
            <w:r>
              <w:rPr>
                <w:rFonts w:eastAsia="Times New Roman" w:cs="Times New Roman"/>
                <w:sz w:val="18"/>
              </w:rPr>
              <w:t xml:space="preserve">DTU, Kaggle AMS, Oklahoma </w:t>
            </w:r>
            <w:proofErr w:type="spellStart"/>
            <w:r>
              <w:rPr>
                <w:rFonts w:eastAsia="Times New Roman" w:cs="Times New Roman"/>
                <w:sz w:val="18"/>
              </w:rPr>
              <w:t>Mesonet</w:t>
            </w:r>
            <w:proofErr w:type="spellEnd"/>
          </w:p>
        </w:tc>
        <w:tc>
          <w:tcPr>
            <w:tcW w:w="2500" w:type="dxa"/>
          </w:tcPr>
          <w:p w14:paraId="7976B176" w14:textId="77777777" w:rsidR="00A82ED9" w:rsidRDefault="00000000">
            <w:r>
              <w:rPr>
                <w:rFonts w:eastAsia="Times New Roman" w:cs="Times New Roman"/>
                <w:sz w:val="18"/>
              </w:rPr>
              <w:t>Single-site, small data; multi-site long-term data; regional model; cloudy days; DL-physical hybrids; normalised metrics</w:t>
            </w:r>
          </w:p>
        </w:tc>
      </w:tr>
      <w:tr w:rsidR="00AE3532" w14:paraId="3C821809" w14:textId="77777777">
        <w:tc>
          <w:tcPr>
            <w:tcW w:w="1500" w:type="dxa"/>
          </w:tcPr>
          <w:p w14:paraId="0FDF3DF1" w14:textId="77777777" w:rsidR="00A82ED9" w:rsidRDefault="00000000">
            <w:r>
              <w:rPr>
                <w:rFonts w:eastAsia="Times New Roman" w:cs="Times New Roman"/>
                <w:sz w:val="18"/>
              </w:rPr>
              <w:t>Tabatabaei and Antonini, 2025 [</w:t>
            </w:r>
            <w:hyperlink w:anchor="ref_10" w:history="1">
              <w:r>
                <w:rPr>
                  <w:rFonts w:eastAsia="Times New Roman" w:cs="Times New Roman"/>
                  <w:color w:val="0563C1"/>
                  <w:sz w:val="18"/>
                </w:rPr>
                <w:t>10</w:t>
              </w:r>
            </w:hyperlink>
            <w:r>
              <w:rPr>
                <w:rFonts w:eastAsia="Times New Roman" w:cs="Times New Roman"/>
                <w:sz w:val="18"/>
              </w:rPr>
              <w:t>]</w:t>
            </w:r>
          </w:p>
        </w:tc>
        <w:tc>
          <w:tcPr>
            <w:tcW w:w="1500" w:type="dxa"/>
          </w:tcPr>
          <w:p w14:paraId="0258123C" w14:textId="77777777" w:rsidR="00A82ED9" w:rsidRDefault="00000000">
            <w:r>
              <w:rPr>
                <w:rFonts w:eastAsia="Times New Roman" w:cs="Times New Roman"/>
                <w:sz w:val="18"/>
              </w:rPr>
              <w:t>Urban rooftop/BIPV ML</w:t>
            </w:r>
          </w:p>
        </w:tc>
        <w:tc>
          <w:tcPr>
            <w:tcW w:w="1500" w:type="dxa"/>
          </w:tcPr>
          <w:p w14:paraId="07C02672" w14:textId="77777777" w:rsidR="00A82ED9" w:rsidRDefault="00000000">
            <w:r>
              <w:rPr>
                <w:rFonts w:eastAsia="Times New Roman" w:cs="Times New Roman"/>
                <w:sz w:val="18"/>
              </w:rPr>
              <w:t>Review + meta-analysis (k=4)</w:t>
            </w:r>
          </w:p>
        </w:tc>
        <w:tc>
          <w:tcPr>
            <w:tcW w:w="1640" w:type="dxa"/>
          </w:tcPr>
          <w:p w14:paraId="718FA20E" w14:textId="77777777" w:rsidR="00A82ED9" w:rsidRDefault="00000000">
            <w:r>
              <w:rPr>
                <w:rFonts w:eastAsia="Times New Roman" w:cs="Times New Roman"/>
                <w:sz w:val="18"/>
              </w:rPr>
              <w:t>OSM, PVGIS, ERA5 (recommended)</w:t>
            </w:r>
          </w:p>
        </w:tc>
        <w:tc>
          <w:tcPr>
            <w:tcW w:w="2500" w:type="dxa"/>
          </w:tcPr>
          <w:p w14:paraId="2E48DE3A" w14:textId="77777777" w:rsidR="00A82ED9" w:rsidRDefault="00000000">
            <w:r>
              <w:rPr>
                <w:rFonts w:eastAsia="Times New Roman" w:cs="Times New Roman"/>
                <w:sz w:val="18"/>
              </w:rPr>
              <w:t>Equatorial/arid data; spatial and external-city validation (k-fold leakage); domain adaptation; uncertainty; benchmarks; compute; economic/carbon KPIs</w:t>
            </w:r>
          </w:p>
        </w:tc>
      </w:tr>
      <w:tr w:rsidR="00AE3532" w14:paraId="526AEBB8" w14:textId="77777777">
        <w:tc>
          <w:tcPr>
            <w:tcW w:w="1500" w:type="dxa"/>
          </w:tcPr>
          <w:p w14:paraId="65E0D740" w14:textId="77777777" w:rsidR="00A82ED9" w:rsidRDefault="00000000">
            <w:r>
              <w:rPr>
                <w:rFonts w:eastAsia="Times New Roman" w:cs="Times New Roman"/>
                <w:sz w:val="18"/>
              </w:rPr>
              <w:t>Di Leo et al., 2025 [</w:t>
            </w:r>
            <w:hyperlink w:anchor="ref_11" w:history="1">
              <w:r>
                <w:rPr>
                  <w:rFonts w:eastAsia="Times New Roman" w:cs="Times New Roman"/>
                  <w:color w:val="0563C1"/>
                  <w:sz w:val="18"/>
                </w:rPr>
                <w:t>11</w:t>
              </w:r>
            </w:hyperlink>
            <w:r>
              <w:rPr>
                <w:rFonts w:eastAsia="Times New Roman" w:cs="Times New Roman"/>
                <w:sz w:val="18"/>
              </w:rPr>
              <w:t>]</w:t>
            </w:r>
          </w:p>
        </w:tc>
        <w:tc>
          <w:tcPr>
            <w:tcW w:w="1500" w:type="dxa"/>
          </w:tcPr>
          <w:p w14:paraId="7DAEA51D" w14:textId="77777777" w:rsidR="00A82ED9" w:rsidRDefault="00000000">
            <w:r>
              <w:rPr>
                <w:rFonts w:eastAsia="Times New Roman" w:cs="Times New Roman"/>
                <w:sz w:val="18"/>
              </w:rPr>
              <w:t>Model classification and selection</w:t>
            </w:r>
          </w:p>
        </w:tc>
        <w:tc>
          <w:tcPr>
            <w:tcW w:w="1500" w:type="dxa"/>
          </w:tcPr>
          <w:p w14:paraId="300134D5" w14:textId="77777777" w:rsidR="00A82ED9" w:rsidRDefault="00000000">
            <w:r>
              <w:rPr>
                <w:rFonts w:eastAsia="Times New Roman" w:cs="Times New Roman"/>
                <w:sz w:val="18"/>
              </w:rPr>
              <w:t>Narrative review</w:t>
            </w:r>
          </w:p>
        </w:tc>
        <w:tc>
          <w:tcPr>
            <w:tcW w:w="1640" w:type="dxa"/>
          </w:tcPr>
          <w:p w14:paraId="3954AD6A" w14:textId="77777777" w:rsidR="00A82ED9" w:rsidRDefault="00000000">
            <w:r>
              <w:rPr>
                <w:rFonts w:eastAsia="Times New Roman" w:cs="Times New Roman"/>
                <w:sz w:val="18"/>
              </w:rPr>
              <w:t>SKIPP'D (1-min sky images, 3 yr)</w:t>
            </w:r>
          </w:p>
        </w:tc>
        <w:tc>
          <w:tcPr>
            <w:tcW w:w="2500" w:type="dxa"/>
          </w:tcPr>
          <w:p w14:paraId="008D93C7" w14:textId="77777777" w:rsidR="00A82ED9" w:rsidRDefault="00000000">
            <w:r>
              <w:rPr>
                <w:rFonts w:eastAsia="Times New Roman" w:cs="Times New Roman"/>
                <w:sz w:val="18"/>
              </w:rPr>
              <w:t xml:space="preserve">Multi-climate benchmarks; standard metrics incl. skill; cross-validation, significance tests; data fusion; adaptive </w:t>
            </w:r>
            <w:r>
              <w:rPr>
                <w:rFonts w:eastAsia="Times New Roman" w:cs="Times New Roman"/>
                <w:sz w:val="18"/>
              </w:rPr>
              <w:lastRenderedPageBreak/>
              <w:t>learning; compute; interpretability; data quality</w:t>
            </w:r>
          </w:p>
        </w:tc>
      </w:tr>
      <w:tr w:rsidR="00AE3532" w14:paraId="4041D6D2" w14:textId="77777777">
        <w:tc>
          <w:tcPr>
            <w:tcW w:w="1500" w:type="dxa"/>
          </w:tcPr>
          <w:p w14:paraId="6AE1D50C" w14:textId="77777777" w:rsidR="00A82ED9" w:rsidRDefault="00000000">
            <w:proofErr w:type="spellStart"/>
            <w:r>
              <w:rPr>
                <w:rFonts w:eastAsia="Times New Roman" w:cs="Times New Roman"/>
                <w:sz w:val="18"/>
              </w:rPr>
              <w:t>Khouili</w:t>
            </w:r>
            <w:proofErr w:type="spellEnd"/>
            <w:r>
              <w:rPr>
                <w:rFonts w:eastAsia="Times New Roman" w:cs="Times New Roman"/>
                <w:sz w:val="18"/>
              </w:rPr>
              <w:t xml:space="preserve"> et al., 2025 [</w:t>
            </w:r>
            <w:hyperlink w:anchor="ref_12" w:history="1">
              <w:r>
                <w:rPr>
                  <w:rFonts w:eastAsia="Times New Roman" w:cs="Times New Roman"/>
                  <w:color w:val="0563C1"/>
                  <w:sz w:val="18"/>
                </w:rPr>
                <w:t>12</w:t>
              </w:r>
            </w:hyperlink>
            <w:r>
              <w:rPr>
                <w:rFonts w:eastAsia="Times New Roman" w:cs="Times New Roman"/>
                <w:sz w:val="18"/>
              </w:rPr>
              <w:t>]</w:t>
            </w:r>
          </w:p>
        </w:tc>
        <w:tc>
          <w:tcPr>
            <w:tcW w:w="1500" w:type="dxa"/>
          </w:tcPr>
          <w:p w14:paraId="74B7258B" w14:textId="77777777" w:rsidR="00A82ED9" w:rsidRDefault="00000000">
            <w:r>
              <w:rPr>
                <w:rFonts w:eastAsia="Times New Roman" w:cs="Times New Roman"/>
                <w:sz w:val="18"/>
              </w:rPr>
              <w:t>DL architectures and features</w:t>
            </w:r>
          </w:p>
        </w:tc>
        <w:tc>
          <w:tcPr>
            <w:tcW w:w="1500" w:type="dxa"/>
          </w:tcPr>
          <w:p w14:paraId="31282CD3" w14:textId="77777777" w:rsidR="00A82ED9" w:rsidRDefault="00000000">
            <w:r>
              <w:rPr>
                <w:rFonts w:eastAsia="Times New Roman" w:cs="Times New Roman"/>
                <w:sz w:val="18"/>
              </w:rPr>
              <w:t xml:space="preserve">SLR, </w:t>
            </w:r>
            <w:proofErr w:type="spellStart"/>
            <w:r>
              <w:rPr>
                <w:rFonts w:eastAsia="Times New Roman" w:cs="Times New Roman"/>
                <w:sz w:val="18"/>
              </w:rPr>
              <w:t>WoS</w:t>
            </w:r>
            <w:proofErr w:type="spellEnd"/>
            <w:r>
              <w:rPr>
                <w:rFonts w:eastAsia="Times New Roman" w:cs="Times New Roman"/>
                <w:sz w:val="18"/>
              </w:rPr>
              <w:t>, 26 studies</w:t>
            </w:r>
          </w:p>
        </w:tc>
        <w:tc>
          <w:tcPr>
            <w:tcW w:w="1640" w:type="dxa"/>
          </w:tcPr>
          <w:p w14:paraId="6D4C60B5" w14:textId="77777777" w:rsidR="00A82ED9" w:rsidRDefault="00000000">
            <w:r>
              <w:rPr>
                <w:rFonts w:eastAsia="Times New Roman" w:cs="Times New Roman"/>
                <w:sz w:val="18"/>
              </w:rPr>
              <w:t>None named</w:t>
            </w:r>
          </w:p>
        </w:tc>
        <w:tc>
          <w:tcPr>
            <w:tcW w:w="2500" w:type="dxa"/>
          </w:tcPr>
          <w:p w14:paraId="2626F997" w14:textId="77777777" w:rsidR="00A82ED9" w:rsidRDefault="00000000">
            <w:r>
              <w:rPr>
                <w:rFonts w:eastAsia="Times New Roman" w:cs="Times New Roman"/>
                <w:sz w:val="18"/>
              </w:rPr>
              <w:t>Cross-region generalization; limited data; model compression; grid integration; explainability; probabilistic forecasting; standard indicators</w:t>
            </w:r>
          </w:p>
        </w:tc>
      </w:tr>
      <w:tr w:rsidR="00AE3532" w14:paraId="4594DD59" w14:textId="77777777">
        <w:tc>
          <w:tcPr>
            <w:tcW w:w="1500" w:type="dxa"/>
          </w:tcPr>
          <w:p w14:paraId="38DAFC46" w14:textId="77777777" w:rsidR="00A82ED9" w:rsidRDefault="00000000">
            <w:r>
              <w:rPr>
                <w:rFonts w:eastAsia="Times New Roman" w:cs="Times New Roman"/>
                <w:sz w:val="18"/>
              </w:rPr>
              <w:t>Husein et al., 2024 [</w:t>
            </w:r>
            <w:hyperlink w:anchor="ref_13" w:history="1">
              <w:r>
                <w:rPr>
                  <w:rFonts w:eastAsia="Times New Roman" w:cs="Times New Roman"/>
                  <w:color w:val="0563C1"/>
                  <w:sz w:val="18"/>
                </w:rPr>
                <w:t>13</w:t>
              </w:r>
            </w:hyperlink>
            <w:r>
              <w:rPr>
                <w:rFonts w:eastAsia="Times New Roman" w:cs="Times New Roman"/>
                <w:sz w:val="18"/>
              </w:rPr>
              <w:t>]</w:t>
            </w:r>
          </w:p>
        </w:tc>
        <w:tc>
          <w:tcPr>
            <w:tcW w:w="1500" w:type="dxa"/>
          </w:tcPr>
          <w:p w14:paraId="440CD5EE" w14:textId="77777777" w:rsidR="00A82ED9" w:rsidRDefault="00000000">
            <w:r>
              <w:rPr>
                <w:rFonts w:eastAsia="Times New Roman" w:cs="Times New Roman"/>
                <w:sz w:val="18"/>
              </w:rPr>
              <w:t>DL PV forecasting, 2022-2023</w:t>
            </w:r>
          </w:p>
        </w:tc>
        <w:tc>
          <w:tcPr>
            <w:tcW w:w="1500" w:type="dxa"/>
          </w:tcPr>
          <w:p w14:paraId="3B77F6C2" w14:textId="77777777" w:rsidR="00A82ED9" w:rsidRDefault="00000000">
            <w:r>
              <w:rPr>
                <w:rFonts w:eastAsia="Times New Roman" w:cs="Times New Roman"/>
                <w:sz w:val="18"/>
              </w:rPr>
              <w:t xml:space="preserve">SLR, </w:t>
            </w:r>
            <w:proofErr w:type="spellStart"/>
            <w:r>
              <w:rPr>
                <w:rFonts w:eastAsia="Times New Roman" w:cs="Times New Roman"/>
                <w:sz w:val="18"/>
              </w:rPr>
              <w:t>WoS</w:t>
            </w:r>
            <w:proofErr w:type="spellEnd"/>
            <w:r>
              <w:rPr>
                <w:rFonts w:eastAsia="Times New Roman" w:cs="Times New Roman"/>
                <w:sz w:val="18"/>
              </w:rPr>
              <w:t xml:space="preserve"> + Scopus, 36 studies</w:t>
            </w:r>
          </w:p>
        </w:tc>
        <w:tc>
          <w:tcPr>
            <w:tcW w:w="1640" w:type="dxa"/>
          </w:tcPr>
          <w:p w14:paraId="04424E84" w14:textId="77777777" w:rsidR="00A82ED9" w:rsidRDefault="00000000">
            <w:r>
              <w:rPr>
                <w:rFonts w:eastAsia="Times New Roman" w:cs="Times New Roman"/>
                <w:sz w:val="18"/>
              </w:rPr>
              <w:t>NREL, NSRDB, DKASC; mostly private</w:t>
            </w:r>
          </w:p>
        </w:tc>
        <w:tc>
          <w:tcPr>
            <w:tcW w:w="2500" w:type="dxa"/>
          </w:tcPr>
          <w:p w14:paraId="7ECACFDA" w14:textId="77777777" w:rsidR="00A82ED9" w:rsidRDefault="00000000">
            <w:r>
              <w:rPr>
                <w:rFonts w:eastAsia="Times New Roman" w:cs="Times New Roman"/>
                <w:sz w:val="18"/>
              </w:rPr>
              <w:t>Public benchmarks; scale-independent metrics; cross-location models; shared PV database; aerosol/cloud inputs</w:t>
            </w:r>
          </w:p>
        </w:tc>
      </w:tr>
      <w:tr w:rsidR="00AE3532" w14:paraId="4C5160F3" w14:textId="77777777">
        <w:tc>
          <w:tcPr>
            <w:tcW w:w="1500" w:type="dxa"/>
          </w:tcPr>
          <w:p w14:paraId="7AFC829C" w14:textId="77777777" w:rsidR="00A82ED9" w:rsidRDefault="00000000">
            <w:proofErr w:type="spellStart"/>
            <w:r>
              <w:rPr>
                <w:rFonts w:eastAsia="Times New Roman" w:cs="Times New Roman"/>
                <w:sz w:val="18"/>
              </w:rPr>
              <w:t>Barhmi</w:t>
            </w:r>
            <w:proofErr w:type="spellEnd"/>
            <w:r>
              <w:rPr>
                <w:rFonts w:eastAsia="Times New Roman" w:cs="Times New Roman"/>
                <w:sz w:val="18"/>
              </w:rPr>
              <w:t xml:space="preserve"> et al., 2024 [</w:t>
            </w:r>
            <w:hyperlink w:anchor="ref_14" w:history="1">
              <w:r>
                <w:rPr>
                  <w:rFonts w:eastAsia="Times New Roman" w:cs="Times New Roman"/>
                  <w:color w:val="0563C1"/>
                  <w:sz w:val="18"/>
                </w:rPr>
                <w:t>14</w:t>
              </w:r>
            </w:hyperlink>
            <w:r>
              <w:rPr>
                <w:rFonts w:eastAsia="Times New Roman" w:cs="Times New Roman"/>
                <w:sz w:val="18"/>
              </w:rPr>
              <w:t>]</w:t>
            </w:r>
          </w:p>
        </w:tc>
        <w:tc>
          <w:tcPr>
            <w:tcW w:w="1500" w:type="dxa"/>
          </w:tcPr>
          <w:p w14:paraId="442B8E5C" w14:textId="77777777" w:rsidR="00A82ED9" w:rsidRDefault="00000000">
            <w:r>
              <w:rPr>
                <w:rFonts w:eastAsia="Times New Roman" w:cs="Times New Roman"/>
                <w:sz w:val="18"/>
              </w:rPr>
              <w:t>Irradiance and PV techniques</w:t>
            </w:r>
          </w:p>
        </w:tc>
        <w:tc>
          <w:tcPr>
            <w:tcW w:w="1500" w:type="dxa"/>
          </w:tcPr>
          <w:p w14:paraId="56014AA5" w14:textId="77777777" w:rsidR="00A82ED9" w:rsidRDefault="00000000">
            <w:r>
              <w:rPr>
                <w:rFonts w:eastAsia="Times New Roman" w:cs="Times New Roman"/>
                <w:sz w:val="18"/>
              </w:rPr>
              <w:t>Narrative review, Google Scholar</w:t>
            </w:r>
          </w:p>
        </w:tc>
        <w:tc>
          <w:tcPr>
            <w:tcW w:w="1640" w:type="dxa"/>
          </w:tcPr>
          <w:p w14:paraId="0A997303" w14:textId="77777777" w:rsidR="00A82ED9" w:rsidRDefault="00000000">
            <w:r>
              <w:rPr>
                <w:rFonts w:eastAsia="Times New Roman" w:cs="Times New Roman"/>
                <w:sz w:val="18"/>
              </w:rPr>
              <w:t>NSRDB, SURFRAD, BSRN, SKIPP'D</w:t>
            </w:r>
          </w:p>
        </w:tc>
        <w:tc>
          <w:tcPr>
            <w:tcW w:w="2500" w:type="dxa"/>
          </w:tcPr>
          <w:p w14:paraId="3BDDF01D" w14:textId="77777777" w:rsidR="00A82ED9" w:rsidRDefault="00000000">
            <w:r>
              <w:rPr>
                <w:rFonts w:eastAsia="Times New Roman" w:cs="Times New Roman"/>
                <w:sz w:val="18"/>
              </w:rPr>
              <w:t>Benchmark with baselines beyond naive persistence; public datasets; climate-based site classification; XAI; extreme weather</w:t>
            </w:r>
          </w:p>
        </w:tc>
      </w:tr>
      <w:tr w:rsidR="00AE3532" w14:paraId="274FCA94" w14:textId="77777777">
        <w:tc>
          <w:tcPr>
            <w:tcW w:w="1500" w:type="dxa"/>
          </w:tcPr>
          <w:p w14:paraId="69013100" w14:textId="77777777" w:rsidR="00A82ED9" w:rsidRDefault="00000000">
            <w:r>
              <w:rPr>
                <w:rFonts w:eastAsia="Times New Roman" w:cs="Times New Roman"/>
                <w:sz w:val="18"/>
              </w:rPr>
              <w:t>Al-</w:t>
            </w:r>
            <w:proofErr w:type="spellStart"/>
            <w:r>
              <w:rPr>
                <w:rFonts w:eastAsia="Times New Roman" w:cs="Times New Roman"/>
                <w:sz w:val="18"/>
              </w:rPr>
              <w:t>Dahidi</w:t>
            </w:r>
            <w:proofErr w:type="spellEnd"/>
            <w:r>
              <w:rPr>
                <w:rFonts w:eastAsia="Times New Roman" w:cs="Times New Roman"/>
                <w:sz w:val="18"/>
              </w:rPr>
              <w:t xml:space="preserve"> et al., 2024 [</w:t>
            </w:r>
            <w:hyperlink w:anchor="ref_15" w:history="1">
              <w:r>
                <w:rPr>
                  <w:rFonts w:eastAsia="Times New Roman" w:cs="Times New Roman"/>
                  <w:color w:val="0563C1"/>
                  <w:sz w:val="18"/>
                </w:rPr>
                <w:t>15</w:t>
              </w:r>
            </w:hyperlink>
            <w:r>
              <w:rPr>
                <w:rFonts w:eastAsia="Times New Roman" w:cs="Times New Roman"/>
                <w:sz w:val="18"/>
              </w:rPr>
              <w:t>]</w:t>
            </w:r>
          </w:p>
        </w:tc>
        <w:tc>
          <w:tcPr>
            <w:tcW w:w="1500" w:type="dxa"/>
          </w:tcPr>
          <w:p w14:paraId="6DC1CE53" w14:textId="77777777" w:rsidR="00A82ED9" w:rsidRDefault="00000000">
            <w:r>
              <w:rPr>
                <w:rFonts w:eastAsia="Times New Roman" w:cs="Times New Roman"/>
                <w:sz w:val="18"/>
              </w:rPr>
              <w:t>Data-driven PV framework</w:t>
            </w:r>
          </w:p>
        </w:tc>
        <w:tc>
          <w:tcPr>
            <w:tcW w:w="1500" w:type="dxa"/>
          </w:tcPr>
          <w:p w14:paraId="3F15339F" w14:textId="77777777" w:rsidR="00A82ED9" w:rsidRDefault="00000000">
            <w:r>
              <w:rPr>
                <w:rFonts w:eastAsia="Times New Roman" w:cs="Times New Roman"/>
                <w:sz w:val="18"/>
              </w:rPr>
              <w:t>Framework-based review</w:t>
            </w:r>
          </w:p>
        </w:tc>
        <w:tc>
          <w:tcPr>
            <w:tcW w:w="1640" w:type="dxa"/>
          </w:tcPr>
          <w:p w14:paraId="2B6A4323" w14:textId="77777777" w:rsidR="00A82ED9" w:rsidRDefault="00000000">
            <w:r>
              <w:rPr>
                <w:rFonts w:eastAsia="Times New Roman" w:cs="Times New Roman"/>
                <w:sz w:val="18"/>
              </w:rPr>
              <w:t>GEFCom2014</w:t>
            </w:r>
          </w:p>
        </w:tc>
        <w:tc>
          <w:tcPr>
            <w:tcW w:w="2500" w:type="dxa"/>
          </w:tcPr>
          <w:p w14:paraId="269E7088" w14:textId="77777777" w:rsidR="00A82ED9" w:rsidRDefault="00000000">
            <w:r>
              <w:rPr>
                <w:rFonts w:eastAsia="Times New Roman" w:cs="Times New Roman"/>
                <w:sz w:val="18"/>
              </w:rPr>
              <w:t>Integrated pipelines; concept drift; incremental learning; prediction intervals; application metrics; real case studies</w:t>
            </w:r>
          </w:p>
        </w:tc>
      </w:tr>
      <w:tr w:rsidR="00AE3532" w14:paraId="3E27EE0E" w14:textId="77777777">
        <w:tc>
          <w:tcPr>
            <w:tcW w:w="1500" w:type="dxa"/>
          </w:tcPr>
          <w:p w14:paraId="3B1B59F2" w14:textId="77777777" w:rsidR="00A82ED9" w:rsidRDefault="00000000">
            <w:r>
              <w:rPr>
                <w:rFonts w:eastAsia="Times New Roman" w:cs="Times New Roman"/>
                <w:sz w:val="18"/>
              </w:rPr>
              <w:t>Santos et al., 2024 [</w:t>
            </w:r>
            <w:hyperlink w:anchor="ref_16" w:history="1">
              <w:r>
                <w:rPr>
                  <w:rFonts w:eastAsia="Times New Roman" w:cs="Times New Roman"/>
                  <w:color w:val="0563C1"/>
                  <w:sz w:val="18"/>
                </w:rPr>
                <w:t>16</w:t>
              </w:r>
            </w:hyperlink>
            <w:r>
              <w:rPr>
                <w:rFonts w:eastAsia="Times New Roman" w:cs="Times New Roman"/>
                <w:sz w:val="18"/>
              </w:rPr>
              <w:t>]</w:t>
            </w:r>
          </w:p>
        </w:tc>
        <w:tc>
          <w:tcPr>
            <w:tcW w:w="1500" w:type="dxa"/>
          </w:tcPr>
          <w:p w14:paraId="23566C03" w14:textId="77777777" w:rsidR="00A82ED9" w:rsidRDefault="00000000">
            <w:r>
              <w:rPr>
                <w:rFonts w:eastAsia="Times New Roman" w:cs="Times New Roman"/>
                <w:sz w:val="18"/>
              </w:rPr>
              <w:t>Hybrid physics-ML</w:t>
            </w:r>
          </w:p>
        </w:tc>
        <w:tc>
          <w:tcPr>
            <w:tcW w:w="1500" w:type="dxa"/>
          </w:tcPr>
          <w:p w14:paraId="457A736D" w14:textId="77777777" w:rsidR="00A82ED9" w:rsidRDefault="00000000">
            <w:r>
              <w:rPr>
                <w:rFonts w:eastAsia="Times New Roman" w:cs="Times New Roman"/>
                <w:sz w:val="18"/>
              </w:rPr>
              <w:t>SLR, IEEE + Scopus, 67 studies</w:t>
            </w:r>
          </w:p>
        </w:tc>
        <w:tc>
          <w:tcPr>
            <w:tcW w:w="1640" w:type="dxa"/>
          </w:tcPr>
          <w:p w14:paraId="05AAE941" w14:textId="77777777" w:rsidR="00A82ED9" w:rsidRDefault="00000000">
            <w:r>
              <w:rPr>
                <w:rFonts w:eastAsia="Times New Roman" w:cs="Times New Roman"/>
                <w:sz w:val="18"/>
              </w:rPr>
              <w:t>None named (single plants)</w:t>
            </w:r>
          </w:p>
        </w:tc>
        <w:tc>
          <w:tcPr>
            <w:tcW w:w="2500" w:type="dxa"/>
          </w:tcPr>
          <w:p w14:paraId="08C30F20" w14:textId="77777777" w:rsidR="00A82ED9" w:rsidRDefault="00000000">
            <w:r>
              <w:rPr>
                <w:rFonts w:eastAsia="Times New Roman" w:cs="Times New Roman"/>
                <w:sz w:val="18"/>
              </w:rPr>
              <w:t>Hybrid benchmark; unequal inputs in comparisons; night hours lower errors; few probabilistic, long-term hybrids; horizon-wise analysis</w:t>
            </w:r>
          </w:p>
        </w:tc>
      </w:tr>
      <w:tr w:rsidR="00AE3532" w14:paraId="3D4810A8" w14:textId="77777777">
        <w:tc>
          <w:tcPr>
            <w:tcW w:w="1500" w:type="dxa"/>
          </w:tcPr>
          <w:p w14:paraId="1CE4681A" w14:textId="77777777" w:rsidR="00A82ED9" w:rsidRDefault="00000000">
            <w:r>
              <w:rPr>
                <w:rFonts w:eastAsia="Times New Roman" w:cs="Times New Roman"/>
                <w:sz w:val="18"/>
              </w:rPr>
              <w:t>Zhou et al., 2024 [</w:t>
            </w:r>
            <w:hyperlink w:anchor="ref_17" w:history="1">
              <w:r>
                <w:rPr>
                  <w:rFonts w:eastAsia="Times New Roman" w:cs="Times New Roman"/>
                  <w:color w:val="0563C1"/>
                  <w:sz w:val="18"/>
                </w:rPr>
                <w:t>17</w:t>
              </w:r>
            </w:hyperlink>
            <w:r>
              <w:rPr>
                <w:rFonts w:eastAsia="Times New Roman" w:cs="Times New Roman"/>
                <w:sz w:val="18"/>
              </w:rPr>
              <w:t>]</w:t>
            </w:r>
          </w:p>
        </w:tc>
        <w:tc>
          <w:tcPr>
            <w:tcW w:w="1500" w:type="dxa"/>
          </w:tcPr>
          <w:p w14:paraId="017A7F32" w14:textId="77777777" w:rsidR="00A82ED9" w:rsidRDefault="00000000">
            <w:r>
              <w:rPr>
                <w:rFonts w:eastAsia="Times New Roman" w:cs="Times New Roman"/>
                <w:sz w:val="18"/>
              </w:rPr>
              <w:t>Methods and trends</w:t>
            </w:r>
          </w:p>
        </w:tc>
        <w:tc>
          <w:tcPr>
            <w:tcW w:w="1500" w:type="dxa"/>
          </w:tcPr>
          <w:p w14:paraId="536E5B28" w14:textId="77777777" w:rsidR="00A82ED9" w:rsidRDefault="00000000">
            <w:r>
              <w:rPr>
                <w:rFonts w:eastAsia="Times New Roman" w:cs="Times New Roman"/>
                <w:sz w:val="18"/>
              </w:rPr>
              <w:t>Narrative review</w:t>
            </w:r>
          </w:p>
        </w:tc>
        <w:tc>
          <w:tcPr>
            <w:tcW w:w="1640" w:type="dxa"/>
          </w:tcPr>
          <w:p w14:paraId="4BABFE00" w14:textId="77777777" w:rsidR="00A82ED9" w:rsidRDefault="00000000">
            <w:r>
              <w:rPr>
                <w:rFonts w:eastAsia="Times New Roman" w:cs="Times New Roman"/>
                <w:sz w:val="18"/>
              </w:rPr>
              <w:t>DKASC Alice Springs</w:t>
            </w:r>
          </w:p>
        </w:tc>
        <w:tc>
          <w:tcPr>
            <w:tcW w:w="2500" w:type="dxa"/>
          </w:tcPr>
          <w:p w14:paraId="203C1D98" w14:textId="77777777" w:rsidR="00A82ED9" w:rsidRDefault="00000000">
            <w:r>
              <w:rPr>
                <w:rFonts w:eastAsia="Times New Roman" w:cs="Times New Roman"/>
                <w:sz w:val="18"/>
              </w:rPr>
              <w:t>Extreme/cloudy weather; season-specific models; slow optimisation, weak clustering; distributed PV with topography</w:t>
            </w:r>
          </w:p>
        </w:tc>
      </w:tr>
      <w:tr w:rsidR="00AE3532" w14:paraId="1B5BDF5A" w14:textId="77777777">
        <w:tc>
          <w:tcPr>
            <w:tcW w:w="1500" w:type="dxa"/>
          </w:tcPr>
          <w:p w14:paraId="10B3DEF7" w14:textId="77777777" w:rsidR="00A82ED9" w:rsidRDefault="00000000">
            <w:r>
              <w:rPr>
                <w:rFonts w:eastAsia="Times New Roman" w:cs="Times New Roman"/>
                <w:sz w:val="18"/>
              </w:rPr>
              <w:t>Yu et al., 2024 [</w:t>
            </w:r>
            <w:hyperlink w:anchor="ref_18" w:history="1">
              <w:r>
                <w:rPr>
                  <w:rFonts w:eastAsia="Times New Roman" w:cs="Times New Roman"/>
                  <w:color w:val="0563C1"/>
                  <w:sz w:val="18"/>
                </w:rPr>
                <w:t>18</w:t>
              </w:r>
            </w:hyperlink>
            <w:r>
              <w:rPr>
                <w:rFonts w:eastAsia="Times New Roman" w:cs="Times New Roman"/>
                <w:sz w:val="18"/>
              </w:rPr>
              <w:t>]</w:t>
            </w:r>
          </w:p>
        </w:tc>
        <w:tc>
          <w:tcPr>
            <w:tcW w:w="1500" w:type="dxa"/>
          </w:tcPr>
          <w:p w14:paraId="5F7D6CB7" w14:textId="77777777" w:rsidR="00A82ED9" w:rsidRDefault="00000000">
            <w:r>
              <w:rPr>
                <w:rFonts w:eastAsia="Times New Roman" w:cs="Times New Roman"/>
                <w:sz w:val="18"/>
              </w:rPr>
              <w:t>DL architectures</w:t>
            </w:r>
          </w:p>
        </w:tc>
        <w:tc>
          <w:tcPr>
            <w:tcW w:w="1500" w:type="dxa"/>
          </w:tcPr>
          <w:p w14:paraId="69C09127" w14:textId="77777777" w:rsidR="00A82ED9" w:rsidRDefault="00000000">
            <w:r>
              <w:rPr>
                <w:rFonts w:eastAsia="Times New Roman" w:cs="Times New Roman"/>
                <w:sz w:val="18"/>
              </w:rPr>
              <w:t>Narrative review, 55 models</w:t>
            </w:r>
          </w:p>
        </w:tc>
        <w:tc>
          <w:tcPr>
            <w:tcW w:w="1640" w:type="dxa"/>
          </w:tcPr>
          <w:p w14:paraId="1B8D7BDB" w14:textId="77777777" w:rsidR="00A82ED9" w:rsidRDefault="00000000">
            <w:r>
              <w:rPr>
                <w:rFonts w:eastAsia="Times New Roman" w:cs="Times New Roman"/>
                <w:sz w:val="18"/>
              </w:rPr>
              <w:t>NREL Solar-1/2/3, PVDAQ, DKASC (public)</w:t>
            </w:r>
          </w:p>
        </w:tc>
        <w:tc>
          <w:tcPr>
            <w:tcW w:w="2500" w:type="dxa"/>
          </w:tcPr>
          <w:p w14:paraId="1DD54F9C" w14:textId="77777777" w:rsidR="00A82ED9" w:rsidRDefault="00000000">
            <w:r>
              <w:rPr>
                <w:rFonts w:eastAsia="Times New Roman" w:cs="Times New Roman"/>
                <w:sz w:val="18"/>
              </w:rPr>
              <w:t>No climate-general architecture; GNN complexity; weak multivariate generalization; input selection</w:t>
            </w:r>
          </w:p>
        </w:tc>
      </w:tr>
      <w:tr w:rsidR="00AE3532" w14:paraId="7384CCD8" w14:textId="77777777">
        <w:tc>
          <w:tcPr>
            <w:tcW w:w="1500" w:type="dxa"/>
          </w:tcPr>
          <w:p w14:paraId="2E9444B5" w14:textId="77777777" w:rsidR="00A82ED9" w:rsidRDefault="00000000">
            <w:r>
              <w:rPr>
                <w:rFonts w:eastAsia="Times New Roman" w:cs="Times New Roman"/>
                <w:sz w:val="18"/>
              </w:rPr>
              <w:t>Sankari and Kumar, 2024 [</w:t>
            </w:r>
            <w:hyperlink w:anchor="ref_19" w:history="1">
              <w:r>
                <w:rPr>
                  <w:rFonts w:eastAsia="Times New Roman" w:cs="Times New Roman"/>
                  <w:color w:val="0563C1"/>
                  <w:sz w:val="18"/>
                </w:rPr>
                <w:t>19</w:t>
              </w:r>
            </w:hyperlink>
            <w:r>
              <w:rPr>
                <w:rFonts w:eastAsia="Times New Roman" w:cs="Times New Roman"/>
                <w:sz w:val="18"/>
              </w:rPr>
              <w:t>]</w:t>
            </w:r>
          </w:p>
        </w:tc>
        <w:tc>
          <w:tcPr>
            <w:tcW w:w="1500" w:type="dxa"/>
          </w:tcPr>
          <w:p w14:paraId="091C9266" w14:textId="77777777" w:rsidR="00A82ED9" w:rsidRDefault="00000000">
            <w:r>
              <w:rPr>
                <w:rFonts w:eastAsia="Times New Roman" w:cs="Times New Roman"/>
                <w:sz w:val="18"/>
              </w:rPr>
              <w:t>Smart-city solar forecasting</w:t>
            </w:r>
          </w:p>
        </w:tc>
        <w:tc>
          <w:tcPr>
            <w:tcW w:w="1500" w:type="dxa"/>
          </w:tcPr>
          <w:p w14:paraId="282900D6" w14:textId="77777777" w:rsidR="00A82ED9" w:rsidRDefault="00000000">
            <w:r>
              <w:rPr>
                <w:rFonts w:eastAsia="Times New Roman" w:cs="Times New Roman"/>
                <w:sz w:val="18"/>
              </w:rPr>
              <w:t>Narrative survey</w:t>
            </w:r>
          </w:p>
        </w:tc>
        <w:tc>
          <w:tcPr>
            <w:tcW w:w="1640" w:type="dxa"/>
          </w:tcPr>
          <w:p w14:paraId="4811EAE8" w14:textId="77777777" w:rsidR="00A82ED9" w:rsidRDefault="00000000">
            <w:r>
              <w:rPr>
                <w:rFonts w:eastAsia="Times New Roman" w:cs="Times New Roman"/>
                <w:sz w:val="18"/>
              </w:rPr>
              <w:t>None</w:t>
            </w:r>
          </w:p>
        </w:tc>
        <w:tc>
          <w:tcPr>
            <w:tcW w:w="2500" w:type="dxa"/>
          </w:tcPr>
          <w:p w14:paraId="726DA5F6" w14:textId="77777777" w:rsidR="00A82ED9" w:rsidRDefault="00000000">
            <w:r>
              <w:rPr>
                <w:rFonts w:eastAsia="Times New Roman" w:cs="Times New Roman"/>
                <w:sz w:val="18"/>
              </w:rPr>
              <w:t>Weather/sky-imager inputs; feature selection; transfer learning; hyperparameter tuning</w:t>
            </w:r>
          </w:p>
        </w:tc>
      </w:tr>
      <w:tr w:rsidR="00AE3532" w14:paraId="7D3F6851" w14:textId="77777777">
        <w:tc>
          <w:tcPr>
            <w:tcW w:w="1500" w:type="dxa"/>
          </w:tcPr>
          <w:p w14:paraId="48B36BAF" w14:textId="77777777" w:rsidR="00A82ED9" w:rsidRDefault="00000000">
            <w:r>
              <w:rPr>
                <w:rFonts w:eastAsia="Times New Roman" w:cs="Times New Roman"/>
                <w:sz w:val="18"/>
              </w:rPr>
              <w:t>Gallardo et al., 2023 [</w:t>
            </w:r>
            <w:hyperlink w:anchor="ref_20" w:history="1">
              <w:r>
                <w:rPr>
                  <w:rFonts w:eastAsia="Times New Roman" w:cs="Times New Roman"/>
                  <w:color w:val="0563C1"/>
                  <w:sz w:val="18"/>
                </w:rPr>
                <w:t>20</w:t>
              </w:r>
            </w:hyperlink>
            <w:r>
              <w:rPr>
                <w:rFonts w:eastAsia="Times New Roman" w:cs="Times New Roman"/>
                <w:sz w:val="18"/>
              </w:rPr>
              <w:t>]</w:t>
            </w:r>
          </w:p>
        </w:tc>
        <w:tc>
          <w:tcPr>
            <w:tcW w:w="1500" w:type="dxa"/>
          </w:tcPr>
          <w:p w14:paraId="26370419" w14:textId="77777777" w:rsidR="00A82ED9" w:rsidRDefault="00000000">
            <w:r>
              <w:rPr>
                <w:rFonts w:eastAsia="Times New Roman" w:cs="Times New Roman"/>
                <w:sz w:val="18"/>
              </w:rPr>
              <w:t>Real-time PV prediction</w:t>
            </w:r>
          </w:p>
        </w:tc>
        <w:tc>
          <w:tcPr>
            <w:tcW w:w="1500" w:type="dxa"/>
          </w:tcPr>
          <w:p w14:paraId="27A4FFA9" w14:textId="77777777" w:rsidR="00A82ED9" w:rsidRDefault="00000000">
            <w:r>
              <w:rPr>
                <w:rFonts w:eastAsia="Times New Roman" w:cs="Times New Roman"/>
                <w:sz w:val="18"/>
              </w:rPr>
              <w:t xml:space="preserve">SLR, </w:t>
            </w:r>
            <w:proofErr w:type="spellStart"/>
            <w:r>
              <w:rPr>
                <w:rFonts w:eastAsia="Times New Roman" w:cs="Times New Roman"/>
                <w:sz w:val="18"/>
              </w:rPr>
              <w:t>WoS</w:t>
            </w:r>
            <w:proofErr w:type="spellEnd"/>
            <w:r>
              <w:rPr>
                <w:rFonts w:eastAsia="Times New Roman" w:cs="Times New Roman"/>
                <w:sz w:val="18"/>
              </w:rPr>
              <w:t>, 60 studies</w:t>
            </w:r>
          </w:p>
        </w:tc>
        <w:tc>
          <w:tcPr>
            <w:tcW w:w="1640" w:type="dxa"/>
          </w:tcPr>
          <w:p w14:paraId="7FF0C24B" w14:textId="77777777" w:rsidR="00A82ED9" w:rsidRDefault="00000000">
            <w:r>
              <w:rPr>
                <w:rFonts w:eastAsia="Times New Roman" w:cs="Times New Roman"/>
                <w:sz w:val="18"/>
              </w:rPr>
              <w:t>None named</w:t>
            </w:r>
          </w:p>
        </w:tc>
        <w:tc>
          <w:tcPr>
            <w:tcW w:w="2500" w:type="dxa"/>
          </w:tcPr>
          <w:p w14:paraId="525AB786" w14:textId="77777777" w:rsidR="00A82ED9" w:rsidRDefault="00000000">
            <w:r>
              <w:rPr>
                <w:rFonts w:eastAsia="Times New Roman" w:cs="Times New Roman"/>
                <w:sz w:val="18"/>
              </w:rPr>
              <w:t>Standard testbench (data, horizons, metrics); more data, feature selection; embedded real-time hardware</w:t>
            </w:r>
          </w:p>
        </w:tc>
      </w:tr>
      <w:tr w:rsidR="00AE3532" w14:paraId="735BE647" w14:textId="77777777">
        <w:tc>
          <w:tcPr>
            <w:tcW w:w="1500" w:type="dxa"/>
          </w:tcPr>
          <w:p w14:paraId="0491E710" w14:textId="77777777" w:rsidR="00A82ED9" w:rsidRDefault="00000000">
            <w:r>
              <w:rPr>
                <w:rFonts w:eastAsia="Times New Roman" w:cs="Times New Roman"/>
                <w:sz w:val="18"/>
              </w:rPr>
              <w:t xml:space="preserve">Pandžić and </w:t>
            </w:r>
            <w:proofErr w:type="spellStart"/>
            <w:r>
              <w:rPr>
                <w:rFonts w:eastAsia="Times New Roman" w:cs="Times New Roman"/>
                <w:sz w:val="18"/>
              </w:rPr>
              <w:t>Capuder</w:t>
            </w:r>
            <w:proofErr w:type="spellEnd"/>
            <w:r>
              <w:rPr>
                <w:rFonts w:eastAsia="Times New Roman" w:cs="Times New Roman"/>
                <w:sz w:val="18"/>
              </w:rPr>
              <w:t>, 2024 [</w:t>
            </w:r>
            <w:hyperlink w:anchor="ref_21" w:history="1">
              <w:r>
                <w:rPr>
                  <w:rFonts w:eastAsia="Times New Roman" w:cs="Times New Roman"/>
                  <w:color w:val="0563C1"/>
                  <w:sz w:val="18"/>
                </w:rPr>
                <w:t>21</w:t>
              </w:r>
            </w:hyperlink>
            <w:r>
              <w:rPr>
                <w:rFonts w:eastAsia="Times New Roman" w:cs="Times New Roman"/>
                <w:sz w:val="18"/>
              </w:rPr>
              <w:t>]</w:t>
            </w:r>
          </w:p>
        </w:tc>
        <w:tc>
          <w:tcPr>
            <w:tcW w:w="1500" w:type="dxa"/>
          </w:tcPr>
          <w:p w14:paraId="6C59F932" w14:textId="77777777" w:rsidR="00A82ED9" w:rsidRDefault="00000000">
            <w:r>
              <w:rPr>
                <w:rFonts w:eastAsia="Times New Roman" w:cs="Times New Roman"/>
                <w:sz w:val="18"/>
              </w:rPr>
              <w:t>Short-term ML, open-data benchmark</w:t>
            </w:r>
          </w:p>
        </w:tc>
        <w:tc>
          <w:tcPr>
            <w:tcW w:w="1500" w:type="dxa"/>
          </w:tcPr>
          <w:p w14:paraId="52B9EFB2" w14:textId="77777777" w:rsidR="00A82ED9" w:rsidRDefault="00000000">
            <w:r>
              <w:rPr>
                <w:rFonts w:eastAsia="Times New Roman" w:cs="Times New Roman"/>
                <w:sz w:val="18"/>
              </w:rPr>
              <w:t>Citation-based review</w:t>
            </w:r>
          </w:p>
        </w:tc>
        <w:tc>
          <w:tcPr>
            <w:tcW w:w="1640" w:type="dxa"/>
          </w:tcPr>
          <w:p w14:paraId="422D554F" w14:textId="77777777" w:rsidR="00A82ED9" w:rsidRDefault="00000000">
            <w:r>
              <w:rPr>
                <w:rFonts w:eastAsia="Times New Roman" w:cs="Times New Roman"/>
                <w:sz w:val="18"/>
              </w:rPr>
              <w:t>NREL SRRL, SKIPP'D, SURFRAD (open)</w:t>
            </w:r>
          </w:p>
        </w:tc>
        <w:tc>
          <w:tcPr>
            <w:tcW w:w="2500" w:type="dxa"/>
          </w:tcPr>
          <w:p w14:paraId="602E82C7" w14:textId="77777777" w:rsidR="00A82ED9" w:rsidRDefault="00000000">
            <w:r>
              <w:rPr>
                <w:rFonts w:eastAsia="Times New Roman" w:cs="Times New Roman"/>
                <w:sz w:val="18"/>
              </w:rPr>
              <w:t>Closed data; non-comparable results; longer tests, common metrics and baselines; probabilistic forecasting; explainability</w:t>
            </w:r>
          </w:p>
        </w:tc>
      </w:tr>
      <w:tr w:rsidR="00AE3532" w14:paraId="152875A9" w14:textId="77777777">
        <w:tc>
          <w:tcPr>
            <w:tcW w:w="1500" w:type="dxa"/>
          </w:tcPr>
          <w:p w14:paraId="279E37C4" w14:textId="77777777" w:rsidR="00A82ED9" w:rsidRDefault="00000000">
            <w:r>
              <w:rPr>
                <w:rFonts w:eastAsia="Times New Roman" w:cs="Times New Roman"/>
                <w:sz w:val="18"/>
              </w:rPr>
              <w:t>Jannah et al., 2024 [</w:t>
            </w:r>
            <w:hyperlink w:anchor="ref_22" w:history="1">
              <w:r>
                <w:rPr>
                  <w:rFonts w:eastAsia="Times New Roman" w:cs="Times New Roman"/>
                  <w:color w:val="0563C1"/>
                  <w:sz w:val="18"/>
                </w:rPr>
                <w:t>22</w:t>
              </w:r>
            </w:hyperlink>
            <w:r>
              <w:rPr>
                <w:rFonts w:eastAsia="Times New Roman" w:cs="Times New Roman"/>
                <w:sz w:val="18"/>
              </w:rPr>
              <w:t>]</w:t>
            </w:r>
          </w:p>
        </w:tc>
        <w:tc>
          <w:tcPr>
            <w:tcW w:w="1500" w:type="dxa"/>
          </w:tcPr>
          <w:p w14:paraId="7BCE2B59" w14:textId="77777777" w:rsidR="00A82ED9" w:rsidRDefault="00000000">
            <w:r>
              <w:rPr>
                <w:rFonts w:eastAsia="Times New Roman" w:cs="Times New Roman"/>
                <w:sz w:val="18"/>
              </w:rPr>
              <w:t>Methods and public PV datasets</w:t>
            </w:r>
          </w:p>
        </w:tc>
        <w:tc>
          <w:tcPr>
            <w:tcW w:w="1500" w:type="dxa"/>
          </w:tcPr>
          <w:p w14:paraId="2F61EAAC" w14:textId="77777777" w:rsidR="00A82ED9" w:rsidRDefault="00000000">
            <w:r>
              <w:rPr>
                <w:rFonts w:eastAsia="Times New Roman" w:cs="Times New Roman"/>
                <w:sz w:val="18"/>
              </w:rPr>
              <w:t>Keyword-search review</w:t>
            </w:r>
          </w:p>
        </w:tc>
        <w:tc>
          <w:tcPr>
            <w:tcW w:w="1640" w:type="dxa"/>
          </w:tcPr>
          <w:p w14:paraId="5A748D58" w14:textId="77777777" w:rsidR="00A82ED9" w:rsidRDefault="00000000">
            <w:r>
              <w:rPr>
                <w:rFonts w:eastAsia="Times New Roman" w:cs="Times New Roman"/>
                <w:sz w:val="18"/>
              </w:rPr>
              <w:t>PVOD, SOLETE, NIST, UNISOLAR (7 public)</w:t>
            </w:r>
          </w:p>
        </w:tc>
        <w:tc>
          <w:tcPr>
            <w:tcW w:w="2500" w:type="dxa"/>
          </w:tcPr>
          <w:p w14:paraId="445F4009" w14:textId="77777777" w:rsidR="00A82ED9" w:rsidRDefault="00000000">
            <w:r>
              <w:rPr>
                <w:rFonts w:eastAsia="Times New Roman" w:cs="Times New Roman"/>
                <w:sz w:val="18"/>
              </w:rPr>
              <w:t>Cross-site generalization; inconsistent metrics; no benchmarks; data quality; weather sensitivity; tuning cost; embedded deployment</w:t>
            </w:r>
          </w:p>
        </w:tc>
      </w:tr>
      <w:tr w:rsidR="00AE3532" w14:paraId="109D6B1B" w14:textId="77777777">
        <w:tc>
          <w:tcPr>
            <w:tcW w:w="1500" w:type="dxa"/>
          </w:tcPr>
          <w:p w14:paraId="4C368672" w14:textId="77777777" w:rsidR="00A82ED9" w:rsidRDefault="00000000">
            <w:proofErr w:type="spellStart"/>
            <w:r>
              <w:rPr>
                <w:rFonts w:eastAsia="Times New Roman" w:cs="Times New Roman"/>
                <w:sz w:val="18"/>
              </w:rPr>
              <w:t>Alcañiz</w:t>
            </w:r>
            <w:proofErr w:type="spellEnd"/>
            <w:r>
              <w:rPr>
                <w:rFonts w:eastAsia="Times New Roman" w:cs="Times New Roman"/>
                <w:sz w:val="18"/>
              </w:rPr>
              <w:t xml:space="preserve"> et al., 2023 [</w:t>
            </w:r>
            <w:hyperlink w:anchor="ref_23" w:history="1">
              <w:r>
                <w:rPr>
                  <w:rFonts w:eastAsia="Times New Roman" w:cs="Times New Roman"/>
                  <w:color w:val="0563C1"/>
                  <w:sz w:val="18"/>
                </w:rPr>
                <w:t>23</w:t>
              </w:r>
            </w:hyperlink>
            <w:r>
              <w:rPr>
                <w:rFonts w:eastAsia="Times New Roman" w:cs="Times New Roman"/>
                <w:sz w:val="18"/>
              </w:rPr>
              <w:t>]</w:t>
            </w:r>
          </w:p>
        </w:tc>
        <w:tc>
          <w:tcPr>
            <w:tcW w:w="1500" w:type="dxa"/>
          </w:tcPr>
          <w:p w14:paraId="62D0AA24" w14:textId="77777777" w:rsidR="00A82ED9" w:rsidRDefault="00000000">
            <w:r>
              <w:rPr>
                <w:rFonts w:eastAsia="Times New Roman" w:cs="Times New Roman"/>
                <w:sz w:val="18"/>
              </w:rPr>
              <w:t>Trends and gaps in ML PV forecasting</w:t>
            </w:r>
          </w:p>
        </w:tc>
        <w:tc>
          <w:tcPr>
            <w:tcW w:w="1500" w:type="dxa"/>
          </w:tcPr>
          <w:p w14:paraId="7A1C020A" w14:textId="77777777" w:rsidR="00A82ED9" w:rsidRDefault="00000000">
            <w:r>
              <w:rPr>
                <w:rFonts w:eastAsia="Times New Roman" w:cs="Times New Roman"/>
                <w:sz w:val="18"/>
              </w:rPr>
              <w:t>Classification review, 100 papers</w:t>
            </w:r>
          </w:p>
        </w:tc>
        <w:tc>
          <w:tcPr>
            <w:tcW w:w="1640" w:type="dxa"/>
          </w:tcPr>
          <w:p w14:paraId="1F87271B" w14:textId="77777777" w:rsidR="00A82ED9" w:rsidRDefault="00000000">
            <w:r>
              <w:rPr>
                <w:rFonts w:eastAsia="Times New Roman" w:cs="Times New Roman"/>
                <w:sz w:val="18"/>
              </w:rPr>
              <w:t>None named (mostly single systems)</w:t>
            </w:r>
          </w:p>
        </w:tc>
        <w:tc>
          <w:tcPr>
            <w:tcW w:w="2500" w:type="dxa"/>
          </w:tcPr>
          <w:p w14:paraId="1EF3F8D3" w14:textId="77777777" w:rsidR="00A82ED9" w:rsidRDefault="00000000">
            <w:r>
              <w:rPr>
                <w:rFonts w:eastAsia="Times New Roman" w:cs="Times New Roman"/>
                <w:sz w:val="18"/>
              </w:rPr>
              <w:t>Unseen sites and climates; few tropical/dry studies; high-resolution data; standard metrics; interpretability, robustness, post-processing</w:t>
            </w:r>
          </w:p>
        </w:tc>
      </w:tr>
      <w:tr w:rsidR="00AE3532" w14:paraId="114712BA" w14:textId="77777777">
        <w:tc>
          <w:tcPr>
            <w:tcW w:w="1500" w:type="dxa"/>
          </w:tcPr>
          <w:p w14:paraId="0222A3FC" w14:textId="77777777" w:rsidR="00A82ED9" w:rsidRDefault="00000000">
            <w:r>
              <w:rPr>
                <w:rFonts w:eastAsia="Times New Roman" w:cs="Times New Roman"/>
                <w:sz w:val="18"/>
              </w:rPr>
              <w:t>Deng et al., 2023 [</w:t>
            </w:r>
            <w:hyperlink w:anchor="ref_24" w:history="1">
              <w:r>
                <w:rPr>
                  <w:rFonts w:eastAsia="Times New Roman" w:cs="Times New Roman"/>
                  <w:color w:val="0563C1"/>
                  <w:sz w:val="18"/>
                </w:rPr>
                <w:t>24</w:t>
              </w:r>
            </w:hyperlink>
            <w:r>
              <w:rPr>
                <w:rFonts w:eastAsia="Times New Roman" w:cs="Times New Roman"/>
                <w:sz w:val="18"/>
              </w:rPr>
              <w:t>]</w:t>
            </w:r>
          </w:p>
        </w:tc>
        <w:tc>
          <w:tcPr>
            <w:tcW w:w="1500" w:type="dxa"/>
          </w:tcPr>
          <w:p w14:paraId="05F99E5E" w14:textId="77777777" w:rsidR="00A82ED9" w:rsidRDefault="00000000">
            <w:r>
              <w:rPr>
                <w:rFonts w:eastAsia="Times New Roman" w:cs="Times New Roman"/>
                <w:sz w:val="18"/>
              </w:rPr>
              <w:t>PV scenarios, methods, investment</w:t>
            </w:r>
          </w:p>
        </w:tc>
        <w:tc>
          <w:tcPr>
            <w:tcW w:w="1500" w:type="dxa"/>
          </w:tcPr>
          <w:p w14:paraId="543D28E2" w14:textId="77777777" w:rsidR="00A82ED9" w:rsidRDefault="00000000">
            <w:r>
              <w:rPr>
                <w:rFonts w:eastAsia="Times New Roman" w:cs="Times New Roman"/>
                <w:sz w:val="18"/>
              </w:rPr>
              <w:t>Descriptive survey</w:t>
            </w:r>
          </w:p>
        </w:tc>
        <w:tc>
          <w:tcPr>
            <w:tcW w:w="1640" w:type="dxa"/>
          </w:tcPr>
          <w:p w14:paraId="4956416E" w14:textId="77777777" w:rsidR="00A82ED9" w:rsidRDefault="00000000">
            <w:proofErr w:type="spellStart"/>
            <w:r>
              <w:rPr>
                <w:rFonts w:eastAsia="Times New Roman" w:cs="Times New Roman"/>
                <w:sz w:val="18"/>
              </w:rPr>
              <w:t>Meteosat</w:t>
            </w:r>
            <w:proofErr w:type="spellEnd"/>
            <w:r>
              <w:rPr>
                <w:rFonts w:eastAsia="Times New Roman" w:cs="Times New Roman"/>
                <w:sz w:val="18"/>
              </w:rPr>
              <w:t>, AVHRR, FY-2C (satellite)</w:t>
            </w:r>
          </w:p>
        </w:tc>
        <w:tc>
          <w:tcPr>
            <w:tcW w:w="2500" w:type="dxa"/>
          </w:tcPr>
          <w:p w14:paraId="0D18F3A1" w14:textId="77777777" w:rsidR="00A82ED9" w:rsidRDefault="00000000">
            <w:r>
              <w:rPr>
                <w:rFonts w:eastAsia="Times New Roman" w:cs="Times New Roman"/>
                <w:sz w:val="18"/>
              </w:rPr>
              <w:t>Cloud growth and motion; costly image labelling; hand-crafted features; NWP inaccuracy in cloudy weather</w:t>
            </w:r>
          </w:p>
        </w:tc>
      </w:tr>
      <w:tr w:rsidR="00AE3532" w14:paraId="06A8837A" w14:textId="77777777">
        <w:tc>
          <w:tcPr>
            <w:tcW w:w="1500" w:type="dxa"/>
          </w:tcPr>
          <w:p w14:paraId="6EA615A0" w14:textId="77777777" w:rsidR="00A82ED9" w:rsidRDefault="00000000">
            <w:r>
              <w:rPr>
                <w:rFonts w:eastAsia="Times New Roman" w:cs="Times New Roman"/>
                <w:sz w:val="18"/>
              </w:rPr>
              <w:t xml:space="preserve">Divya and </w:t>
            </w:r>
            <w:proofErr w:type="spellStart"/>
            <w:r>
              <w:rPr>
                <w:rFonts w:eastAsia="Times New Roman" w:cs="Times New Roman"/>
                <w:sz w:val="18"/>
              </w:rPr>
              <w:t>Umamaheswari</w:t>
            </w:r>
            <w:proofErr w:type="spellEnd"/>
            <w:r>
              <w:rPr>
                <w:rFonts w:eastAsia="Times New Roman" w:cs="Times New Roman"/>
                <w:sz w:val="18"/>
              </w:rPr>
              <w:t>, 2022 [</w:t>
            </w:r>
            <w:hyperlink w:anchor="ref_25" w:history="1">
              <w:r>
                <w:rPr>
                  <w:rFonts w:eastAsia="Times New Roman" w:cs="Times New Roman"/>
                  <w:color w:val="0563C1"/>
                  <w:sz w:val="18"/>
                </w:rPr>
                <w:t>25</w:t>
              </w:r>
            </w:hyperlink>
            <w:r>
              <w:rPr>
                <w:rFonts w:eastAsia="Times New Roman" w:cs="Times New Roman"/>
                <w:sz w:val="18"/>
              </w:rPr>
              <w:t>]</w:t>
            </w:r>
          </w:p>
        </w:tc>
        <w:tc>
          <w:tcPr>
            <w:tcW w:w="1500" w:type="dxa"/>
          </w:tcPr>
          <w:p w14:paraId="749893D5" w14:textId="77777777" w:rsidR="00A82ED9" w:rsidRDefault="00000000">
            <w:r>
              <w:rPr>
                <w:rFonts w:eastAsia="Times New Roman" w:cs="Times New Roman"/>
                <w:sz w:val="18"/>
              </w:rPr>
              <w:t>Direct and indirect forecasting</w:t>
            </w:r>
          </w:p>
        </w:tc>
        <w:tc>
          <w:tcPr>
            <w:tcW w:w="1500" w:type="dxa"/>
          </w:tcPr>
          <w:p w14:paraId="1C6C4433" w14:textId="77777777" w:rsidR="00A82ED9" w:rsidRDefault="00000000">
            <w:r>
              <w:rPr>
                <w:rFonts w:eastAsia="Times New Roman" w:cs="Times New Roman"/>
                <w:sz w:val="18"/>
              </w:rPr>
              <w:t>Descriptive survey</w:t>
            </w:r>
          </w:p>
        </w:tc>
        <w:tc>
          <w:tcPr>
            <w:tcW w:w="1640" w:type="dxa"/>
          </w:tcPr>
          <w:p w14:paraId="008108B6" w14:textId="77777777" w:rsidR="00A82ED9" w:rsidRDefault="00000000">
            <w:r>
              <w:rPr>
                <w:rFonts w:eastAsia="Times New Roman" w:cs="Times New Roman"/>
                <w:sz w:val="18"/>
              </w:rPr>
              <w:t>None named</w:t>
            </w:r>
          </w:p>
        </w:tc>
        <w:tc>
          <w:tcPr>
            <w:tcW w:w="2500" w:type="dxa"/>
          </w:tcPr>
          <w:p w14:paraId="7137D9B9" w14:textId="77777777" w:rsidR="00A82ED9" w:rsidRDefault="00000000">
            <w:r>
              <w:rPr>
                <w:rFonts w:eastAsia="Times New Roman" w:cs="Times New Roman"/>
                <w:sz w:val="18"/>
              </w:rPr>
              <w:t>None stated by authors</w:t>
            </w:r>
          </w:p>
        </w:tc>
      </w:tr>
      <w:tr w:rsidR="00AE3532" w14:paraId="00E69658" w14:textId="77777777">
        <w:tc>
          <w:tcPr>
            <w:tcW w:w="1500" w:type="dxa"/>
          </w:tcPr>
          <w:p w14:paraId="09C88251" w14:textId="77777777" w:rsidR="00A82ED9" w:rsidRDefault="00000000">
            <w:r>
              <w:rPr>
                <w:rFonts w:eastAsia="Times New Roman" w:cs="Times New Roman"/>
                <w:sz w:val="18"/>
              </w:rPr>
              <w:t>Cesar et al., 2022 [</w:t>
            </w:r>
            <w:hyperlink w:anchor="ref_26" w:history="1">
              <w:r>
                <w:rPr>
                  <w:rFonts w:eastAsia="Times New Roman" w:cs="Times New Roman"/>
                  <w:color w:val="0563C1"/>
                  <w:sz w:val="18"/>
                </w:rPr>
                <w:t>26</w:t>
              </w:r>
            </w:hyperlink>
            <w:r>
              <w:rPr>
                <w:rFonts w:eastAsia="Times New Roman" w:cs="Times New Roman"/>
                <w:sz w:val="18"/>
              </w:rPr>
              <w:t>]</w:t>
            </w:r>
          </w:p>
        </w:tc>
        <w:tc>
          <w:tcPr>
            <w:tcW w:w="1500" w:type="dxa"/>
          </w:tcPr>
          <w:p w14:paraId="6C3C0A3B" w14:textId="77777777" w:rsidR="00A82ED9" w:rsidRDefault="00000000">
            <w:proofErr w:type="spellStart"/>
            <w:r>
              <w:rPr>
                <w:rFonts w:eastAsia="Times New Roman" w:cs="Times New Roman"/>
                <w:sz w:val="18"/>
              </w:rPr>
              <w:t>Spatio</w:t>
            </w:r>
            <w:proofErr w:type="spellEnd"/>
            <w:r>
              <w:rPr>
                <w:rFonts w:eastAsia="Times New Roman" w:cs="Times New Roman"/>
                <w:sz w:val="18"/>
              </w:rPr>
              <w:t>-temporal GHI/PV</w:t>
            </w:r>
          </w:p>
        </w:tc>
        <w:tc>
          <w:tcPr>
            <w:tcW w:w="1500" w:type="dxa"/>
          </w:tcPr>
          <w:p w14:paraId="56616B19" w14:textId="77777777" w:rsidR="00A82ED9" w:rsidRDefault="00000000">
            <w:r>
              <w:rPr>
                <w:rFonts w:eastAsia="Times New Roman" w:cs="Times New Roman"/>
                <w:sz w:val="18"/>
              </w:rPr>
              <w:t>Keyword-search review</w:t>
            </w:r>
          </w:p>
        </w:tc>
        <w:tc>
          <w:tcPr>
            <w:tcW w:w="1640" w:type="dxa"/>
          </w:tcPr>
          <w:p w14:paraId="72568D0C" w14:textId="77777777" w:rsidR="00A82ED9" w:rsidRDefault="00000000">
            <w:r>
              <w:rPr>
                <w:rFonts w:eastAsia="Times New Roman" w:cs="Times New Roman"/>
                <w:sz w:val="18"/>
              </w:rPr>
              <w:t xml:space="preserve">Ground pyranometer/PV </w:t>
            </w:r>
            <w:r>
              <w:rPr>
                <w:rFonts w:eastAsia="Times New Roman" w:cs="Times New Roman"/>
                <w:sz w:val="18"/>
              </w:rPr>
              <w:lastRenderedPageBreak/>
              <w:t>networks (mostly USA)</w:t>
            </w:r>
          </w:p>
        </w:tc>
        <w:tc>
          <w:tcPr>
            <w:tcW w:w="2500" w:type="dxa"/>
          </w:tcPr>
          <w:p w14:paraId="7D6E05EF" w14:textId="77777777" w:rsidR="00A82ED9" w:rsidRDefault="00000000">
            <w:r>
              <w:rPr>
                <w:rFonts w:eastAsia="Times New Roman" w:cs="Times New Roman"/>
                <w:sz w:val="18"/>
              </w:rPr>
              <w:lastRenderedPageBreak/>
              <w:t xml:space="preserve">Public multi-site quality data; open sharing; stronger </w:t>
            </w:r>
            <w:r>
              <w:rPr>
                <w:rFonts w:eastAsia="Times New Roman" w:cs="Times New Roman"/>
                <w:sz w:val="18"/>
              </w:rPr>
              <w:lastRenderedPageBreak/>
              <w:t>baselines; probabilistic, longer-horizon, hybrid work</w:t>
            </w:r>
          </w:p>
        </w:tc>
      </w:tr>
      <w:tr w:rsidR="00AE3532" w14:paraId="69A35CED" w14:textId="77777777">
        <w:tc>
          <w:tcPr>
            <w:tcW w:w="1500" w:type="dxa"/>
          </w:tcPr>
          <w:p w14:paraId="29224C77" w14:textId="77777777" w:rsidR="00A82ED9" w:rsidRDefault="00000000">
            <w:r>
              <w:rPr>
                <w:rFonts w:eastAsia="Times New Roman" w:cs="Times New Roman"/>
                <w:sz w:val="18"/>
              </w:rPr>
              <w:t>Jailani et al., 2023 [</w:t>
            </w:r>
            <w:hyperlink w:anchor="ref_27" w:history="1">
              <w:r>
                <w:rPr>
                  <w:rFonts w:eastAsia="Times New Roman" w:cs="Times New Roman"/>
                  <w:color w:val="0563C1"/>
                  <w:sz w:val="18"/>
                </w:rPr>
                <w:t>27</w:t>
              </w:r>
            </w:hyperlink>
            <w:r>
              <w:rPr>
                <w:rFonts w:eastAsia="Times New Roman" w:cs="Times New Roman"/>
                <w:sz w:val="18"/>
              </w:rPr>
              <w:t>]</w:t>
            </w:r>
          </w:p>
        </w:tc>
        <w:tc>
          <w:tcPr>
            <w:tcW w:w="1500" w:type="dxa"/>
          </w:tcPr>
          <w:p w14:paraId="23DC484D" w14:textId="77777777" w:rsidR="00A82ED9" w:rsidRDefault="00000000">
            <w:r>
              <w:rPr>
                <w:rFonts w:eastAsia="Times New Roman" w:cs="Times New Roman"/>
                <w:sz w:val="18"/>
              </w:rPr>
              <w:t>LSTM and LSTM hybrids</w:t>
            </w:r>
          </w:p>
        </w:tc>
        <w:tc>
          <w:tcPr>
            <w:tcW w:w="1500" w:type="dxa"/>
          </w:tcPr>
          <w:p w14:paraId="54CE737F" w14:textId="77777777" w:rsidR="00A82ED9" w:rsidRDefault="00000000">
            <w:r>
              <w:rPr>
                <w:rFonts w:eastAsia="Times New Roman" w:cs="Times New Roman"/>
                <w:sz w:val="18"/>
              </w:rPr>
              <w:t>Narrative comparison</w:t>
            </w:r>
          </w:p>
        </w:tc>
        <w:tc>
          <w:tcPr>
            <w:tcW w:w="1640" w:type="dxa"/>
          </w:tcPr>
          <w:p w14:paraId="0F31B634" w14:textId="77777777" w:rsidR="00A82ED9" w:rsidRDefault="00000000">
            <w:r>
              <w:rPr>
                <w:rFonts w:eastAsia="Times New Roman" w:cs="Times New Roman"/>
                <w:sz w:val="18"/>
              </w:rPr>
              <w:t>DKASC Alice Springs, Texas 34 sites</w:t>
            </w:r>
          </w:p>
        </w:tc>
        <w:tc>
          <w:tcPr>
            <w:tcW w:w="2500" w:type="dxa"/>
          </w:tcPr>
          <w:p w14:paraId="0127A9A2" w14:textId="77777777" w:rsidR="00A82ED9" w:rsidRDefault="00000000">
            <w:r>
              <w:rPr>
                <w:rFonts w:eastAsia="Times New Roman" w:cs="Times New Roman"/>
                <w:sz w:val="18"/>
              </w:rPr>
              <w:t>Differing metrics, weather, horizons; code/data rarely shared; medium/long-term horizons</w:t>
            </w:r>
          </w:p>
        </w:tc>
      </w:tr>
      <w:tr w:rsidR="00AE3532" w14:paraId="446849F6" w14:textId="77777777">
        <w:tc>
          <w:tcPr>
            <w:tcW w:w="1500" w:type="dxa"/>
          </w:tcPr>
          <w:p w14:paraId="3B30EF54" w14:textId="77777777" w:rsidR="00A82ED9" w:rsidRDefault="00000000">
            <w:r>
              <w:rPr>
                <w:rFonts w:eastAsia="Times New Roman" w:cs="Times New Roman"/>
                <w:sz w:val="18"/>
              </w:rPr>
              <w:t>Iheanetu, 2022 [</w:t>
            </w:r>
            <w:hyperlink w:anchor="ref_28" w:history="1">
              <w:r>
                <w:rPr>
                  <w:rFonts w:eastAsia="Times New Roman" w:cs="Times New Roman"/>
                  <w:color w:val="0563C1"/>
                  <w:sz w:val="18"/>
                </w:rPr>
                <w:t>28</w:t>
              </w:r>
            </w:hyperlink>
            <w:r>
              <w:rPr>
                <w:rFonts w:eastAsia="Times New Roman" w:cs="Times New Roman"/>
                <w:sz w:val="18"/>
              </w:rPr>
              <w:t>]</w:t>
            </w:r>
          </w:p>
        </w:tc>
        <w:tc>
          <w:tcPr>
            <w:tcW w:w="1500" w:type="dxa"/>
          </w:tcPr>
          <w:p w14:paraId="5F5A38CA" w14:textId="77777777" w:rsidR="00A82ED9" w:rsidRDefault="00000000">
            <w:r>
              <w:rPr>
                <w:rFonts w:eastAsia="Times New Roman" w:cs="Times New Roman"/>
                <w:sz w:val="18"/>
              </w:rPr>
              <w:t>Data-driven PV techniques</w:t>
            </w:r>
          </w:p>
        </w:tc>
        <w:tc>
          <w:tcPr>
            <w:tcW w:w="1500" w:type="dxa"/>
          </w:tcPr>
          <w:p w14:paraId="23417DF8" w14:textId="77777777" w:rsidR="00A82ED9" w:rsidRDefault="00000000">
            <w:r>
              <w:rPr>
                <w:rFonts w:eastAsia="Times New Roman" w:cs="Times New Roman"/>
                <w:sz w:val="18"/>
              </w:rPr>
              <w:t>Narrative survey</w:t>
            </w:r>
          </w:p>
        </w:tc>
        <w:tc>
          <w:tcPr>
            <w:tcW w:w="1640" w:type="dxa"/>
          </w:tcPr>
          <w:p w14:paraId="228A4BBE" w14:textId="77777777" w:rsidR="00A82ED9" w:rsidRDefault="00000000">
            <w:r>
              <w:rPr>
                <w:rFonts w:eastAsia="Times New Roman" w:cs="Times New Roman"/>
                <w:sz w:val="18"/>
              </w:rPr>
              <w:t>None named</w:t>
            </w:r>
          </w:p>
        </w:tc>
        <w:tc>
          <w:tcPr>
            <w:tcW w:w="2500" w:type="dxa"/>
          </w:tcPr>
          <w:p w14:paraId="2E8877CA" w14:textId="77777777" w:rsidR="00A82ED9" w:rsidRDefault="00000000">
            <w:r>
              <w:rPr>
                <w:rFonts w:eastAsia="Times New Roman" w:cs="Times New Roman"/>
                <w:sz w:val="18"/>
              </w:rPr>
              <w:t>Weather-forecast dependence; compute for longer horizons; input selection; degradation losses; standard metrics</w:t>
            </w:r>
          </w:p>
        </w:tc>
      </w:tr>
      <w:tr w:rsidR="00AE3532" w14:paraId="1A5E060A" w14:textId="77777777">
        <w:tc>
          <w:tcPr>
            <w:tcW w:w="1500" w:type="dxa"/>
          </w:tcPr>
          <w:p w14:paraId="6FEA4A71" w14:textId="77777777" w:rsidR="00A82ED9" w:rsidRDefault="00000000">
            <w:r>
              <w:rPr>
                <w:rFonts w:eastAsia="Times New Roman" w:cs="Times New Roman"/>
                <w:sz w:val="18"/>
              </w:rPr>
              <w:t>Mohamad Radzi et al., 2023 [</w:t>
            </w:r>
            <w:hyperlink w:anchor="ref_29" w:history="1">
              <w:r>
                <w:rPr>
                  <w:rFonts w:eastAsia="Times New Roman" w:cs="Times New Roman"/>
                  <w:color w:val="0563C1"/>
                  <w:sz w:val="18"/>
                </w:rPr>
                <w:t>29</w:t>
              </w:r>
            </w:hyperlink>
            <w:r>
              <w:rPr>
                <w:rFonts w:eastAsia="Times New Roman" w:cs="Times New Roman"/>
                <w:sz w:val="18"/>
              </w:rPr>
              <w:t>]</w:t>
            </w:r>
          </w:p>
        </w:tc>
        <w:tc>
          <w:tcPr>
            <w:tcW w:w="1500" w:type="dxa"/>
          </w:tcPr>
          <w:p w14:paraId="0A36B65C" w14:textId="77777777" w:rsidR="00A82ED9" w:rsidRDefault="00000000">
            <w:r>
              <w:rPr>
                <w:rFonts w:eastAsia="Times New Roman" w:cs="Times New Roman"/>
                <w:sz w:val="18"/>
              </w:rPr>
              <w:t>Neural network models</w:t>
            </w:r>
          </w:p>
        </w:tc>
        <w:tc>
          <w:tcPr>
            <w:tcW w:w="1500" w:type="dxa"/>
          </w:tcPr>
          <w:p w14:paraId="6FFE8AB6" w14:textId="77777777" w:rsidR="00A82ED9" w:rsidRDefault="00000000">
            <w:r>
              <w:rPr>
                <w:rFonts w:eastAsia="Times New Roman" w:cs="Times New Roman"/>
                <w:sz w:val="18"/>
              </w:rPr>
              <w:t>Narrative review</w:t>
            </w:r>
          </w:p>
        </w:tc>
        <w:tc>
          <w:tcPr>
            <w:tcW w:w="1640" w:type="dxa"/>
          </w:tcPr>
          <w:p w14:paraId="131C572A" w14:textId="77777777" w:rsidR="00A82ED9" w:rsidRDefault="00000000">
            <w:r>
              <w:rPr>
                <w:rFonts w:eastAsia="Times New Roman" w:cs="Times New Roman"/>
                <w:sz w:val="18"/>
              </w:rPr>
              <w:t xml:space="preserve">Alice Springs, </w:t>
            </w:r>
            <w:proofErr w:type="spellStart"/>
            <w:r>
              <w:rPr>
                <w:rFonts w:eastAsia="Times New Roman" w:cs="Times New Roman"/>
                <w:sz w:val="18"/>
              </w:rPr>
              <w:t>Yulara</w:t>
            </w:r>
            <w:proofErr w:type="spellEnd"/>
            <w:r>
              <w:rPr>
                <w:rFonts w:eastAsia="Times New Roman" w:cs="Times New Roman"/>
                <w:sz w:val="18"/>
              </w:rPr>
              <w:t xml:space="preserve"> sites</w:t>
            </w:r>
          </w:p>
        </w:tc>
        <w:tc>
          <w:tcPr>
            <w:tcW w:w="2500" w:type="dxa"/>
          </w:tcPr>
          <w:p w14:paraId="4148A13A" w14:textId="77777777" w:rsidR="00A82ED9" w:rsidRDefault="00000000">
            <w:r>
              <w:rPr>
                <w:rFonts w:eastAsia="Times New Roman" w:cs="Times New Roman"/>
                <w:sz w:val="18"/>
              </w:rPr>
              <w:t>Longer-horizon accuracy; weather classification; input selection; overfitting; small data; RNN gradients</w:t>
            </w:r>
          </w:p>
        </w:tc>
      </w:tr>
      <w:tr w:rsidR="00AE3532" w14:paraId="687B19E1" w14:textId="77777777">
        <w:tc>
          <w:tcPr>
            <w:tcW w:w="1500" w:type="dxa"/>
          </w:tcPr>
          <w:p w14:paraId="241A6A8D" w14:textId="77777777" w:rsidR="00A82ED9" w:rsidRDefault="00000000">
            <w:proofErr w:type="spellStart"/>
            <w:r>
              <w:rPr>
                <w:rFonts w:eastAsia="Times New Roman" w:cs="Times New Roman"/>
                <w:sz w:val="18"/>
              </w:rPr>
              <w:t>Gaboitaolelwe</w:t>
            </w:r>
            <w:proofErr w:type="spellEnd"/>
            <w:r>
              <w:rPr>
                <w:rFonts w:eastAsia="Times New Roman" w:cs="Times New Roman"/>
                <w:sz w:val="18"/>
              </w:rPr>
              <w:t xml:space="preserve"> et al., 2023 [</w:t>
            </w:r>
            <w:hyperlink w:anchor="ref_30" w:history="1">
              <w:r>
                <w:rPr>
                  <w:rFonts w:eastAsia="Times New Roman" w:cs="Times New Roman"/>
                  <w:color w:val="0563C1"/>
                  <w:sz w:val="18"/>
                </w:rPr>
                <w:t>30</w:t>
              </w:r>
            </w:hyperlink>
            <w:r>
              <w:rPr>
                <w:rFonts w:eastAsia="Times New Roman" w:cs="Times New Roman"/>
                <w:sz w:val="18"/>
              </w:rPr>
              <w:t>]</w:t>
            </w:r>
          </w:p>
        </w:tc>
        <w:tc>
          <w:tcPr>
            <w:tcW w:w="1500" w:type="dxa"/>
          </w:tcPr>
          <w:p w14:paraId="2476708D" w14:textId="77777777" w:rsidR="00A82ED9" w:rsidRDefault="00000000">
            <w:r>
              <w:rPr>
                <w:rFonts w:eastAsia="Times New Roman" w:cs="Times New Roman"/>
                <w:sz w:val="18"/>
              </w:rPr>
              <w:t>Short-term ML vs persistence</w:t>
            </w:r>
          </w:p>
        </w:tc>
        <w:tc>
          <w:tcPr>
            <w:tcW w:w="1500" w:type="dxa"/>
          </w:tcPr>
          <w:p w14:paraId="6EC89614" w14:textId="77777777" w:rsidR="00A82ED9" w:rsidRDefault="00000000">
            <w:r>
              <w:rPr>
                <w:rFonts w:eastAsia="Times New Roman" w:cs="Times New Roman"/>
                <w:sz w:val="18"/>
              </w:rPr>
              <w:t>Review + experiment</w:t>
            </w:r>
          </w:p>
        </w:tc>
        <w:tc>
          <w:tcPr>
            <w:tcW w:w="1640" w:type="dxa"/>
          </w:tcPr>
          <w:p w14:paraId="20327AB3" w14:textId="77777777" w:rsidR="00A82ED9" w:rsidRDefault="00000000">
            <w:r>
              <w:rPr>
                <w:rFonts w:eastAsia="Times New Roman" w:cs="Times New Roman"/>
                <w:sz w:val="18"/>
              </w:rPr>
              <w:t>Utrecht rooftop PV (175 systems, 1-min), ECMWF</w:t>
            </w:r>
          </w:p>
        </w:tc>
        <w:tc>
          <w:tcPr>
            <w:tcW w:w="2500" w:type="dxa"/>
          </w:tcPr>
          <w:p w14:paraId="4B99DB33" w14:textId="77777777" w:rsidR="00A82ED9" w:rsidRDefault="00000000">
            <w:r>
              <w:rPr>
                <w:rFonts w:eastAsia="Times New Roman" w:cs="Times New Roman"/>
                <w:sz w:val="18"/>
              </w:rPr>
              <w:t>Normalised errors and site reporting; location transferability; adverse weather; NWP inputs; deep and probabilistic models</w:t>
            </w:r>
          </w:p>
        </w:tc>
      </w:tr>
      <w:tr w:rsidR="00AE3532" w14:paraId="6D597A42" w14:textId="77777777">
        <w:tc>
          <w:tcPr>
            <w:tcW w:w="1500" w:type="dxa"/>
          </w:tcPr>
          <w:p w14:paraId="559CAB39" w14:textId="77777777" w:rsidR="00A82ED9" w:rsidRDefault="00000000">
            <w:proofErr w:type="spellStart"/>
            <w:r>
              <w:rPr>
                <w:rFonts w:eastAsia="Times New Roman" w:cs="Times New Roman"/>
                <w:sz w:val="18"/>
              </w:rPr>
              <w:t>Dimd</w:t>
            </w:r>
            <w:proofErr w:type="spellEnd"/>
            <w:r>
              <w:rPr>
                <w:rFonts w:eastAsia="Times New Roman" w:cs="Times New Roman"/>
                <w:sz w:val="18"/>
              </w:rPr>
              <w:t xml:space="preserve"> et al., 2022 [</w:t>
            </w:r>
            <w:hyperlink w:anchor="ref_31" w:history="1">
              <w:r>
                <w:rPr>
                  <w:rFonts w:eastAsia="Times New Roman" w:cs="Times New Roman"/>
                  <w:color w:val="0563C1"/>
                  <w:sz w:val="18"/>
                </w:rPr>
                <w:t>31</w:t>
              </w:r>
            </w:hyperlink>
            <w:r>
              <w:rPr>
                <w:rFonts w:eastAsia="Times New Roman" w:cs="Times New Roman"/>
                <w:sz w:val="18"/>
              </w:rPr>
              <w:t>]</w:t>
            </w:r>
          </w:p>
        </w:tc>
        <w:tc>
          <w:tcPr>
            <w:tcW w:w="1500" w:type="dxa"/>
          </w:tcPr>
          <w:p w14:paraId="7661856B" w14:textId="77777777" w:rsidR="00A82ED9" w:rsidRDefault="00000000">
            <w:r>
              <w:rPr>
                <w:rFonts w:eastAsia="Times New Roman" w:cs="Times New Roman"/>
                <w:sz w:val="18"/>
              </w:rPr>
              <w:t>Nordic cold-climate PV</w:t>
            </w:r>
          </w:p>
        </w:tc>
        <w:tc>
          <w:tcPr>
            <w:tcW w:w="1500" w:type="dxa"/>
          </w:tcPr>
          <w:p w14:paraId="1648404D" w14:textId="77777777" w:rsidR="00A82ED9" w:rsidRDefault="00000000">
            <w:r>
              <w:rPr>
                <w:rFonts w:eastAsia="Times New Roman" w:cs="Times New Roman"/>
                <w:sz w:val="18"/>
              </w:rPr>
              <w:t>Narrative review</w:t>
            </w:r>
          </w:p>
        </w:tc>
        <w:tc>
          <w:tcPr>
            <w:tcW w:w="1640" w:type="dxa"/>
          </w:tcPr>
          <w:p w14:paraId="6CD78923" w14:textId="77777777" w:rsidR="00A82ED9" w:rsidRDefault="00000000">
            <w:r>
              <w:rPr>
                <w:rFonts w:eastAsia="Times New Roman" w:cs="Times New Roman"/>
                <w:sz w:val="18"/>
              </w:rPr>
              <w:t>NTNU Trondheim rooftop PV</w:t>
            </w:r>
          </w:p>
        </w:tc>
        <w:tc>
          <w:tcPr>
            <w:tcW w:w="2500" w:type="dxa"/>
          </w:tcPr>
          <w:p w14:paraId="23B4E247" w14:textId="77777777" w:rsidR="00A82ED9" w:rsidRDefault="00000000">
            <w:r>
              <w:rPr>
                <w:rFonts w:eastAsia="Times New Roman" w:cs="Times New Roman"/>
                <w:sz w:val="18"/>
              </w:rPr>
              <w:t>Snow soiling and albedo; snow data; cross-horizon studies; regional upscaling</w:t>
            </w:r>
          </w:p>
        </w:tc>
      </w:tr>
      <w:tr w:rsidR="00AE3532" w14:paraId="196EC921" w14:textId="77777777">
        <w:tc>
          <w:tcPr>
            <w:tcW w:w="1500" w:type="dxa"/>
          </w:tcPr>
          <w:p w14:paraId="1CB42639" w14:textId="77777777" w:rsidR="00A82ED9" w:rsidRDefault="00000000">
            <w:r>
              <w:rPr>
                <w:rFonts w:eastAsia="Times New Roman" w:cs="Times New Roman"/>
                <w:sz w:val="18"/>
              </w:rPr>
              <w:t>Wu et al., 2022 [</w:t>
            </w:r>
            <w:hyperlink w:anchor="ref_32" w:history="1">
              <w:r>
                <w:rPr>
                  <w:rFonts w:eastAsia="Times New Roman" w:cs="Times New Roman"/>
                  <w:color w:val="0563C1"/>
                  <w:sz w:val="18"/>
                </w:rPr>
                <w:t>32</w:t>
              </w:r>
            </w:hyperlink>
            <w:r>
              <w:rPr>
                <w:rFonts w:eastAsia="Times New Roman" w:cs="Times New Roman"/>
                <w:sz w:val="18"/>
              </w:rPr>
              <w:t>]</w:t>
            </w:r>
          </w:p>
        </w:tc>
        <w:tc>
          <w:tcPr>
            <w:tcW w:w="1500" w:type="dxa"/>
          </w:tcPr>
          <w:p w14:paraId="462B1014" w14:textId="77777777" w:rsidR="00A82ED9" w:rsidRDefault="00000000">
            <w:r>
              <w:rPr>
                <w:rFonts w:eastAsia="Times New Roman" w:cs="Times New Roman"/>
                <w:sz w:val="18"/>
              </w:rPr>
              <w:t>ML/DL approaches and optimisers</w:t>
            </w:r>
          </w:p>
        </w:tc>
        <w:tc>
          <w:tcPr>
            <w:tcW w:w="1500" w:type="dxa"/>
          </w:tcPr>
          <w:p w14:paraId="7D14B205" w14:textId="77777777" w:rsidR="00A82ED9" w:rsidRDefault="00000000">
            <w:r>
              <w:rPr>
                <w:rFonts w:eastAsia="Times New Roman" w:cs="Times New Roman"/>
                <w:sz w:val="18"/>
              </w:rPr>
              <w:t>Narrative review</w:t>
            </w:r>
          </w:p>
        </w:tc>
        <w:tc>
          <w:tcPr>
            <w:tcW w:w="1640" w:type="dxa"/>
          </w:tcPr>
          <w:p w14:paraId="1DFE5318" w14:textId="77777777" w:rsidR="00A82ED9" w:rsidRDefault="00000000">
            <w:r>
              <w:rPr>
                <w:rFonts w:eastAsia="Times New Roman" w:cs="Times New Roman"/>
                <w:sz w:val="18"/>
              </w:rPr>
              <w:t>None named</w:t>
            </w:r>
          </w:p>
        </w:tc>
        <w:tc>
          <w:tcPr>
            <w:tcW w:w="2500" w:type="dxa"/>
          </w:tcPr>
          <w:p w14:paraId="40C67B23" w14:textId="77777777" w:rsidR="00A82ED9" w:rsidRDefault="00000000">
            <w:r>
              <w:rPr>
                <w:rFonts w:eastAsia="Times New Roman" w:cs="Times New Roman"/>
                <w:sz w:val="18"/>
              </w:rPr>
              <w:t>NWP integration; attention models rare; data-collection mix; noisy/missing data; probabilistic forecasting</w:t>
            </w:r>
          </w:p>
        </w:tc>
      </w:tr>
      <w:tr w:rsidR="00AE3532" w14:paraId="1741A85C" w14:textId="77777777">
        <w:tc>
          <w:tcPr>
            <w:tcW w:w="1500" w:type="dxa"/>
          </w:tcPr>
          <w:p w14:paraId="4A26C18B" w14:textId="77777777" w:rsidR="00A82ED9" w:rsidRDefault="00000000">
            <w:r>
              <w:rPr>
                <w:rFonts w:eastAsia="Times New Roman" w:cs="Times New Roman"/>
                <w:sz w:val="18"/>
              </w:rPr>
              <w:t>Liu et al., 2022 [</w:t>
            </w:r>
            <w:hyperlink w:anchor="ref_33" w:history="1">
              <w:r>
                <w:rPr>
                  <w:rFonts w:eastAsia="Times New Roman" w:cs="Times New Roman"/>
                  <w:color w:val="0563C1"/>
                  <w:sz w:val="18"/>
                </w:rPr>
                <w:t>33</w:t>
              </w:r>
            </w:hyperlink>
            <w:r>
              <w:rPr>
                <w:rFonts w:eastAsia="Times New Roman" w:cs="Times New Roman"/>
                <w:sz w:val="18"/>
              </w:rPr>
              <w:t>]</w:t>
            </w:r>
          </w:p>
        </w:tc>
        <w:tc>
          <w:tcPr>
            <w:tcW w:w="1500" w:type="dxa"/>
          </w:tcPr>
          <w:p w14:paraId="4BDBC112" w14:textId="77777777" w:rsidR="00A82ED9" w:rsidRDefault="00000000">
            <w:r>
              <w:rPr>
                <w:rFonts w:eastAsia="Times New Roman" w:cs="Times New Roman"/>
                <w:sz w:val="18"/>
              </w:rPr>
              <w:t>Temporal and spatial scales</w:t>
            </w:r>
          </w:p>
        </w:tc>
        <w:tc>
          <w:tcPr>
            <w:tcW w:w="1500" w:type="dxa"/>
          </w:tcPr>
          <w:p w14:paraId="488AA5A2" w14:textId="77777777" w:rsidR="00A82ED9" w:rsidRDefault="00000000">
            <w:r>
              <w:rPr>
                <w:rFonts w:eastAsia="Times New Roman" w:cs="Times New Roman"/>
                <w:sz w:val="18"/>
              </w:rPr>
              <w:t>Narrative taxonomy</w:t>
            </w:r>
          </w:p>
        </w:tc>
        <w:tc>
          <w:tcPr>
            <w:tcW w:w="1640" w:type="dxa"/>
          </w:tcPr>
          <w:p w14:paraId="0A010661" w14:textId="77777777" w:rsidR="00A82ED9" w:rsidRDefault="00000000">
            <w:r>
              <w:rPr>
                <w:rFonts w:eastAsia="Times New Roman" w:cs="Times New Roman"/>
                <w:sz w:val="18"/>
              </w:rPr>
              <w:t>None named</w:t>
            </w:r>
          </w:p>
        </w:tc>
        <w:tc>
          <w:tcPr>
            <w:tcW w:w="2500" w:type="dxa"/>
          </w:tcPr>
          <w:p w14:paraId="645E7880" w14:textId="77777777" w:rsidR="00A82ED9" w:rsidRDefault="00000000">
            <w:r>
              <w:rPr>
                <w:rFonts w:eastAsia="Times New Roman" w:cs="Times New Roman"/>
                <w:sz w:val="18"/>
              </w:rPr>
              <w:t>No uniform evaluation standard; few regional studies; nonlinear models; feature extraction; regional upscaling</w:t>
            </w:r>
          </w:p>
        </w:tc>
      </w:tr>
      <w:tr w:rsidR="00AE3532" w14:paraId="44A81B29" w14:textId="77777777">
        <w:tc>
          <w:tcPr>
            <w:tcW w:w="1500" w:type="dxa"/>
          </w:tcPr>
          <w:p w14:paraId="4CE48D70" w14:textId="77777777" w:rsidR="00A82ED9" w:rsidRDefault="00000000">
            <w:r>
              <w:rPr>
                <w:rFonts w:eastAsia="Times New Roman" w:cs="Times New Roman"/>
                <w:sz w:val="18"/>
              </w:rPr>
              <w:t>Gupta and Singh, 2021 [</w:t>
            </w:r>
            <w:hyperlink w:anchor="ref_34" w:history="1">
              <w:r>
                <w:rPr>
                  <w:rFonts w:eastAsia="Times New Roman" w:cs="Times New Roman"/>
                  <w:color w:val="0563C1"/>
                  <w:sz w:val="18"/>
                </w:rPr>
                <w:t>34</w:t>
              </w:r>
            </w:hyperlink>
            <w:r>
              <w:rPr>
                <w:rFonts w:eastAsia="Times New Roman" w:cs="Times New Roman"/>
                <w:sz w:val="18"/>
              </w:rPr>
              <w:t>]</w:t>
            </w:r>
          </w:p>
        </w:tc>
        <w:tc>
          <w:tcPr>
            <w:tcW w:w="1500" w:type="dxa"/>
          </w:tcPr>
          <w:p w14:paraId="7712EE7B" w14:textId="77777777" w:rsidR="00A82ED9" w:rsidRDefault="00000000">
            <w:r>
              <w:rPr>
                <w:rFonts w:eastAsia="Times New Roman" w:cs="Times New Roman"/>
                <w:sz w:val="18"/>
              </w:rPr>
              <w:t>Direct vs indirect data-driven</w:t>
            </w:r>
          </w:p>
        </w:tc>
        <w:tc>
          <w:tcPr>
            <w:tcW w:w="1500" w:type="dxa"/>
          </w:tcPr>
          <w:p w14:paraId="2C53DAFF" w14:textId="77777777" w:rsidR="00A82ED9" w:rsidRDefault="00000000">
            <w:r>
              <w:rPr>
                <w:rFonts w:eastAsia="Times New Roman" w:cs="Times New Roman"/>
                <w:sz w:val="18"/>
              </w:rPr>
              <w:t>Narrative review</w:t>
            </w:r>
          </w:p>
        </w:tc>
        <w:tc>
          <w:tcPr>
            <w:tcW w:w="1640" w:type="dxa"/>
          </w:tcPr>
          <w:p w14:paraId="28053B49" w14:textId="77777777" w:rsidR="00A82ED9" w:rsidRDefault="00000000">
            <w:r>
              <w:rPr>
                <w:rFonts w:eastAsia="Times New Roman" w:cs="Times New Roman"/>
                <w:sz w:val="18"/>
              </w:rPr>
              <w:t>None named</w:t>
            </w:r>
          </w:p>
        </w:tc>
        <w:tc>
          <w:tcPr>
            <w:tcW w:w="2500" w:type="dxa"/>
          </w:tcPr>
          <w:p w14:paraId="6BC02068" w14:textId="77777777" w:rsidR="00A82ED9" w:rsidRDefault="00000000">
            <w:r>
              <w:rPr>
                <w:rFonts w:eastAsia="Times New Roman" w:cs="Times New Roman"/>
                <w:sz w:val="18"/>
              </w:rPr>
              <w:t>No universal model; DL underused; accuracy vs compute; wavelet choice; new plants without history</w:t>
            </w:r>
          </w:p>
        </w:tc>
      </w:tr>
      <w:tr w:rsidR="00AE3532" w14:paraId="463A048C" w14:textId="77777777">
        <w:tc>
          <w:tcPr>
            <w:tcW w:w="1500" w:type="dxa"/>
          </w:tcPr>
          <w:p w14:paraId="0026C499" w14:textId="77777777" w:rsidR="00A82ED9" w:rsidRDefault="00000000">
            <w:r>
              <w:rPr>
                <w:rFonts w:eastAsia="Times New Roman" w:cs="Times New Roman"/>
                <w:sz w:val="18"/>
              </w:rPr>
              <w:t>Alkabbani et al., 2021 [</w:t>
            </w:r>
            <w:hyperlink w:anchor="ref_35" w:history="1">
              <w:r>
                <w:rPr>
                  <w:rFonts w:eastAsia="Times New Roman" w:cs="Times New Roman"/>
                  <w:color w:val="0563C1"/>
                  <w:sz w:val="18"/>
                </w:rPr>
                <w:t>35</w:t>
              </w:r>
            </w:hyperlink>
            <w:r>
              <w:rPr>
                <w:rFonts w:eastAsia="Times New Roman" w:cs="Times New Roman"/>
                <w:sz w:val="18"/>
              </w:rPr>
              <w:t>]</w:t>
            </w:r>
          </w:p>
        </w:tc>
        <w:tc>
          <w:tcPr>
            <w:tcW w:w="1500" w:type="dxa"/>
          </w:tcPr>
          <w:p w14:paraId="6A50C6BF" w14:textId="77777777" w:rsidR="00A82ED9" w:rsidRDefault="00000000">
            <w:r>
              <w:rPr>
                <w:rFonts w:eastAsia="Times New Roman" w:cs="Times New Roman"/>
                <w:sz w:val="18"/>
              </w:rPr>
              <w:t>Metaheuristic-tuned ML</w:t>
            </w:r>
          </w:p>
        </w:tc>
        <w:tc>
          <w:tcPr>
            <w:tcW w:w="1500" w:type="dxa"/>
          </w:tcPr>
          <w:p w14:paraId="37E56AD3" w14:textId="77777777" w:rsidR="00A82ED9" w:rsidRDefault="00000000">
            <w:r>
              <w:rPr>
                <w:rFonts w:eastAsia="Times New Roman" w:cs="Times New Roman"/>
                <w:sz w:val="18"/>
              </w:rPr>
              <w:t>Categorization review</w:t>
            </w:r>
          </w:p>
        </w:tc>
        <w:tc>
          <w:tcPr>
            <w:tcW w:w="1640" w:type="dxa"/>
          </w:tcPr>
          <w:p w14:paraId="773FF5EB" w14:textId="77777777" w:rsidR="00A82ED9" w:rsidRDefault="00000000">
            <w:r>
              <w:rPr>
                <w:rFonts w:eastAsia="Times New Roman" w:cs="Times New Roman"/>
                <w:sz w:val="18"/>
              </w:rPr>
              <w:t>None named</w:t>
            </w:r>
          </w:p>
        </w:tc>
        <w:tc>
          <w:tcPr>
            <w:tcW w:w="2500" w:type="dxa"/>
          </w:tcPr>
          <w:p w14:paraId="6BCA2D55" w14:textId="77777777" w:rsidR="00A82ED9" w:rsidRDefault="00000000">
            <w:r>
              <w:rPr>
                <w:rFonts w:eastAsia="Times New Roman" w:cs="Times New Roman"/>
                <w:sz w:val="18"/>
              </w:rPr>
              <w:t>Regional multi-site; probabilistic, multistep; undisclosed input-target links; longer horizons; metaheuristic training time</w:t>
            </w:r>
          </w:p>
        </w:tc>
      </w:tr>
      <w:tr w:rsidR="00AE3532" w14:paraId="240E48F4" w14:textId="77777777">
        <w:tc>
          <w:tcPr>
            <w:tcW w:w="1500" w:type="dxa"/>
          </w:tcPr>
          <w:p w14:paraId="3ACD53A3" w14:textId="77777777" w:rsidR="00A82ED9" w:rsidRDefault="00000000">
            <w:proofErr w:type="spellStart"/>
            <w:r>
              <w:rPr>
                <w:rFonts w:eastAsia="Times New Roman" w:cs="Times New Roman"/>
                <w:sz w:val="18"/>
              </w:rPr>
              <w:t>Massaoudi</w:t>
            </w:r>
            <w:proofErr w:type="spellEnd"/>
            <w:r>
              <w:rPr>
                <w:rFonts w:eastAsia="Times New Roman" w:cs="Times New Roman"/>
                <w:sz w:val="18"/>
              </w:rPr>
              <w:t xml:space="preserve"> et al., 2021 [</w:t>
            </w:r>
            <w:hyperlink w:anchor="ref_36" w:history="1">
              <w:r>
                <w:rPr>
                  <w:rFonts w:eastAsia="Times New Roman" w:cs="Times New Roman"/>
                  <w:color w:val="0563C1"/>
                  <w:sz w:val="18"/>
                </w:rPr>
                <w:t>36</w:t>
              </w:r>
            </w:hyperlink>
            <w:r>
              <w:rPr>
                <w:rFonts w:eastAsia="Times New Roman" w:cs="Times New Roman"/>
                <w:sz w:val="18"/>
              </w:rPr>
              <w:t>]</w:t>
            </w:r>
          </w:p>
        </w:tc>
        <w:tc>
          <w:tcPr>
            <w:tcW w:w="1500" w:type="dxa"/>
          </w:tcPr>
          <w:p w14:paraId="720E79D1" w14:textId="77777777" w:rsidR="00A82ED9" w:rsidRDefault="00000000">
            <w:r>
              <w:rPr>
                <w:rFonts w:eastAsia="Times New Roman" w:cs="Times New Roman"/>
                <w:sz w:val="18"/>
              </w:rPr>
              <w:t>DL taxonomy, probabilistic</w:t>
            </w:r>
          </w:p>
        </w:tc>
        <w:tc>
          <w:tcPr>
            <w:tcW w:w="1500" w:type="dxa"/>
          </w:tcPr>
          <w:p w14:paraId="30642C74" w14:textId="77777777" w:rsidR="00A82ED9" w:rsidRDefault="00000000">
            <w:r>
              <w:rPr>
                <w:rFonts w:eastAsia="Times New Roman" w:cs="Times New Roman"/>
                <w:sz w:val="18"/>
              </w:rPr>
              <w:t>SLR (PRISMA)</w:t>
            </w:r>
          </w:p>
        </w:tc>
        <w:tc>
          <w:tcPr>
            <w:tcW w:w="1640" w:type="dxa"/>
          </w:tcPr>
          <w:p w14:paraId="0E0A3CC7" w14:textId="77777777" w:rsidR="00A82ED9" w:rsidRDefault="00000000">
            <w:r>
              <w:rPr>
                <w:rFonts w:eastAsia="Times New Roman" w:cs="Times New Roman"/>
                <w:sz w:val="18"/>
              </w:rPr>
              <w:t>DKASC, NREL, NIST</w:t>
            </w:r>
          </w:p>
        </w:tc>
        <w:tc>
          <w:tcPr>
            <w:tcW w:w="2500" w:type="dxa"/>
          </w:tcPr>
          <w:p w14:paraId="39CA6194" w14:textId="77777777" w:rsidR="00A82ED9" w:rsidRDefault="00000000">
            <w:r>
              <w:rPr>
                <w:rFonts w:eastAsia="Times New Roman" w:cs="Times New Roman"/>
                <w:sz w:val="18"/>
              </w:rPr>
              <w:t>Cross-site generalization; standard metrics; real-world validation; data fusion; online learning; interpretability; longer horizons</w:t>
            </w:r>
          </w:p>
        </w:tc>
      </w:tr>
      <w:tr w:rsidR="00AE3532" w14:paraId="54303457" w14:textId="77777777">
        <w:tc>
          <w:tcPr>
            <w:tcW w:w="1500" w:type="dxa"/>
          </w:tcPr>
          <w:p w14:paraId="5311787B" w14:textId="77777777" w:rsidR="00A82ED9" w:rsidRDefault="00000000">
            <w:r>
              <w:rPr>
                <w:rFonts w:eastAsia="Times New Roman" w:cs="Times New Roman"/>
                <w:sz w:val="18"/>
              </w:rPr>
              <w:t>Saltos et al., 2026 [</w:t>
            </w:r>
            <w:hyperlink w:anchor="ref_37" w:history="1">
              <w:r>
                <w:rPr>
                  <w:rFonts w:eastAsia="Times New Roman" w:cs="Times New Roman"/>
                  <w:color w:val="0563C1"/>
                  <w:sz w:val="18"/>
                </w:rPr>
                <w:t>37</w:t>
              </w:r>
            </w:hyperlink>
            <w:r>
              <w:rPr>
                <w:rFonts w:eastAsia="Times New Roman" w:cs="Times New Roman"/>
                <w:sz w:val="18"/>
              </w:rPr>
              <w:t>]</w:t>
            </w:r>
          </w:p>
        </w:tc>
        <w:tc>
          <w:tcPr>
            <w:tcW w:w="1500" w:type="dxa"/>
          </w:tcPr>
          <w:p w14:paraId="6047D73B" w14:textId="77777777" w:rsidR="00A82ED9" w:rsidRDefault="00000000">
            <w:r>
              <w:rPr>
                <w:rFonts w:eastAsia="Times New Roman" w:cs="Times New Roman"/>
                <w:sz w:val="18"/>
              </w:rPr>
              <w:t>Short-term hybrid AI</w:t>
            </w:r>
          </w:p>
        </w:tc>
        <w:tc>
          <w:tcPr>
            <w:tcW w:w="1500" w:type="dxa"/>
          </w:tcPr>
          <w:p w14:paraId="3F18D663" w14:textId="77777777" w:rsidR="00A82ED9" w:rsidRDefault="00000000">
            <w:r>
              <w:rPr>
                <w:rFonts w:eastAsia="Times New Roman" w:cs="Times New Roman"/>
                <w:sz w:val="18"/>
              </w:rPr>
              <w:t>Database-search review</w:t>
            </w:r>
          </w:p>
        </w:tc>
        <w:tc>
          <w:tcPr>
            <w:tcW w:w="1640" w:type="dxa"/>
          </w:tcPr>
          <w:p w14:paraId="36E579A5" w14:textId="77777777" w:rsidR="00A82ED9" w:rsidRDefault="00000000">
            <w:r>
              <w:rPr>
                <w:rFonts w:eastAsia="Times New Roman" w:cs="Times New Roman"/>
                <w:sz w:val="18"/>
              </w:rPr>
              <w:t>None named</w:t>
            </w:r>
          </w:p>
        </w:tc>
        <w:tc>
          <w:tcPr>
            <w:tcW w:w="2500" w:type="dxa"/>
          </w:tcPr>
          <w:p w14:paraId="1C787514" w14:textId="77777777" w:rsidR="00A82ED9" w:rsidRDefault="00000000">
            <w:r>
              <w:rPr>
                <w:rFonts w:eastAsia="Times New Roman" w:cs="Times New Roman"/>
                <w:sz w:val="18"/>
              </w:rPr>
              <w:t>Inconsistent metrics, little uncertainty; open data, benchmarks; cross-regional validation; edge models; XAI; SCADA/EMS integration</w:t>
            </w:r>
          </w:p>
        </w:tc>
      </w:tr>
      <w:tr w:rsidR="00AE3532" w14:paraId="30EE770A" w14:textId="77777777">
        <w:tc>
          <w:tcPr>
            <w:tcW w:w="1500" w:type="dxa"/>
          </w:tcPr>
          <w:p w14:paraId="5854D0A9" w14:textId="77777777" w:rsidR="00A82ED9" w:rsidRDefault="00000000">
            <w:r>
              <w:rPr>
                <w:rFonts w:eastAsia="Times New Roman" w:cs="Times New Roman"/>
                <w:sz w:val="18"/>
              </w:rPr>
              <w:t>Pedram et al., 2025 [</w:t>
            </w:r>
            <w:hyperlink w:anchor="ref_38" w:history="1">
              <w:r>
                <w:rPr>
                  <w:rFonts w:eastAsia="Times New Roman" w:cs="Times New Roman"/>
                  <w:color w:val="0563C1"/>
                  <w:sz w:val="18"/>
                </w:rPr>
                <w:t>38</w:t>
              </w:r>
            </w:hyperlink>
            <w:r>
              <w:rPr>
                <w:rFonts w:eastAsia="Times New Roman" w:cs="Times New Roman"/>
                <w:sz w:val="18"/>
              </w:rPr>
              <w:t>]</w:t>
            </w:r>
          </w:p>
        </w:tc>
        <w:tc>
          <w:tcPr>
            <w:tcW w:w="1500" w:type="dxa"/>
          </w:tcPr>
          <w:p w14:paraId="48D5C22E" w14:textId="77777777" w:rsidR="00A82ED9" w:rsidRDefault="00000000">
            <w:r>
              <w:rPr>
                <w:rFonts w:eastAsia="Times New Roman" w:cs="Times New Roman"/>
                <w:sz w:val="18"/>
              </w:rPr>
              <w:t>Building PV (BIPV/BAPV)</w:t>
            </w:r>
          </w:p>
        </w:tc>
        <w:tc>
          <w:tcPr>
            <w:tcW w:w="1500" w:type="dxa"/>
          </w:tcPr>
          <w:p w14:paraId="4B872FEF" w14:textId="77777777" w:rsidR="00A82ED9" w:rsidRDefault="00000000">
            <w:r>
              <w:rPr>
                <w:rFonts w:eastAsia="Times New Roman" w:cs="Times New Roman"/>
                <w:sz w:val="18"/>
              </w:rPr>
              <w:t>Narrative review, Scopus, 89 articles</w:t>
            </w:r>
          </w:p>
        </w:tc>
        <w:tc>
          <w:tcPr>
            <w:tcW w:w="1640" w:type="dxa"/>
          </w:tcPr>
          <w:p w14:paraId="1C46B9C5" w14:textId="77777777" w:rsidR="00A82ED9" w:rsidRDefault="00000000">
            <w:r>
              <w:rPr>
                <w:rFonts w:eastAsia="Times New Roman" w:cs="Times New Roman"/>
                <w:sz w:val="18"/>
              </w:rPr>
              <w:t xml:space="preserve">NSRDB, PVGIS, </w:t>
            </w:r>
            <w:proofErr w:type="spellStart"/>
            <w:r>
              <w:rPr>
                <w:rFonts w:eastAsia="Times New Roman" w:cs="Times New Roman"/>
                <w:sz w:val="18"/>
              </w:rPr>
              <w:t>PVOutput</w:t>
            </w:r>
            <w:proofErr w:type="spellEnd"/>
            <w:r>
              <w:rPr>
                <w:rFonts w:eastAsia="Times New Roman" w:cs="Times New Roman"/>
                <w:sz w:val="18"/>
              </w:rPr>
              <w:t>, DKASC</w:t>
            </w:r>
          </w:p>
        </w:tc>
        <w:tc>
          <w:tcPr>
            <w:tcW w:w="2500" w:type="dxa"/>
          </w:tcPr>
          <w:p w14:paraId="60517B27" w14:textId="77777777" w:rsidR="00A82ED9" w:rsidRDefault="00000000">
            <w:r>
              <w:rPr>
                <w:rFonts w:eastAsia="Times New Roman" w:cs="Times New Roman"/>
                <w:sz w:val="18"/>
              </w:rPr>
              <w:t xml:space="preserve">Standard benchmarks; </w:t>
            </w:r>
            <w:proofErr w:type="spellStart"/>
            <w:r>
              <w:rPr>
                <w:rFonts w:eastAsia="Times New Roman" w:cs="Times New Roman"/>
                <w:sz w:val="18"/>
              </w:rPr>
              <w:t>normalised</w:t>
            </w:r>
            <w:proofErr w:type="spellEnd"/>
            <w:r>
              <w:rPr>
                <w:rFonts w:eastAsia="Times New Roman" w:cs="Times New Roman"/>
                <w:sz w:val="18"/>
              </w:rPr>
              <w:t xml:space="preserve"> metrics; imputation; </w:t>
            </w:r>
            <w:proofErr w:type="spellStart"/>
            <w:r>
              <w:rPr>
                <w:rFonts w:eastAsia="Times New Roman" w:cs="Times New Roman"/>
                <w:sz w:val="18"/>
              </w:rPr>
              <w:t>spatio</w:t>
            </w:r>
            <w:proofErr w:type="spellEnd"/>
            <w:r>
              <w:rPr>
                <w:rFonts w:eastAsia="Times New Roman" w:cs="Times New Roman"/>
                <w:sz w:val="18"/>
              </w:rPr>
              <w:t>-temporal models; online/federated learning; feature selection; EMS evaluation; BIPV data</w:t>
            </w:r>
          </w:p>
        </w:tc>
      </w:tr>
      <w:tr w:rsidR="00AE3532" w14:paraId="79CACED9" w14:textId="77777777">
        <w:tc>
          <w:tcPr>
            <w:tcW w:w="1500" w:type="dxa"/>
          </w:tcPr>
          <w:p w14:paraId="47597560" w14:textId="77777777" w:rsidR="00A82ED9" w:rsidRDefault="00000000">
            <w:r>
              <w:rPr>
                <w:rFonts w:eastAsia="Times New Roman" w:cs="Times New Roman"/>
                <w:sz w:val="18"/>
              </w:rPr>
              <w:t>Rodriguez-Aburto et al., 2025 [</w:t>
            </w:r>
            <w:hyperlink w:anchor="ref_39" w:history="1">
              <w:r>
                <w:rPr>
                  <w:rFonts w:eastAsia="Times New Roman" w:cs="Times New Roman"/>
                  <w:color w:val="0563C1"/>
                  <w:sz w:val="18"/>
                </w:rPr>
                <w:t>39</w:t>
              </w:r>
            </w:hyperlink>
            <w:r>
              <w:rPr>
                <w:rFonts w:eastAsia="Times New Roman" w:cs="Times New Roman"/>
                <w:sz w:val="18"/>
              </w:rPr>
              <w:t>]</w:t>
            </w:r>
          </w:p>
        </w:tc>
        <w:tc>
          <w:tcPr>
            <w:tcW w:w="1500" w:type="dxa"/>
          </w:tcPr>
          <w:p w14:paraId="4DF8CD4C" w14:textId="77777777" w:rsidR="00A82ED9" w:rsidRDefault="00000000">
            <w:r>
              <w:rPr>
                <w:rFonts w:eastAsia="Times New Roman" w:cs="Times New Roman"/>
                <w:sz w:val="18"/>
              </w:rPr>
              <w:t>ML PV with energy storage</w:t>
            </w:r>
          </w:p>
        </w:tc>
        <w:tc>
          <w:tcPr>
            <w:tcW w:w="1500" w:type="dxa"/>
          </w:tcPr>
          <w:p w14:paraId="5CE8CC40" w14:textId="77777777" w:rsidR="00A82ED9" w:rsidRDefault="00000000">
            <w:r>
              <w:rPr>
                <w:rFonts w:eastAsia="Times New Roman" w:cs="Times New Roman"/>
                <w:sz w:val="18"/>
              </w:rPr>
              <w:t>SLR + meta-analysis (k=5)</w:t>
            </w:r>
          </w:p>
        </w:tc>
        <w:tc>
          <w:tcPr>
            <w:tcW w:w="1640" w:type="dxa"/>
          </w:tcPr>
          <w:p w14:paraId="69F0A5D0" w14:textId="77777777" w:rsidR="00A82ED9" w:rsidRDefault="00000000">
            <w:r>
              <w:rPr>
                <w:rFonts w:eastAsia="Times New Roman" w:cs="Times New Roman"/>
                <w:sz w:val="18"/>
              </w:rPr>
              <w:t>None named</w:t>
            </w:r>
          </w:p>
        </w:tc>
        <w:tc>
          <w:tcPr>
            <w:tcW w:w="2500" w:type="dxa"/>
          </w:tcPr>
          <w:p w14:paraId="50161259" w14:textId="77777777" w:rsidR="00A82ED9" w:rsidRDefault="00000000">
            <w:r>
              <w:rPr>
                <w:rFonts w:eastAsia="Times New Roman" w:cs="Times New Roman"/>
                <w:sz w:val="18"/>
              </w:rPr>
              <w:t>Standard benchmarks; external validation; uncertainty; domain-shift, missing-data robustness; ESS control loop; XAI; synthetic data</w:t>
            </w:r>
          </w:p>
        </w:tc>
      </w:tr>
    </w:tbl>
    <w:p w14:paraId="746E57F6" w14:textId="77777777" w:rsidR="005B4D48" w:rsidRDefault="00000000">
      <w:pPr>
        <w:spacing w:after="240"/>
        <w:jc w:val="both"/>
      </w:pPr>
      <w:r>
        <w:rPr>
          <w:rFonts w:eastAsia="Times New Roman" w:cs="Times New Roman"/>
        </w:rPr>
        <w:t>The reviews are summarised below in five groups by focus, each opening with the gaps its reviews state most often.</w:t>
      </w:r>
    </w:p>
    <w:p w14:paraId="48315F65" w14:textId="77777777" w:rsidR="005B4D48" w:rsidRDefault="00000000">
      <w:pPr>
        <w:pStyle w:val="Heading2"/>
        <w:numPr>
          <w:ilvl w:val="1"/>
          <w:numId w:val="12"/>
        </w:numPr>
      </w:pPr>
      <w:r>
        <w:lastRenderedPageBreak/>
        <w:t>Broad reviews of ML and DL for PV forecasting</w:t>
      </w:r>
    </w:p>
    <w:p w14:paraId="2925763E" w14:textId="77777777" w:rsidR="005B4D48" w:rsidRDefault="00000000">
      <w:pPr>
        <w:spacing w:after="240"/>
        <w:jc w:val="both"/>
      </w:pPr>
      <w:r>
        <w:rPr>
          <w:rFonts w:eastAsia="Times New Roman" w:cs="Times New Roman"/>
        </w:rPr>
        <w:t>The most recurrent gaps are cross-site testing [</w:t>
      </w:r>
      <w:hyperlink w:anchor="ref_3" w:history="1">
        <w:r w:rsidR="005B4D48">
          <w:rPr>
            <w:rFonts w:eastAsia="Times New Roman" w:cs="Times New Roman"/>
            <w:color w:val="0563C1"/>
          </w:rPr>
          <w:t>3</w:t>
        </w:r>
      </w:hyperlink>
      <w:r>
        <w:rPr>
          <w:rFonts w:eastAsia="Times New Roman" w:cs="Times New Roman"/>
        </w:rPr>
        <w:t>], [</w:t>
      </w:r>
      <w:hyperlink w:anchor="ref_9" w:history="1">
        <w:r w:rsidR="005B4D48">
          <w:rPr>
            <w:rFonts w:eastAsia="Times New Roman" w:cs="Times New Roman"/>
            <w:color w:val="0563C1"/>
          </w:rPr>
          <w:t>9</w:t>
        </w:r>
      </w:hyperlink>
      <w:r>
        <w:rPr>
          <w:rFonts w:eastAsia="Times New Roman" w:cs="Times New Roman"/>
        </w:rPr>
        <w:t>], [</w:t>
      </w:r>
      <w:hyperlink w:anchor="ref_23" w:history="1">
        <w:r w:rsidR="005B4D48">
          <w:rPr>
            <w:rFonts w:eastAsia="Times New Roman" w:cs="Times New Roman"/>
            <w:color w:val="0563C1"/>
          </w:rPr>
          <w:t>23</w:t>
        </w:r>
      </w:hyperlink>
      <w:r>
        <w:rPr>
          <w:rFonts w:eastAsia="Times New Roman" w:cs="Times New Roman"/>
        </w:rPr>
        <w:t>] and a standard benchmark or metrics [</w:t>
      </w:r>
      <w:hyperlink w:anchor="ref_2" w:history="1">
        <w:r w:rsidR="005B4D48">
          <w:rPr>
            <w:rFonts w:eastAsia="Times New Roman" w:cs="Times New Roman"/>
            <w:color w:val="0563C1"/>
          </w:rPr>
          <w:t>2</w:t>
        </w:r>
      </w:hyperlink>
      <w:r>
        <w:rPr>
          <w:rFonts w:eastAsia="Times New Roman" w:cs="Times New Roman"/>
        </w:rPr>
        <w:t>], [</w:t>
      </w:r>
      <w:hyperlink w:anchor="ref_13" w:history="1">
        <w:r w:rsidR="005B4D48">
          <w:rPr>
            <w:rFonts w:eastAsia="Times New Roman" w:cs="Times New Roman"/>
            <w:color w:val="0563C1"/>
          </w:rPr>
          <w:t>13</w:t>
        </w:r>
      </w:hyperlink>
      <w:r>
        <w:rPr>
          <w:rFonts w:eastAsia="Times New Roman" w:cs="Times New Roman"/>
        </w:rPr>
        <w:t>], [</w:t>
      </w:r>
      <w:hyperlink w:anchor="ref_32" w:history="1">
        <w:r w:rsidR="005B4D48">
          <w:rPr>
            <w:rFonts w:eastAsia="Times New Roman" w:cs="Times New Roman"/>
            <w:color w:val="0563C1"/>
          </w:rPr>
          <w:t>32</w:t>
        </w:r>
      </w:hyperlink>
      <w:r>
        <w:rPr>
          <w:rFonts w:eastAsia="Times New Roman" w:cs="Times New Roman"/>
        </w:rPr>
        <w:t>]; the group also raises many others.</w:t>
      </w:r>
    </w:p>
    <w:p w14:paraId="1D35E61E" w14:textId="77777777" w:rsidR="005B4D48" w:rsidRDefault="00000000">
      <w:pPr>
        <w:spacing w:after="240"/>
        <w:jc w:val="both"/>
      </w:pPr>
      <w:r>
        <w:rPr>
          <w:rFonts w:eastAsia="Times New Roman" w:cs="Times New Roman"/>
        </w:rPr>
        <w:t>[</w:t>
      </w:r>
      <w:hyperlink w:anchor="ref_1" w:history="1">
        <w:r w:rsidR="005B4D48">
          <w:rPr>
            <w:rFonts w:eastAsia="Times New Roman" w:cs="Times New Roman"/>
            <w:color w:val="0563C1"/>
          </w:rPr>
          <w:t>1</w:t>
        </w:r>
      </w:hyperlink>
      <w:r>
        <w:rPr>
          <w:rFonts w:eastAsia="Times New Roman" w:cs="Times New Roman"/>
        </w:rPr>
        <w:t>] Medium-term (24 h and longer) machine-learning forecasting of PV and wind power is reviewed here under PRISMA, using a Scopus-only search that yields 31 studies. Day-ahead and week-ahead horizons dominate, while two-week and longer horizons are rare. Hybrid and ensemble designs are the most common model family, tree ensembles and LSTM/GRU remain strong baselines, and transformers appear in few studies. Most studies train on measured production with measured weather, few use real NWP forecasts, and most report only point forecasts. The authors call for shared benchmarking protocols with multi-site and rolling-window validation, forecast-weather inputs, uncertainty reporting and decision-linked evaluation.</w:t>
      </w:r>
    </w:p>
    <w:p w14:paraId="37C9CC37" w14:textId="77777777" w:rsidR="005B4D48" w:rsidRDefault="00000000">
      <w:pPr>
        <w:spacing w:after="240"/>
        <w:jc w:val="both"/>
      </w:pPr>
      <w:r>
        <w:rPr>
          <w:rFonts w:eastAsia="Times New Roman" w:cs="Times New Roman"/>
        </w:rPr>
        <w:t>[</w:t>
      </w:r>
      <w:hyperlink w:anchor="ref_2" w:history="1">
        <w:r w:rsidR="005B4D48">
          <w:rPr>
            <w:rFonts w:eastAsia="Times New Roman" w:cs="Times New Roman"/>
            <w:color w:val="0563C1"/>
          </w:rPr>
          <w:t>2</w:t>
        </w:r>
      </w:hyperlink>
      <w:r>
        <w:rPr>
          <w:rFonts w:eastAsia="Times New Roman" w:cs="Times New Roman"/>
        </w:rPr>
        <w:t>] A decade of PV power forecasting research (119 open-access journal studies, 2016-2026) is critically mapped on ten dimensions, from inputs and models to validation, reproducibility and operational value. Deep learning dominates (58 studies), followed by hybrids and ensembles. Day-ahead is the most common horizon, RMSE and MAE are the de facto metrics, and probabilistic forecasting is rare. The key finding is weak rigour: most studies use chronological splits, yet few report leakage prevention, cross-validation, fixed seeds or open data. Economic impact is almost never quantified. The authors propose a reproducibility checklist and a staged roadmap toward leakage-safe, benchmarked, decision-relevant evaluation.</w:t>
      </w:r>
    </w:p>
    <w:p w14:paraId="53AC201D" w14:textId="77777777" w:rsidR="005B4D48" w:rsidRDefault="00000000">
      <w:pPr>
        <w:spacing w:after="240"/>
        <w:jc w:val="both"/>
      </w:pPr>
      <w:r>
        <w:rPr>
          <w:rFonts w:eastAsia="Times New Roman" w:cs="Times New Roman"/>
        </w:rPr>
        <w:t>[</w:t>
      </w:r>
      <w:hyperlink w:anchor="ref_3" w:history="1">
        <w:r w:rsidR="005B4D48">
          <w:rPr>
            <w:rFonts w:eastAsia="Times New Roman" w:cs="Times New Roman"/>
            <w:color w:val="0563C1"/>
          </w:rPr>
          <w:t>3</w:t>
        </w:r>
      </w:hyperlink>
      <w:r>
        <w:rPr>
          <w:rFonts w:eastAsia="Times New Roman" w:cs="Times New Roman"/>
        </w:rPr>
        <w:t>] AI methods for forecasting both solar irradiance and PV power are mapped in a PRISMA-ScR scoping review of 60 studies from five databases. The field has moved from classical ML (SVR, random forest, gradient boosting) to LSTM/GRU, CNN, hybrid ensembles and, after 2022, transformers. Short-term and day-ahead horizons dominate, and ground measurements are the main inputs, with satellite and NWP data used less consistently. Most studies rely on single-site data without cross-regional validation, and deterministic metrics dominate. Gaps include cross-site benchmarking, uncertainty quantification, open datasets, standard evaluation protocols, and deployment issues such as retraining, explainability and robustness.</w:t>
      </w:r>
    </w:p>
    <w:p w14:paraId="0D58D2FA" w14:textId="77777777" w:rsidR="005B4D48" w:rsidRDefault="00000000">
      <w:pPr>
        <w:spacing w:after="240"/>
        <w:jc w:val="both"/>
      </w:pPr>
      <w:r>
        <w:rPr>
          <w:rFonts w:eastAsia="Times New Roman" w:cs="Times New Roman"/>
        </w:rPr>
        <w:t>[</w:t>
      </w:r>
      <w:hyperlink w:anchor="ref_9" w:history="1">
        <w:r w:rsidR="005B4D48">
          <w:rPr>
            <w:rFonts w:eastAsia="Times New Roman" w:cs="Times New Roman"/>
            <w:color w:val="0563C1"/>
          </w:rPr>
          <w:t>9</w:t>
        </w:r>
      </w:hyperlink>
      <w:r>
        <w:rPr>
          <w:rFonts w:eastAsia="Times New Roman" w:cs="Times New Roman"/>
        </w:rPr>
        <w:t>] A narrative review of AI-based photovoltaic power forecasting that tabulates machine learning, deep learning and hybrid studies from roughly 2015 to 2024, reporting technique, horizon, inputs, site and accuracy. Among the articles analysed, ML accounts for 53%, hybrids 34% and DL 13%, and most work targets short-term horizons. Irradiance, air temperature and PV power are the most used inputs; RMSE and MAE dominate evaluation. The authors note single-site, small datasets limit generalisability, and call for multi-site multi-modal data, cloudy-day modelling, DL–physical hybrids and normalised or distribution-based metrics. No systematic search protocol is reported.</w:t>
      </w:r>
    </w:p>
    <w:p w14:paraId="23A27D84" w14:textId="77777777" w:rsidR="005B4D48" w:rsidRDefault="00000000">
      <w:pPr>
        <w:spacing w:after="240"/>
        <w:jc w:val="both"/>
      </w:pPr>
      <w:r>
        <w:rPr>
          <w:rFonts w:eastAsia="Times New Roman" w:cs="Times New Roman"/>
        </w:rPr>
        <w:lastRenderedPageBreak/>
        <w:t>[</w:t>
      </w:r>
      <w:hyperlink w:anchor="ref_11" w:history="1">
        <w:r w:rsidR="005B4D48">
          <w:rPr>
            <w:rFonts w:eastAsia="Times New Roman" w:cs="Times New Roman"/>
            <w:color w:val="0563C1"/>
          </w:rPr>
          <w:t>11</w:t>
        </w:r>
      </w:hyperlink>
      <w:r>
        <w:rPr>
          <w:rFonts w:eastAsia="Times New Roman" w:cs="Times New Roman"/>
        </w:rPr>
        <w:t>] A broad narrative review of PV power forecasting that proposes a taxonomy by temporal horizon, model architecture (physical, data-driven, hybrid) and application-based selection criteria. It surveys ANN, SVM, ensemble and hybrid models, tabulating reported NRMSE, MAE and MAPE ranges, mostly below 10%, with hybrids and ensembles performing best. It also covers hyperparameter tuning, feature selection, evolutionary and swarm optimisation, weather-conditioned evaluation, benchmarking and economic impact. No search protocol is reported, and compared figures come from differing datasets. Gaps named include public benchmark datasets such as SKIPP'D, standardized metrics, significance testing, multi-source data integration, adaptive models and computational efficiency.</w:t>
      </w:r>
    </w:p>
    <w:p w14:paraId="2BB5E960" w14:textId="77777777" w:rsidR="005B4D48" w:rsidRDefault="00000000">
      <w:pPr>
        <w:spacing w:after="240"/>
        <w:jc w:val="both"/>
      </w:pPr>
      <w:r>
        <w:rPr>
          <w:rFonts w:eastAsia="Times New Roman" w:cs="Times New Roman"/>
        </w:rPr>
        <w:t>[</w:t>
      </w:r>
      <w:hyperlink w:anchor="ref_13" w:history="1">
        <w:r w:rsidR="005B4D48">
          <w:rPr>
            <w:rFonts w:eastAsia="Times New Roman" w:cs="Times New Roman"/>
            <w:color w:val="0563C1"/>
          </w:rPr>
          <w:t>13</w:t>
        </w:r>
      </w:hyperlink>
      <w:r>
        <w:rPr>
          <w:rFonts w:eastAsia="Times New Roman" w:cs="Times New Roman"/>
        </w:rPr>
        <w:t>] A systematic review of deep-learning PV power forecasting restricted to 2022–2023, selecting 36 case studies from Web of Science and Scopus. It explains ANN, RNN/LSTM/GRU, CNN and Transformer units, hyperparameters and metrics, then tabulates each study's inputs, granularity, lookback, horizon, data source and errors. LSTM dominates, with CNN hybrids and Transformers rising; hourly data and one-step horizons are most common, and 23 studies used private data. Most report RMSE/MAE in site units, blocking cross-study comparison. Gaps include public benchmark datasets, standardized normalised metrics, cross-location generalization and a shared PV-farm database.</w:t>
      </w:r>
    </w:p>
    <w:p w14:paraId="7CC6D918" w14:textId="77777777" w:rsidR="005B4D48" w:rsidRDefault="00000000">
      <w:pPr>
        <w:spacing w:after="240"/>
        <w:jc w:val="both"/>
      </w:pPr>
      <w:r>
        <w:rPr>
          <w:rFonts w:eastAsia="Times New Roman" w:cs="Times New Roman"/>
        </w:rPr>
        <w:t>[</w:t>
      </w:r>
      <w:hyperlink w:anchor="ref_17" w:history="1">
        <w:r w:rsidR="005B4D48">
          <w:rPr>
            <w:rFonts w:eastAsia="Times New Roman" w:cs="Times New Roman"/>
            <w:color w:val="0563C1"/>
          </w:rPr>
          <w:t>17</w:t>
        </w:r>
      </w:hyperlink>
      <w:r>
        <w:rPr>
          <w:rFonts w:eastAsia="Times New Roman" w:cs="Times New Roman"/>
        </w:rPr>
        <w:t>] Covering the full spectrum of PV power prediction, the review explains influencing factors, common metrics (MAE, MSE, MAPE, RMSE, NRMSE, R2), classification by process, time scale, spatial scale and forecast type, then surveys physical, statistical, AI and combined methods. Reproduced results suggest ANN outperforms SVM, RF and XGBoost among classic ML, deep models such as CNN, LSTM, attention and TCN surpass traditional methods, and hybrids using signal decomposition, metaheuristic hyperparameter tuning and weather clustering reduce errors further. Identified gaps are extreme and cloudy weather, seasonal modelling, weaknesses of optimization and clustering algorithms, and distributed PV forecasting.</w:t>
      </w:r>
    </w:p>
    <w:p w14:paraId="73836A06" w14:textId="77777777" w:rsidR="005B4D48" w:rsidRDefault="00000000">
      <w:pPr>
        <w:spacing w:after="240"/>
        <w:jc w:val="both"/>
      </w:pPr>
      <w:r>
        <w:rPr>
          <w:rFonts w:eastAsia="Times New Roman" w:cs="Times New Roman"/>
        </w:rPr>
        <w:t>[</w:t>
      </w:r>
      <w:hyperlink w:anchor="ref_23" w:history="1">
        <w:r w:rsidR="005B4D48">
          <w:rPr>
            <w:rFonts w:eastAsia="Times New Roman" w:cs="Times New Roman"/>
            <w:color w:val="0563C1"/>
          </w:rPr>
          <w:t>23</w:t>
        </w:r>
      </w:hyperlink>
      <w:r>
        <w:rPr>
          <w:rFonts w:eastAsia="Times New Roman" w:cs="Times New Roman"/>
        </w:rPr>
        <w:t>] The review classifies 100 ML-based direct PV power forecasting publications from 2015-2020 by ML family, country, Koppen climate, number of systems, timespan, horizon, input features and metrics, and discusses feature selection, clustering, decomposition, probabilistic, meta-heuristic and online approaches. ANN, instance-based (mainly SVR) and deep learning families dominate, day-ahead is the most studied horizon, most studies use one system in mild temperate climates, and RMSE and MAE are the commonest metrics. No single algorithm proves superior. Key gaps are weak generalization to unseen sites and climates, few multi-system studies, limited high-resolution data, and no standard metric set.</w:t>
      </w:r>
    </w:p>
    <w:p w14:paraId="13874F36" w14:textId="77777777" w:rsidR="005B4D48" w:rsidRDefault="00000000">
      <w:pPr>
        <w:spacing w:after="240"/>
        <w:jc w:val="both"/>
      </w:pPr>
      <w:r>
        <w:rPr>
          <w:rFonts w:eastAsia="Times New Roman" w:cs="Times New Roman"/>
        </w:rPr>
        <w:t>[</w:t>
      </w:r>
      <w:hyperlink w:anchor="ref_25" w:history="1">
        <w:r w:rsidR="005B4D48">
          <w:rPr>
            <w:rFonts w:eastAsia="Times New Roman" w:cs="Times New Roman"/>
            <w:color w:val="0563C1"/>
          </w:rPr>
          <w:t>25</w:t>
        </w:r>
      </w:hyperlink>
      <w:r>
        <w:rPr>
          <w:rFonts w:eastAsia="Times New Roman" w:cs="Times New Roman"/>
        </w:rPr>
        <w:t xml:space="preserve">] A short narrative review of solar power forecasting that separates direct methods, which predict PV output from historical power, from indirect methods, which forecast irradiance or weather first. Studies are described one by one with their country, forecast horizon, data period, input variables and model, covering ANN, SVM, ELM, random forest, gradient boosting, LSTM and metaheuristic-optimised hybrids. The authors conclude that hybrid and deep models beat conventional short-term methods, that ensembles are most common, and </w:t>
      </w:r>
      <w:r>
        <w:rPr>
          <w:rFonts w:eastAsia="Times New Roman" w:cs="Times New Roman"/>
        </w:rPr>
        <w:lastRenderedPageBreak/>
        <w:t>that indirect forecasting suits new plants without data. No systematic search, metric comparison or explicit research gaps are provided.</w:t>
      </w:r>
    </w:p>
    <w:p w14:paraId="48F674CD" w14:textId="77777777" w:rsidR="005B4D48" w:rsidRDefault="00000000">
      <w:pPr>
        <w:spacing w:after="240"/>
        <w:jc w:val="both"/>
      </w:pPr>
      <w:r>
        <w:rPr>
          <w:rFonts w:eastAsia="Times New Roman" w:cs="Times New Roman"/>
        </w:rPr>
        <w:t>[</w:t>
      </w:r>
      <w:hyperlink w:anchor="ref_28" w:history="1">
        <w:r w:rsidR="005B4D48">
          <w:rPr>
            <w:rFonts w:eastAsia="Times New Roman" w:cs="Times New Roman"/>
            <w:color w:val="0563C1"/>
          </w:rPr>
          <w:t>28</w:t>
        </w:r>
      </w:hyperlink>
      <w:r>
        <w:rPr>
          <w:rFonts w:eastAsia="Times New Roman" w:cs="Times New Roman"/>
        </w:rPr>
        <w:t>] Broad review of solar PV output forecasting that classifies methods into physical (satellite cloud-index, cloud motion vectors, NWP), statistical (persistence, ARMA/ARIMA, regression, exponential smoothing, ANN variants, SVR, deep learning) and hybrid approaches. It also covers input pre-processing such as wavelet transform and normalisation, error metrics, hyperparameter tuning, and metaheuristic PV-model parameter extraction. A summary table lists errors reported by prior studies, though metrics and sites differ. The author concludes that hybrid models dominate and ML is promising, and flags gaps: reducing dependence on weather-forecast accuracy, lowering computational cost for medium- to long-term forecasting, input selection, and accounting for module degradation.</w:t>
      </w:r>
    </w:p>
    <w:p w14:paraId="31EBC06E" w14:textId="77777777" w:rsidR="005B4D48" w:rsidRDefault="00000000">
      <w:pPr>
        <w:spacing w:after="240"/>
        <w:jc w:val="both"/>
      </w:pPr>
      <w:r>
        <w:rPr>
          <w:rFonts w:eastAsia="Times New Roman" w:cs="Times New Roman"/>
        </w:rPr>
        <w:t>[</w:t>
      </w:r>
      <w:hyperlink w:anchor="ref_32" w:history="1">
        <w:r w:rsidR="005B4D48">
          <w:rPr>
            <w:rFonts w:eastAsia="Times New Roman" w:cs="Times New Roman"/>
            <w:color w:val="0563C1"/>
          </w:rPr>
          <w:t>32</w:t>
        </w:r>
      </w:hyperlink>
      <w:r>
        <w:rPr>
          <w:rFonts w:eastAsia="Times New Roman" w:cs="Times New Roman"/>
        </w:rPr>
        <w:t>] Wu et al. survey solar power forecasting from several viewpoints: learning techniques, data preprocessing, method classification, influencing factors, hybrid models and probabilistic forecasting. The narrative review describes supervised and unsupervised learning, decomposition methods such as wavelet, EMD and SSA, time-series, ensemble and deep models up to Transformer and Informer, and optimisers including GA, PSO and ACO. It tabulates sixteen hybrid models and lists deterministic and probabilistic metrics. Findings: supervised learning dominates, cleaning and normalisation are near-universal, irradiance, temperature and wind speed are the main inputs. Gaps include weak NWP integration, unused attention models, unstable data collection and limited probabilistic forecasting.</w:t>
      </w:r>
    </w:p>
    <w:p w14:paraId="3C41FB47" w14:textId="77777777" w:rsidR="00FE1977" w:rsidRDefault="00000000">
      <w:pPr>
        <w:spacing w:after="240"/>
        <w:jc w:val="both"/>
        <w:rPr>
          <w:rFonts w:eastAsia="Times New Roman" w:cs="Times New Roman"/>
        </w:rPr>
      </w:pPr>
      <w:r>
        <w:rPr>
          <w:rFonts w:eastAsia="Times New Roman" w:cs="Times New Roman"/>
        </w:rPr>
        <w:t>[</w:t>
      </w:r>
      <w:hyperlink w:anchor="ref_34" w:history="1">
        <w:r w:rsidR="00FE1977">
          <w:rPr>
            <w:rFonts w:eastAsia="Times New Roman" w:cs="Times New Roman"/>
            <w:color w:val="0563C1"/>
          </w:rPr>
          <w:t>34</w:t>
        </w:r>
      </w:hyperlink>
      <w:r>
        <w:rPr>
          <w:rFonts w:eastAsia="Times New Roman" w:cs="Times New Roman"/>
        </w:rPr>
        <w:t>] Gupta and Singh survey machine-learning PV power forecasting through two routes: direct forecasting from historical PV output, and indirect forecasting that chains solar irradiance prediction, plane-of-array transposition and PV cell/inverter performance models. Studies are tabulated by location, horizon, data length, inputs and method, and charted by year, method family and horizon. Most work targets short-term horizons; ANN and SVM dominate, while ensemble and hybrid models usually beat single models. No model is universal. Gaps include limited deep learning use, hybrid computational cost, decomposition choices, and reliance on indirect forecasting for new plants without historical data.</w:t>
      </w:r>
    </w:p>
    <w:p w14:paraId="4A5198ED" w14:textId="77777777" w:rsidR="00FE1977" w:rsidRPr="00FE1977" w:rsidRDefault="00FE1977" w:rsidP="00FE1977">
      <w:pPr>
        <w:rPr>
          <w:rFonts w:eastAsia="Times New Roman" w:cs="Times New Roman"/>
        </w:rPr>
      </w:pPr>
      <w:r>
        <w:rPr>
          <w:rFonts w:eastAsia="Times New Roman" w:cs="Times New Roman"/>
        </w:rPr>
        <w:br w:type="page"/>
      </w:r>
    </w:p>
    <w:p w14:paraId="37649689" w14:textId="77777777" w:rsidR="005B4D48" w:rsidRDefault="00000000">
      <w:pPr>
        <w:pStyle w:val="Heading2"/>
        <w:numPr>
          <w:ilvl w:val="1"/>
          <w:numId w:val="12"/>
        </w:numPr>
      </w:pPr>
      <w:r>
        <w:lastRenderedPageBreak/>
        <w:t>Reviews of specific model families</w:t>
      </w:r>
    </w:p>
    <w:p w14:paraId="28EFE8D4" w14:textId="77777777" w:rsidR="005B4D48" w:rsidRDefault="00000000">
      <w:pPr>
        <w:spacing w:after="240"/>
        <w:jc w:val="both"/>
      </w:pPr>
      <w:r>
        <w:rPr>
          <w:rFonts w:eastAsia="Times New Roman" w:cs="Times New Roman"/>
        </w:rPr>
        <w:t>Most recurrent are cross-site generalization [</w:t>
      </w:r>
      <w:hyperlink w:anchor="ref_12" w:history="1">
        <w:r w:rsidR="005B4D48">
          <w:rPr>
            <w:rFonts w:eastAsia="Times New Roman" w:cs="Times New Roman"/>
            <w:color w:val="0563C1"/>
          </w:rPr>
          <w:t>12</w:t>
        </w:r>
      </w:hyperlink>
      <w:r>
        <w:rPr>
          <w:rFonts w:eastAsia="Times New Roman" w:cs="Times New Roman"/>
        </w:rPr>
        <w:t>], [</w:t>
      </w:r>
      <w:hyperlink w:anchor="ref_16" w:history="1">
        <w:r w:rsidR="005B4D48">
          <w:rPr>
            <w:rFonts w:eastAsia="Times New Roman" w:cs="Times New Roman"/>
            <w:color w:val="0563C1"/>
          </w:rPr>
          <w:t>16</w:t>
        </w:r>
      </w:hyperlink>
      <w:r>
        <w:rPr>
          <w:rFonts w:eastAsia="Times New Roman" w:cs="Times New Roman"/>
        </w:rPr>
        <w:t>], [</w:t>
      </w:r>
      <w:hyperlink w:anchor="ref_36" w:history="1">
        <w:r w:rsidR="005B4D48">
          <w:rPr>
            <w:rFonts w:eastAsia="Times New Roman" w:cs="Times New Roman"/>
            <w:color w:val="0563C1"/>
          </w:rPr>
          <w:t>36</w:t>
        </w:r>
      </w:hyperlink>
      <w:r>
        <w:rPr>
          <w:rFonts w:eastAsia="Times New Roman" w:cs="Times New Roman"/>
        </w:rPr>
        <w:t>], [</w:t>
      </w:r>
      <w:hyperlink w:anchor="ref_37" w:history="1">
        <w:r w:rsidR="005B4D48">
          <w:rPr>
            <w:rFonts w:eastAsia="Times New Roman" w:cs="Times New Roman"/>
            <w:color w:val="0563C1"/>
          </w:rPr>
          <w:t>37</w:t>
        </w:r>
      </w:hyperlink>
      <w:r>
        <w:rPr>
          <w:rFonts w:eastAsia="Times New Roman" w:cs="Times New Roman"/>
        </w:rPr>
        <w:t>] and a standard benchmark or metrics [</w:t>
      </w:r>
      <w:hyperlink w:anchor="ref_6" w:history="1">
        <w:r w:rsidR="005B4D48">
          <w:rPr>
            <w:rFonts w:eastAsia="Times New Roman" w:cs="Times New Roman"/>
            <w:color w:val="0563C1"/>
          </w:rPr>
          <w:t>6</w:t>
        </w:r>
      </w:hyperlink>
      <w:r>
        <w:rPr>
          <w:rFonts w:eastAsia="Times New Roman" w:cs="Times New Roman"/>
        </w:rPr>
        <w:t>], [</w:t>
      </w:r>
      <w:hyperlink w:anchor="ref_37" w:history="1">
        <w:r w:rsidR="005B4D48">
          <w:rPr>
            <w:rFonts w:eastAsia="Times New Roman" w:cs="Times New Roman"/>
            <w:color w:val="0563C1"/>
          </w:rPr>
          <w:t>37</w:t>
        </w:r>
      </w:hyperlink>
      <w:r>
        <w:rPr>
          <w:rFonts w:eastAsia="Times New Roman" w:cs="Times New Roman"/>
        </w:rPr>
        <w:t>]; others raise unequal inputs in comparisons [</w:t>
      </w:r>
      <w:hyperlink w:anchor="ref_16" w:history="1">
        <w:r w:rsidR="005B4D48">
          <w:rPr>
            <w:rFonts w:eastAsia="Times New Roman" w:cs="Times New Roman"/>
            <w:color w:val="0563C1"/>
          </w:rPr>
          <w:t>16</w:t>
        </w:r>
      </w:hyperlink>
      <w:r>
        <w:rPr>
          <w:rFonts w:eastAsia="Times New Roman" w:cs="Times New Roman"/>
        </w:rPr>
        <w:t>], input selection [</w:t>
      </w:r>
      <w:hyperlink w:anchor="ref_35" w:history="1">
        <w:r w:rsidR="005B4D48">
          <w:rPr>
            <w:rFonts w:eastAsia="Times New Roman" w:cs="Times New Roman"/>
            <w:color w:val="0563C1"/>
          </w:rPr>
          <w:t>35</w:t>
        </w:r>
      </w:hyperlink>
      <w:r>
        <w:rPr>
          <w:rFonts w:eastAsia="Times New Roman" w:cs="Times New Roman"/>
        </w:rPr>
        <w:t>] and edge deployment [</w:t>
      </w:r>
      <w:hyperlink w:anchor="ref_37" w:history="1">
        <w:r w:rsidR="005B4D48">
          <w:rPr>
            <w:rFonts w:eastAsia="Times New Roman" w:cs="Times New Roman"/>
            <w:color w:val="0563C1"/>
          </w:rPr>
          <w:t>37</w:t>
        </w:r>
      </w:hyperlink>
      <w:r>
        <w:rPr>
          <w:rFonts w:eastAsia="Times New Roman" w:cs="Times New Roman"/>
        </w:rPr>
        <w:t>].</w:t>
      </w:r>
    </w:p>
    <w:p w14:paraId="16C3C571" w14:textId="77777777" w:rsidR="005B4D48" w:rsidRDefault="00000000">
      <w:pPr>
        <w:spacing w:after="240"/>
        <w:jc w:val="both"/>
      </w:pPr>
      <w:r>
        <w:rPr>
          <w:rFonts w:eastAsia="Times New Roman" w:cs="Times New Roman"/>
        </w:rPr>
        <w:t>[</w:t>
      </w:r>
      <w:hyperlink w:anchor="ref_6" w:history="1">
        <w:r w:rsidR="005B4D48">
          <w:rPr>
            <w:rFonts w:eastAsia="Times New Roman" w:cs="Times New Roman"/>
            <w:color w:val="0563C1"/>
          </w:rPr>
          <w:t>6</w:t>
        </w:r>
      </w:hyperlink>
      <w:r>
        <w:rPr>
          <w:rFonts w:eastAsia="Times New Roman" w:cs="Times New Roman"/>
        </w:rPr>
        <w:t>] Sharma and colleagues survey transformer architectures for solar PV forecasting, using a PRISMA-style selection that narrows 450 records to 65 studies. They explain foundational variants such as Autoformer, FEDformer, iTransformer, Crossformer and TimesNet, then PV-specific models including Informer, TFT, Patch-Transformer, TSformer, WECT, CT-PatchTST, ResTrans, SL-Transformer and CNN, LSTM and GRU hybrids. A small benchmark on one Indian utility plant finds TFT most accurate and Informer more computationally efficient. Reported improvements across studies are not comparable because datasets differ. Gaps include standardized public benchmarks, uncertainty quantification, physics-informed attention, NWP fusion and multi-site graph modeling.</w:t>
      </w:r>
    </w:p>
    <w:p w14:paraId="6F7A2AE8" w14:textId="77777777" w:rsidR="005B4D48" w:rsidRDefault="00000000">
      <w:pPr>
        <w:spacing w:after="240"/>
        <w:jc w:val="both"/>
      </w:pPr>
      <w:r>
        <w:rPr>
          <w:rFonts w:eastAsia="Times New Roman" w:cs="Times New Roman"/>
        </w:rPr>
        <w:t>[</w:t>
      </w:r>
      <w:hyperlink w:anchor="ref_12" w:history="1">
        <w:r w:rsidR="005B4D48">
          <w:rPr>
            <w:rFonts w:eastAsia="Times New Roman" w:cs="Times New Roman"/>
            <w:color w:val="0563C1"/>
          </w:rPr>
          <w:t>12</w:t>
        </w:r>
      </w:hyperlink>
      <w:r>
        <w:rPr>
          <w:rFonts w:eastAsia="Times New Roman" w:cs="Times New Roman"/>
        </w:rPr>
        <w:t>] A Kitchenham-style systematic review of 26 Web of Science journal articles applying deep learning to solar irradiance and PV power forecasting. LSTM (32.69% of papers) and CNN (28.85%) are most used, with CNN-LSTM the most common hybrid. Wavelet Transform leads data decomposition, K-means clustering, GANs augmentation and Pearson correlation feature selection. Ambient temperature, humidity, pressure and historical PV power are the most common inputs, and RMSE and MAE the dominant metrics. Hybrid models usually outperform single models, but results are context-specific. Gaps include poor cross-region generalization, limited data, computational cost, interpretability, grid integration and non-standardized probabilistic evaluation.</w:t>
      </w:r>
    </w:p>
    <w:p w14:paraId="3CCD0296" w14:textId="77777777" w:rsidR="005B4D48" w:rsidRDefault="00000000">
      <w:pPr>
        <w:spacing w:after="240"/>
        <w:jc w:val="both"/>
      </w:pPr>
      <w:r>
        <w:rPr>
          <w:rFonts w:eastAsia="Times New Roman" w:cs="Times New Roman"/>
        </w:rPr>
        <w:t>[</w:t>
      </w:r>
      <w:hyperlink w:anchor="ref_16" w:history="1">
        <w:r w:rsidR="005B4D48">
          <w:rPr>
            <w:rFonts w:eastAsia="Times New Roman" w:cs="Times New Roman"/>
            <w:color w:val="0563C1"/>
          </w:rPr>
          <w:t>16</w:t>
        </w:r>
      </w:hyperlink>
      <w:r>
        <w:rPr>
          <w:rFonts w:eastAsia="Times New Roman" w:cs="Times New Roman"/>
        </w:rPr>
        <w:t>] Focused solely on hybrid physics-machine learning models for PV power estimation and forecasting, the review systematically screened IEEE Xplore and Scopus to 67 studies (2013-2023) and classified them as physics-informed ML (43%), physics-guided (36%) or optimized physical models (21%). Most studies are deterministic, short-term and single-plant, with PHANN the most explored hybrid. Physics-informed features, notably plane-of-array irradiance and cell temperature, generally improve ML accuracy. Gaps include no accepted hybrid benchmark, comparisons against ML models lacking equivalent inputs, inconsistent handling of night-time data in error metrics, scarce probabilistic and long-term hybrids, and little testing of alternative physical sub-models.</w:t>
      </w:r>
    </w:p>
    <w:p w14:paraId="1FE91B85" w14:textId="77777777" w:rsidR="005B4D48" w:rsidRDefault="00000000">
      <w:pPr>
        <w:spacing w:after="240"/>
        <w:jc w:val="both"/>
      </w:pPr>
      <w:r>
        <w:rPr>
          <w:rFonts w:eastAsia="Times New Roman" w:cs="Times New Roman"/>
        </w:rPr>
        <w:t>[</w:t>
      </w:r>
      <w:hyperlink w:anchor="ref_18" w:history="1">
        <w:r w:rsidR="005B4D48">
          <w:rPr>
            <w:rFonts w:eastAsia="Times New Roman" w:cs="Times New Roman"/>
            <w:color w:val="0563C1"/>
          </w:rPr>
          <w:t>18</w:t>
        </w:r>
      </w:hyperlink>
      <w:r>
        <w:rPr>
          <w:rFonts w:eastAsia="Times New Roman" w:cs="Times New Roman"/>
        </w:rPr>
        <w:t>] Focusing on deep learning, the review explains MLP, RNN/LSTM/GRU, CNN/TCN and GNN principles, catalogues public PV datasets and evaluation metrics, and organizes 55 model variants, of which 15 have PV applications. Compiled results indicate MLP models are efficient, RNNs handle long-term dependencies, CNNs capture cross-variable features and perform well under multi-cloud conditions, and GNNs best exploit spatial correlations for large or regional plants. It concludes no single architecture fits all climates. Gaps include graph construction and computational cost for GNNs, weak generalization of multivariate models, poor short-term performance of frequency-domain models, and input variable selection.</w:t>
      </w:r>
    </w:p>
    <w:p w14:paraId="4CD18DCA" w14:textId="77777777" w:rsidR="005B4D48" w:rsidRDefault="00000000">
      <w:pPr>
        <w:spacing w:after="240"/>
        <w:jc w:val="both"/>
      </w:pPr>
      <w:r>
        <w:rPr>
          <w:rFonts w:eastAsia="Times New Roman" w:cs="Times New Roman"/>
        </w:rPr>
        <w:lastRenderedPageBreak/>
        <w:t>[</w:t>
      </w:r>
      <w:hyperlink w:anchor="ref_27" w:history="1">
        <w:r w:rsidR="005B4D48">
          <w:rPr>
            <w:rFonts w:eastAsia="Times New Roman" w:cs="Times New Roman"/>
            <w:color w:val="0563C1"/>
          </w:rPr>
          <w:t>27</w:t>
        </w:r>
      </w:hyperlink>
      <w:r>
        <w:rPr>
          <w:rFonts w:eastAsia="Times New Roman" w:cs="Times New Roman"/>
        </w:rPr>
        <w:t>] A review of long short-term memory networks for solar forecasting, split into standalone LSTM models and hybrids that pair LSTM with CNNs, attention, optimisers or signal decomposition. It explains MLP, RNN, LSTM and CNN structures, lists common error metrics, and tabulates irradiance and PV power studies by horizon, interval, inputs, data period and RMSE. Reported results suggest LSTM beats other standalone models, while hybrids such as CNN-LSTM are more accurate but need longer training. The authors note that differing metrics, weather, horizons and input sizes make fair comparison difficult, code and data are rarely shared, and longer horizons need study.</w:t>
      </w:r>
    </w:p>
    <w:p w14:paraId="1E395B5F" w14:textId="77777777" w:rsidR="005B4D48" w:rsidRDefault="00000000">
      <w:pPr>
        <w:spacing w:after="240"/>
        <w:jc w:val="both"/>
      </w:pPr>
      <w:r>
        <w:rPr>
          <w:rFonts w:eastAsia="Times New Roman" w:cs="Times New Roman"/>
        </w:rPr>
        <w:t>[</w:t>
      </w:r>
      <w:hyperlink w:anchor="ref_29" w:history="1">
        <w:r w:rsidR="005B4D48">
          <w:rPr>
            <w:rFonts w:eastAsia="Times New Roman" w:cs="Times New Roman"/>
            <w:color w:val="0563C1"/>
          </w:rPr>
          <w:t>29</w:t>
        </w:r>
      </w:hyperlink>
      <w:r>
        <w:rPr>
          <w:rFonts w:eastAsia="Times New Roman" w:cs="Times New Roman"/>
        </w:rPr>
        <w:t>] Review of supervised neural networks for PV power forecasting across very-short (under 24 h) to long-term (over 30 days) horizons. After outlining statistical versus physical methods and the ML workflow, it tabulates prior ANN, RNN/LSTM and CNN or hybrid studies by method, horizon, input variables, training duration and reported error. It concludes that hybrid models usually outperform single models, RNN and CNN beat plain ANN, accuracy falls as horizon lengthens, and weather classification helps. Comparisons rely on heterogeneous metrics and no search protocol is reported. Gaps include overfitting, random initialisation, small-data training, and choosing the number and type of inputs.</w:t>
      </w:r>
    </w:p>
    <w:p w14:paraId="19730EF3" w14:textId="77777777" w:rsidR="005B4D48" w:rsidRDefault="00000000">
      <w:pPr>
        <w:spacing w:after="240"/>
        <w:jc w:val="both"/>
      </w:pPr>
      <w:r>
        <w:rPr>
          <w:rFonts w:eastAsia="Times New Roman" w:cs="Times New Roman"/>
        </w:rPr>
        <w:t>[</w:t>
      </w:r>
      <w:hyperlink w:anchor="ref_35" w:history="1">
        <w:r w:rsidR="005B4D48">
          <w:rPr>
            <w:rFonts w:eastAsia="Times New Roman" w:cs="Times New Roman"/>
            <w:color w:val="0563C1"/>
          </w:rPr>
          <w:t>35</w:t>
        </w:r>
      </w:hyperlink>
      <w:r>
        <w:rPr>
          <w:rFonts w:eastAsia="Times New Roman" w:cs="Times New Roman"/>
        </w:rPr>
        <w:t>] Alkabbani and colleagues review machine-learning forecasting of wind and solar power, grouping studies by ML family (ANN, RNN with GRU and LSTM, SVM, ELM) and by metaheuristic optimizer (evolutionary and swarm-based) used to tune model weights or hyperparameters. Statistical, physical and persistence methods are briefly contrasted. Tables summarise targets, horizons and reported accuracy. Hybrid ML-metaheuristic models generally improve accuracy but lengthen training. Recommendations include larger datasets, outlier and missing-data preprocessing, and NWP inputs. Identified gaps are regional multi-site forecasting, probabilistic and multistep prediction, systematic analysis of input-target relationships, and longer horizons.</w:t>
      </w:r>
    </w:p>
    <w:p w14:paraId="6E114608" w14:textId="77777777" w:rsidR="005B4D48" w:rsidRDefault="00000000">
      <w:pPr>
        <w:spacing w:after="240"/>
        <w:jc w:val="both"/>
      </w:pPr>
      <w:r>
        <w:rPr>
          <w:rFonts w:eastAsia="Times New Roman" w:cs="Times New Roman"/>
        </w:rPr>
        <w:t>[</w:t>
      </w:r>
      <w:hyperlink w:anchor="ref_36" w:history="1">
        <w:r w:rsidR="005B4D48">
          <w:rPr>
            <w:rFonts w:eastAsia="Times New Roman" w:cs="Times New Roman"/>
            <w:color w:val="0563C1"/>
          </w:rPr>
          <w:t>36</w:t>
        </w:r>
      </w:hyperlink>
      <w:r>
        <w:rPr>
          <w:rFonts w:eastAsia="Times New Roman" w:cs="Times New Roman"/>
        </w:rPr>
        <w:t>] Massaoudi and colleagues review deep learning for PV power forecasting using a PRISMA-based selection of 150 papers and keyword bibliometrics. Models are grouped into discriminative (MLP, CNN, RNN, LSTM, GRU, attention), generative (autoencoders, RBM/DBN, GAN) and deep reinforcement learning, with hybrid models and metaheuristic hyperparameter tuning. Federated, transfer, big-data and incremental learning are discussed, alongside deterministic and probabilistic forecasting. Hybrids dominate and often score best, but at high computational cost. Gaps include weak cross-site generalization, lack of standardized error metrics, little real-world validation, scarce satellite-ground data fusion, limited interpretability, and neglect of longer horizons.</w:t>
      </w:r>
    </w:p>
    <w:p w14:paraId="27B8A53B" w14:textId="77777777" w:rsidR="00FE1977" w:rsidRDefault="00000000">
      <w:pPr>
        <w:spacing w:after="240"/>
        <w:jc w:val="both"/>
        <w:rPr>
          <w:rFonts w:eastAsia="Times New Roman" w:cs="Times New Roman"/>
        </w:rPr>
      </w:pPr>
      <w:r>
        <w:rPr>
          <w:rFonts w:eastAsia="Times New Roman" w:cs="Times New Roman"/>
        </w:rPr>
        <w:t>[</w:t>
      </w:r>
      <w:hyperlink w:anchor="ref_37" w:history="1">
        <w:r w:rsidR="00FE1977">
          <w:rPr>
            <w:rFonts w:eastAsia="Times New Roman" w:cs="Times New Roman"/>
            <w:color w:val="0563C1"/>
          </w:rPr>
          <w:t>37</w:t>
        </w:r>
      </w:hyperlink>
      <w:r>
        <w:rPr>
          <w:rFonts w:eastAsia="Times New Roman" w:cs="Times New Roman"/>
        </w:rPr>
        <w:t xml:space="preserve">] A PRISMA-guided systematic review of 58 studies (2020-2025) on hybrid AI models for 1-24 h PV power forecasting. It groups hybrids into AI-AI, AI-optimization, decomposition-based, statistical-AI and image-based families, and also covers IoT and edge-cloud architectures. Weather data and historical PV output are the most common inputs. AI-AI hybrids give the highest accuracy at high complexity, optimised and decomposition hybrids balance accuracy and cost, and image-based hybrids suit very short horizons. Gaps include inconsistent evaluation metrics, rare uncertainty quantification, few open datasets or </w:t>
      </w:r>
      <w:r>
        <w:rPr>
          <w:rFonts w:eastAsia="Times New Roman" w:cs="Times New Roman"/>
        </w:rPr>
        <w:lastRenderedPageBreak/>
        <w:t>benchmarks, limited cross-climate validation, high computational cost, and weak grid integration.</w:t>
      </w:r>
    </w:p>
    <w:p w14:paraId="71A799E1" w14:textId="77777777" w:rsidR="005B4D48" w:rsidRDefault="00FE1977" w:rsidP="00FE1977">
      <w:r>
        <w:rPr>
          <w:rFonts w:eastAsia="Times New Roman" w:cs="Times New Roman"/>
        </w:rPr>
        <w:br w:type="page"/>
      </w:r>
    </w:p>
    <w:p w14:paraId="45C73796" w14:textId="77777777" w:rsidR="005B4D48" w:rsidRDefault="00000000">
      <w:pPr>
        <w:pStyle w:val="Heading2"/>
        <w:numPr>
          <w:ilvl w:val="1"/>
          <w:numId w:val="12"/>
        </w:numPr>
      </w:pPr>
      <w:r>
        <w:lastRenderedPageBreak/>
        <w:t>Reviews of uncertainty, explainability and trust</w:t>
      </w:r>
    </w:p>
    <w:p w14:paraId="06AC503C" w14:textId="77777777" w:rsidR="005B4D48" w:rsidRDefault="00000000">
      <w:pPr>
        <w:spacing w:after="240"/>
        <w:jc w:val="both"/>
      </w:pPr>
      <w:r>
        <w:rPr>
          <w:rFonts w:eastAsia="Times New Roman" w:cs="Times New Roman"/>
        </w:rPr>
        <w:t>Most recurrent are concept drift [</w:t>
      </w:r>
      <w:hyperlink w:anchor="ref_4" w:history="1">
        <w:r w:rsidR="005B4D48">
          <w:rPr>
            <w:rFonts w:eastAsia="Times New Roman" w:cs="Times New Roman"/>
            <w:color w:val="0563C1"/>
          </w:rPr>
          <w:t>4</w:t>
        </w:r>
      </w:hyperlink>
      <w:r>
        <w:rPr>
          <w:rFonts w:eastAsia="Times New Roman" w:cs="Times New Roman"/>
        </w:rPr>
        <w:t>], [</w:t>
      </w:r>
      <w:hyperlink w:anchor="ref_7" w:history="1">
        <w:r w:rsidR="005B4D48">
          <w:rPr>
            <w:rFonts w:eastAsia="Times New Roman" w:cs="Times New Roman"/>
            <w:color w:val="0563C1"/>
          </w:rPr>
          <w:t>7</w:t>
        </w:r>
      </w:hyperlink>
      <w:r>
        <w:rPr>
          <w:rFonts w:eastAsia="Times New Roman" w:cs="Times New Roman"/>
        </w:rPr>
        <w:t>], [</w:t>
      </w:r>
      <w:hyperlink w:anchor="ref_15" w:history="1">
        <w:r w:rsidR="005B4D48">
          <w:rPr>
            <w:rFonts w:eastAsia="Times New Roman" w:cs="Times New Roman"/>
            <w:color w:val="0563C1"/>
          </w:rPr>
          <w:t>15</w:t>
        </w:r>
      </w:hyperlink>
      <w:r>
        <w:rPr>
          <w:rFonts w:eastAsia="Times New Roman" w:cs="Times New Roman"/>
        </w:rPr>
        <w:t>] and explanation reliability [</w:t>
      </w:r>
      <w:hyperlink w:anchor="ref_5" w:history="1">
        <w:r w:rsidR="005B4D48">
          <w:rPr>
            <w:rFonts w:eastAsia="Times New Roman" w:cs="Times New Roman"/>
            <w:color w:val="0563C1"/>
          </w:rPr>
          <w:t>5</w:t>
        </w:r>
      </w:hyperlink>
      <w:r>
        <w:rPr>
          <w:rFonts w:eastAsia="Times New Roman" w:cs="Times New Roman"/>
        </w:rPr>
        <w:t>], [</w:t>
      </w:r>
      <w:hyperlink w:anchor="ref_7" w:history="1">
        <w:r w:rsidR="005B4D48">
          <w:rPr>
            <w:rFonts w:eastAsia="Times New Roman" w:cs="Times New Roman"/>
            <w:color w:val="0563C1"/>
          </w:rPr>
          <w:t>7</w:t>
        </w:r>
      </w:hyperlink>
      <w:r>
        <w:rPr>
          <w:rFonts w:eastAsia="Times New Roman" w:cs="Times New Roman"/>
        </w:rPr>
        <w:t>]; others raise uncertainty [</w:t>
      </w:r>
      <w:hyperlink w:anchor="ref_15" w:history="1">
        <w:r w:rsidR="005B4D48">
          <w:rPr>
            <w:rFonts w:eastAsia="Times New Roman" w:cs="Times New Roman"/>
            <w:color w:val="0563C1"/>
          </w:rPr>
          <w:t>15</w:t>
        </w:r>
      </w:hyperlink>
      <w:r>
        <w:rPr>
          <w:rFonts w:eastAsia="Times New Roman" w:cs="Times New Roman"/>
        </w:rPr>
        <w:t>] and open data [</w:t>
      </w:r>
      <w:hyperlink w:anchor="ref_5" w:history="1">
        <w:r w:rsidR="005B4D48">
          <w:rPr>
            <w:rFonts w:eastAsia="Times New Roman" w:cs="Times New Roman"/>
            <w:color w:val="0563C1"/>
          </w:rPr>
          <w:t>5</w:t>
        </w:r>
      </w:hyperlink>
      <w:r>
        <w:rPr>
          <w:rFonts w:eastAsia="Times New Roman" w:cs="Times New Roman"/>
        </w:rPr>
        <w:t>].</w:t>
      </w:r>
    </w:p>
    <w:p w14:paraId="1B8EC000" w14:textId="77777777" w:rsidR="005B4D48" w:rsidRDefault="00000000">
      <w:pPr>
        <w:spacing w:after="240"/>
        <w:jc w:val="both"/>
      </w:pPr>
      <w:r>
        <w:rPr>
          <w:rFonts w:eastAsia="Times New Roman" w:cs="Times New Roman"/>
        </w:rPr>
        <w:t>[</w:t>
      </w:r>
      <w:hyperlink w:anchor="ref_4" w:history="1">
        <w:r w:rsidR="005B4D48">
          <w:rPr>
            <w:rFonts w:eastAsia="Times New Roman" w:cs="Times New Roman"/>
            <w:color w:val="0563C1"/>
          </w:rPr>
          <w:t>4</w:t>
        </w:r>
      </w:hyperlink>
      <w:r>
        <w:rPr>
          <w:rFonts w:eastAsia="Times New Roman" w:cs="Times New Roman"/>
        </w:rPr>
        <w:t>] Cui and colleagues frame PV uncertainty modeling as one chain spanning annual 8760 h scenario generation, day-ahead forecasting and intraday forecasting, organised from a statistical relational AI viewpoint. Drawing on IEEE Xplore, Web of Science and Scopus literature from 2015 to 2026, they compare probabilistic models, clustering, GAN and diffusion generators, deep forecasters, graph networks and multi-source sky-image fusion, and propose four evaluation categories: distributional fidelity, relational consistency, computational cost and engineering utility. Explicit spatial modeling matters more at shorter horizons. Gaps include cross-timescale consistency, extreme scenarios, cross-regional generalization and the absence of unified, reproducible, operationally validated benchmarks.</w:t>
      </w:r>
    </w:p>
    <w:p w14:paraId="4E688E4D" w14:textId="77777777" w:rsidR="005B4D48" w:rsidRDefault="00000000">
      <w:pPr>
        <w:spacing w:after="240"/>
        <w:jc w:val="both"/>
      </w:pPr>
      <w:r>
        <w:rPr>
          <w:rFonts w:eastAsia="Times New Roman" w:cs="Times New Roman"/>
        </w:rPr>
        <w:t>[</w:t>
      </w:r>
      <w:hyperlink w:anchor="ref_5" w:history="1">
        <w:r w:rsidR="005B4D48">
          <w:rPr>
            <w:rFonts w:eastAsia="Times New Roman" w:cs="Times New Roman"/>
            <w:color w:val="0563C1"/>
          </w:rPr>
          <w:t>5</w:t>
        </w:r>
      </w:hyperlink>
      <w:r>
        <w:rPr>
          <w:rFonts w:eastAsia="Times New Roman" w:cs="Times New Roman"/>
        </w:rPr>
        <w:t>] Tufail's PRISMA 2020 review screens 951 records and includes 173 studies that both forecast solar PV or irradiance and report an implemented explanation method, excluding 299 that used attention only architecturally. LSTM, Transformer and CNN families dominate, and SHAP is the leading explainer, followed by feature importance, attention visualisation and LIME. Irradiance is consistently the top driver, with temporal encodings and temperature secondary, while humidity, wind and cloud effects vary by season and climate. Benchmarking across studies is unreliable due to unnormalised metrics, explanation fidelity and stability are rarely tested, and only 1.7% of studies release both code and data.</w:t>
      </w:r>
    </w:p>
    <w:p w14:paraId="1C27F2B2" w14:textId="77777777" w:rsidR="005B4D48" w:rsidRDefault="00000000">
      <w:pPr>
        <w:spacing w:after="240"/>
        <w:jc w:val="both"/>
      </w:pPr>
      <w:r>
        <w:rPr>
          <w:rFonts w:eastAsia="Times New Roman" w:cs="Times New Roman"/>
        </w:rPr>
        <w:t>[</w:t>
      </w:r>
      <w:hyperlink w:anchor="ref_7" w:history="1">
        <w:r w:rsidR="005B4D48">
          <w:rPr>
            <w:rFonts w:eastAsia="Times New Roman" w:cs="Times New Roman"/>
            <w:color w:val="0563C1"/>
          </w:rPr>
          <w:t>7</w:t>
        </w:r>
      </w:hyperlink>
      <w:r>
        <w:rPr>
          <w:rFonts w:eastAsia="Times New Roman" w:cs="Times New Roman"/>
        </w:rPr>
        <w:t>] A PRISMA 2020 systematic review of 59 peer-reviewed studies (2019–2025) on wind and photovoltaic forecasting systems that embed trust attributes: explainability, uncertainty quantification, drift monitoring, robustness, MLOps and governance. Thirty studies address PV, 23 wind and six both; XAI (32) and robustness (31) dominate, while governance (7) is rare. The authors find trust features added in isolation, mostly post hoc SHAP/LIME, and identify six structural gaps, including missing semantic data models, unmanaged drift and reliance on clean data. They propose a four-layer conceptual reference architecture, which remains unvalidated on operational data.</w:t>
      </w:r>
    </w:p>
    <w:p w14:paraId="43965E85" w14:textId="77777777" w:rsidR="005B4D48" w:rsidRDefault="00000000">
      <w:pPr>
        <w:spacing w:after="240"/>
        <w:jc w:val="both"/>
        <w:rPr>
          <w:rFonts w:eastAsia="Times New Roman" w:cs="Times New Roman"/>
        </w:rPr>
      </w:pPr>
      <w:r>
        <w:rPr>
          <w:rFonts w:eastAsia="Times New Roman" w:cs="Times New Roman"/>
        </w:rPr>
        <w:t>[</w:t>
      </w:r>
      <w:hyperlink w:anchor="ref_15" w:history="1">
        <w:r w:rsidR="005B4D48">
          <w:rPr>
            <w:rFonts w:eastAsia="Times New Roman" w:cs="Times New Roman"/>
            <w:color w:val="0563C1"/>
          </w:rPr>
          <w:t>15</w:t>
        </w:r>
      </w:hyperlink>
      <w:r>
        <w:rPr>
          <w:rFonts w:eastAsia="Times New Roman" w:cs="Times New Roman"/>
        </w:rPr>
        <w:t>] An integrative review that organizes PV power prediction into a framework of three phases and seven modules: data acquisition and manipulation; model development, performance assessment and uncertainty quantification; and context-change detection and incremental learning. For each module it summarizes literature on inputs, pre-processing, single, hybrid and ensemble ML/DL models, meta-heuristic optimization, error metrics, skill scores and prediction-interval methods. A comparison table shows earlier reviews rarely cover uncertainty, context change or incremental learning. The framework is not tested. Gaps include adaptive models for changing weather, uncertainty-aware outputs, economically meaningful metrics and real-world validation.</w:t>
      </w:r>
    </w:p>
    <w:p w14:paraId="7AB4F592" w14:textId="77777777" w:rsidR="00FE1977" w:rsidRDefault="00FE1977">
      <w:pPr>
        <w:spacing w:after="240"/>
        <w:jc w:val="both"/>
      </w:pPr>
    </w:p>
    <w:p w14:paraId="0B3DD967" w14:textId="77777777" w:rsidR="005B4D48" w:rsidRDefault="00000000">
      <w:pPr>
        <w:pStyle w:val="Heading2"/>
        <w:numPr>
          <w:ilvl w:val="1"/>
          <w:numId w:val="12"/>
        </w:numPr>
      </w:pPr>
      <w:r>
        <w:lastRenderedPageBreak/>
        <w:t>Reviews of data, benchmarks and real-time systems</w:t>
      </w:r>
    </w:p>
    <w:p w14:paraId="5ECA0587" w14:textId="77777777" w:rsidR="005B4D48" w:rsidRDefault="00000000">
      <w:pPr>
        <w:spacing w:after="240"/>
        <w:jc w:val="both"/>
      </w:pPr>
      <w:r>
        <w:rPr>
          <w:rFonts w:eastAsia="Times New Roman" w:cs="Times New Roman"/>
        </w:rPr>
        <w:t>Most recurrent are weak baselines [</w:t>
      </w:r>
      <w:hyperlink w:anchor="ref_14" w:history="1">
        <w:r w:rsidR="005B4D48">
          <w:rPr>
            <w:rFonts w:eastAsia="Times New Roman" w:cs="Times New Roman"/>
            <w:color w:val="0563C1"/>
          </w:rPr>
          <w:t>14</w:t>
        </w:r>
      </w:hyperlink>
      <w:r>
        <w:rPr>
          <w:rFonts w:eastAsia="Times New Roman" w:cs="Times New Roman"/>
        </w:rPr>
        <w:t>], [</w:t>
      </w:r>
      <w:hyperlink w:anchor="ref_21" w:history="1">
        <w:r w:rsidR="005B4D48">
          <w:rPr>
            <w:rFonts w:eastAsia="Times New Roman" w:cs="Times New Roman"/>
            <w:color w:val="0563C1"/>
          </w:rPr>
          <w:t>21</w:t>
        </w:r>
      </w:hyperlink>
      <w:r>
        <w:rPr>
          <w:rFonts w:eastAsia="Times New Roman" w:cs="Times New Roman"/>
        </w:rPr>
        <w:t>] and cross-site generalization [</w:t>
      </w:r>
      <w:hyperlink w:anchor="ref_22" w:history="1">
        <w:r w:rsidR="005B4D48">
          <w:rPr>
            <w:rFonts w:eastAsia="Times New Roman" w:cs="Times New Roman"/>
            <w:color w:val="0563C1"/>
          </w:rPr>
          <w:t>22</w:t>
        </w:r>
      </w:hyperlink>
      <w:r>
        <w:rPr>
          <w:rFonts w:eastAsia="Times New Roman" w:cs="Times New Roman"/>
        </w:rPr>
        <w:t>], [</w:t>
      </w:r>
      <w:hyperlink w:anchor="ref_30" w:history="1">
        <w:r w:rsidR="005B4D48">
          <w:rPr>
            <w:rFonts w:eastAsia="Times New Roman" w:cs="Times New Roman"/>
            <w:color w:val="0563C1"/>
          </w:rPr>
          <w:t>30</w:t>
        </w:r>
      </w:hyperlink>
      <w:r>
        <w:rPr>
          <w:rFonts w:eastAsia="Times New Roman" w:cs="Times New Roman"/>
        </w:rPr>
        <w:t>]; others raise open data [</w:t>
      </w:r>
      <w:hyperlink w:anchor="ref_21" w:history="1">
        <w:r w:rsidR="005B4D48">
          <w:rPr>
            <w:rFonts w:eastAsia="Times New Roman" w:cs="Times New Roman"/>
            <w:color w:val="0563C1"/>
          </w:rPr>
          <w:t>21</w:t>
        </w:r>
      </w:hyperlink>
      <w:r>
        <w:rPr>
          <w:rFonts w:eastAsia="Times New Roman" w:cs="Times New Roman"/>
        </w:rPr>
        <w:t>] and edge deployment [</w:t>
      </w:r>
      <w:hyperlink w:anchor="ref_20" w:history="1">
        <w:r w:rsidR="005B4D48">
          <w:rPr>
            <w:rFonts w:eastAsia="Times New Roman" w:cs="Times New Roman"/>
            <w:color w:val="0563C1"/>
          </w:rPr>
          <w:t>20</w:t>
        </w:r>
      </w:hyperlink>
      <w:r>
        <w:rPr>
          <w:rFonts w:eastAsia="Times New Roman" w:cs="Times New Roman"/>
        </w:rPr>
        <w:t>].</w:t>
      </w:r>
    </w:p>
    <w:p w14:paraId="07430654" w14:textId="77777777" w:rsidR="005B4D48" w:rsidRDefault="00000000">
      <w:pPr>
        <w:spacing w:after="240"/>
        <w:jc w:val="both"/>
      </w:pPr>
      <w:r>
        <w:rPr>
          <w:rFonts w:eastAsia="Times New Roman" w:cs="Times New Roman"/>
        </w:rPr>
        <w:t>[</w:t>
      </w:r>
      <w:hyperlink w:anchor="ref_14" w:history="1">
        <w:r w:rsidR="005B4D48">
          <w:rPr>
            <w:rFonts w:eastAsia="Times New Roman" w:cs="Times New Roman"/>
            <w:color w:val="0563C1"/>
          </w:rPr>
          <w:t>14</w:t>
        </w:r>
      </w:hyperlink>
      <w:r>
        <w:rPr>
          <w:rFonts w:eastAsia="Times New Roman" w:cs="Times New Roman"/>
        </w:rPr>
        <w:t>] A narrative review of solar forecasting covering input acquisition (satellite images, all-sky imagers, sensor networks, NWP, hybrids), AI methods and evaluation, built from Google Scholar searches for 2018–2023 plus expert-selected work. It describes RMSE, MAE, MBE, rRMSE, forecast skill, CRPS and ramp/timing metrics, and tabulates studies by input, method, horizon, resolution and accuracy. AI use is rising while NWP-only work declines. Accuracy varies strongly by country and climate, and comparison against naive persistence lets weak methods look good. Gaps: a benchmarking framework, public standardized datasets, climate-based site classification, explainable AI and extreme-weather robustness.</w:t>
      </w:r>
    </w:p>
    <w:p w14:paraId="315688C7" w14:textId="77777777" w:rsidR="005B4D48" w:rsidRDefault="00000000">
      <w:pPr>
        <w:spacing w:after="240"/>
        <w:jc w:val="both"/>
      </w:pPr>
      <w:r>
        <w:rPr>
          <w:rFonts w:eastAsia="Times New Roman" w:cs="Times New Roman"/>
        </w:rPr>
        <w:t>[</w:t>
      </w:r>
      <w:hyperlink w:anchor="ref_20" w:history="1">
        <w:r w:rsidR="005B4D48">
          <w:rPr>
            <w:rFonts w:eastAsia="Times New Roman" w:cs="Times New Roman"/>
            <w:color w:val="0563C1"/>
          </w:rPr>
          <w:t>20</w:t>
        </w:r>
      </w:hyperlink>
      <w:r>
        <w:rPr>
          <w:rFonts w:eastAsia="Times New Roman" w:cs="Times New Roman"/>
        </w:rPr>
        <w:t>] Focusing on real-time photovoltaic prediction, the review screens 195 Web of Science records and analyses 60 studies from 2020 onward. Deep learning dominates (40 of 60), with recurrent networks, mainly LSTM, the most used architecture; random forests and support vector machines lead classical ML. Most studies forecast power one hour or less ahead using irradiance, temperature, wind speed and humidity. Ensembles and hybrids tend to be most accurate but costlier, and horizon affects accuracy more than model choice. Only four studies implement embedded hardware. The authors call for a standardized testbench with common data, horizons and normalised metrics.</w:t>
      </w:r>
    </w:p>
    <w:p w14:paraId="5FC9FFFA" w14:textId="77777777" w:rsidR="005B4D48" w:rsidRDefault="00000000">
      <w:pPr>
        <w:spacing w:after="240"/>
        <w:jc w:val="both"/>
      </w:pPr>
      <w:r>
        <w:rPr>
          <w:rFonts w:eastAsia="Times New Roman" w:cs="Times New Roman"/>
        </w:rPr>
        <w:t>[</w:t>
      </w:r>
      <w:hyperlink w:anchor="ref_21" w:history="1">
        <w:r w:rsidR="005B4D48">
          <w:rPr>
            <w:rFonts w:eastAsia="Times New Roman" w:cs="Times New Roman"/>
            <w:color w:val="0563C1"/>
          </w:rPr>
          <w:t>21</w:t>
        </w:r>
      </w:hyperlink>
      <w:r>
        <w:rPr>
          <w:rFonts w:eastAsia="Times New Roman" w:cs="Times New Roman"/>
        </w:rPr>
        <w:t>] Covering short-term machine-learning forecasting of solar irradiance and PV power since 2018, the review tabulates highly cited studies by horizon, test-set size, error metric, method and location, and explains common models from linear regression and gradient boosting to LSTM, CNN and graph networks. It argues data quality outweighs architecture and that tree-based models often match deep networks on noisy data. It recommends RMSE, MAE, R2 and forecast skill, plus CRPS, PICP and PIAW for probabilistic models. Open datasets are compiled and a benchmark built on NREL, SKIPP'D and SURFRAD, though test periods differ. Probabilistic forecasting and explainability remain underexplored.</w:t>
      </w:r>
    </w:p>
    <w:p w14:paraId="636DF0CF" w14:textId="77777777" w:rsidR="005B4D48" w:rsidRDefault="00000000">
      <w:pPr>
        <w:spacing w:after="240"/>
        <w:jc w:val="both"/>
      </w:pPr>
      <w:r>
        <w:rPr>
          <w:rFonts w:eastAsia="Times New Roman" w:cs="Times New Roman"/>
        </w:rPr>
        <w:t>[</w:t>
      </w:r>
      <w:hyperlink w:anchor="ref_22" w:history="1">
        <w:r w:rsidR="005B4D48">
          <w:rPr>
            <w:rFonts w:eastAsia="Times New Roman" w:cs="Times New Roman"/>
            <w:color w:val="0563C1"/>
          </w:rPr>
          <w:t>22</w:t>
        </w:r>
      </w:hyperlink>
      <w:r>
        <w:rPr>
          <w:rFonts w:eastAsia="Times New Roman" w:cs="Times New Roman"/>
        </w:rPr>
        <w:t>] A topical review of solar power generation forecasting that classifies methods into physical, statistical, hybrid and AI-based groups, and by horizon, areal scale, direct versus indirect, deterministic versus probabilistic, and time step. It profiles seven public PV datasets, explains LSTM, CNN, MLP, GRU, Transformer, ARMA and ARIMA, and tabulates 2019-2024 studies by data location, horizon, best method and metric. Short-term forecasting dominates, LSTM is the most frequently used model, and hybrids often perform best. Stated gaps include weather sensitivity, data availability, cross-site generalization, inconsistent metrics, missing standardized benchmarks, and embedded deployment.</w:t>
      </w:r>
    </w:p>
    <w:p w14:paraId="0BBC30FC" w14:textId="77777777" w:rsidR="005B4D48" w:rsidRDefault="00000000">
      <w:pPr>
        <w:spacing w:after="240"/>
        <w:jc w:val="both"/>
        <w:rPr>
          <w:rFonts w:eastAsia="Times New Roman" w:cs="Times New Roman"/>
        </w:rPr>
      </w:pPr>
      <w:r>
        <w:rPr>
          <w:rFonts w:eastAsia="Times New Roman" w:cs="Times New Roman"/>
        </w:rPr>
        <w:t>[</w:t>
      </w:r>
      <w:hyperlink w:anchor="ref_30" w:history="1">
        <w:r w:rsidR="005B4D48">
          <w:rPr>
            <w:rFonts w:eastAsia="Times New Roman" w:cs="Times New Roman"/>
            <w:color w:val="0563C1"/>
          </w:rPr>
          <w:t>30</w:t>
        </w:r>
      </w:hyperlink>
      <w:r>
        <w:rPr>
          <w:rFonts w:eastAsia="Times New Roman" w:cs="Times New Roman"/>
        </w:rPr>
        <w:t xml:space="preserve">] Combines a review of ML methods for short-term PV power forecasting with an original benchmark. It explains horizons, weather effects, KNN, SVM, decision trees, ensembles (bagging, boosting, stacking), neural networks and common error metrics, and tabulates earlier studies from 2010 to 2022. The experiment forecasts residential rooftop PV in Utrecht </w:t>
      </w:r>
      <w:r>
        <w:rPr>
          <w:rFonts w:eastAsia="Times New Roman" w:cs="Times New Roman"/>
        </w:rPr>
        <w:lastRenderedPageBreak/>
        <w:t>24 h ahead using ECMWF weather forecasts, comparing seven ML regressors against persistence and time-of-day average baselines. Grid-search-tuned random forest scored best (skill score 37.33%, nRMSE 10.07%). The authors note few studies report normalised errors or site locations, hindering cross-study and cross-site comparison, and call for deep and probabilistic forecasting.</w:t>
      </w:r>
    </w:p>
    <w:p w14:paraId="4DAFE9B8" w14:textId="77777777" w:rsidR="00FE1977" w:rsidRDefault="00FE1977" w:rsidP="00FE1977">
      <w:r>
        <w:rPr>
          <w:rFonts w:eastAsia="Times New Roman" w:cs="Times New Roman"/>
        </w:rPr>
        <w:br w:type="page"/>
      </w:r>
    </w:p>
    <w:p w14:paraId="70A61E31" w14:textId="77777777" w:rsidR="005B4D48" w:rsidRDefault="00000000">
      <w:pPr>
        <w:pStyle w:val="Heading2"/>
        <w:numPr>
          <w:ilvl w:val="1"/>
          <w:numId w:val="12"/>
        </w:numPr>
      </w:pPr>
      <w:r>
        <w:lastRenderedPageBreak/>
        <w:t>Reviews of specific settings and applications</w:t>
      </w:r>
    </w:p>
    <w:p w14:paraId="2FE142A6" w14:textId="77777777" w:rsidR="005B4D48" w:rsidRDefault="00000000">
      <w:pPr>
        <w:spacing w:after="240"/>
        <w:jc w:val="both"/>
      </w:pPr>
      <w:r>
        <w:rPr>
          <w:rFonts w:eastAsia="Times New Roman" w:cs="Times New Roman"/>
        </w:rPr>
        <w:t>Most recurrent are a standard benchmark or metrics [</w:t>
      </w:r>
      <w:hyperlink w:anchor="ref_33" w:history="1">
        <w:r w:rsidR="005B4D48">
          <w:rPr>
            <w:rFonts w:eastAsia="Times New Roman" w:cs="Times New Roman"/>
            <w:color w:val="0563C1"/>
          </w:rPr>
          <w:t>33</w:t>
        </w:r>
      </w:hyperlink>
      <w:r>
        <w:rPr>
          <w:rFonts w:eastAsia="Times New Roman" w:cs="Times New Roman"/>
        </w:rPr>
        <w:t>], [</w:t>
      </w:r>
      <w:hyperlink w:anchor="ref_38" w:history="1">
        <w:r w:rsidR="005B4D48">
          <w:rPr>
            <w:rFonts w:eastAsia="Times New Roman" w:cs="Times New Roman"/>
            <w:color w:val="0563C1"/>
          </w:rPr>
          <w:t>38</w:t>
        </w:r>
      </w:hyperlink>
      <w:r>
        <w:rPr>
          <w:rFonts w:eastAsia="Times New Roman" w:cs="Times New Roman"/>
        </w:rPr>
        <w:t>], [</w:t>
      </w:r>
      <w:hyperlink w:anchor="ref_39" w:history="1">
        <w:r w:rsidR="005B4D48">
          <w:rPr>
            <w:rFonts w:eastAsia="Times New Roman" w:cs="Times New Roman"/>
            <w:color w:val="0563C1"/>
          </w:rPr>
          <w:t>39</w:t>
        </w:r>
      </w:hyperlink>
      <w:r>
        <w:rPr>
          <w:rFonts w:eastAsia="Times New Roman" w:cs="Times New Roman"/>
        </w:rPr>
        <w:t>] and extreme or climate-specific conditions [</w:t>
      </w:r>
      <w:hyperlink w:anchor="ref_10" w:history="1">
        <w:r w:rsidR="005B4D48">
          <w:rPr>
            <w:rFonts w:eastAsia="Times New Roman" w:cs="Times New Roman"/>
            <w:color w:val="0563C1"/>
          </w:rPr>
          <w:t>10</w:t>
        </w:r>
      </w:hyperlink>
      <w:r>
        <w:rPr>
          <w:rFonts w:eastAsia="Times New Roman" w:cs="Times New Roman"/>
        </w:rPr>
        <w:t>], [</w:t>
      </w:r>
      <w:hyperlink w:anchor="ref_31" w:history="1">
        <w:r w:rsidR="005B4D48">
          <w:rPr>
            <w:rFonts w:eastAsia="Times New Roman" w:cs="Times New Roman"/>
            <w:color w:val="0563C1"/>
          </w:rPr>
          <w:t>31</w:t>
        </w:r>
      </w:hyperlink>
      <w:r>
        <w:rPr>
          <w:rFonts w:eastAsia="Times New Roman" w:cs="Times New Roman"/>
        </w:rPr>
        <w:t>]; others raise leakage from random k-fold splits [</w:t>
      </w:r>
      <w:hyperlink w:anchor="ref_10" w:history="1">
        <w:r w:rsidR="005B4D48">
          <w:rPr>
            <w:rFonts w:eastAsia="Times New Roman" w:cs="Times New Roman"/>
            <w:color w:val="0563C1"/>
          </w:rPr>
          <w:t>10</w:t>
        </w:r>
      </w:hyperlink>
      <w:r>
        <w:rPr>
          <w:rFonts w:eastAsia="Times New Roman" w:cs="Times New Roman"/>
        </w:rPr>
        <w:t>] and stronger baselines [</w:t>
      </w:r>
      <w:hyperlink w:anchor="ref_26" w:history="1">
        <w:r w:rsidR="005B4D48">
          <w:rPr>
            <w:rFonts w:eastAsia="Times New Roman" w:cs="Times New Roman"/>
            <w:color w:val="0563C1"/>
          </w:rPr>
          <w:t>26</w:t>
        </w:r>
      </w:hyperlink>
      <w:r>
        <w:rPr>
          <w:rFonts w:eastAsia="Times New Roman" w:cs="Times New Roman"/>
        </w:rPr>
        <w:t>].</w:t>
      </w:r>
    </w:p>
    <w:p w14:paraId="6FC6B617" w14:textId="77777777" w:rsidR="005B4D48" w:rsidRDefault="00000000">
      <w:pPr>
        <w:spacing w:after="240"/>
        <w:jc w:val="both"/>
      </w:pPr>
      <w:r>
        <w:rPr>
          <w:rFonts w:eastAsia="Times New Roman" w:cs="Times New Roman"/>
        </w:rPr>
        <w:t>[</w:t>
      </w:r>
      <w:hyperlink w:anchor="ref_8" w:history="1">
        <w:r w:rsidR="005B4D48">
          <w:rPr>
            <w:rFonts w:eastAsia="Times New Roman" w:cs="Times New Roman"/>
            <w:color w:val="0563C1"/>
          </w:rPr>
          <w:t>8</w:t>
        </w:r>
      </w:hyperlink>
      <w:r>
        <w:rPr>
          <w:rFonts w:eastAsia="Times New Roman" w:cs="Times New Roman"/>
        </w:rPr>
        <w:t>] A PRISMA-based systematic review of 55 studies (2019–2024) on AI forecasting for building-integrated and conventional PV, organised into potential, power and energy domains plus dual-domain approaches. It tabulates algorithms, horizons, resolutions, data lengths and reported errors, noting day-ahead power forecasting dominates and energy forecasting is scarce. Hybrid ANN–CNN and LSTM-based models perform strongly, but the authors flag inconsistent metrics, façade segmentation errors, weather sensitivity, high computational cost and horizons of at most three years. Gaps include no unified PPE framework, weak cross-site generalization, absent economic indicators and limited real-world façade validation.</w:t>
      </w:r>
    </w:p>
    <w:p w14:paraId="35447DC0" w14:textId="77777777" w:rsidR="005B4D48" w:rsidRDefault="00000000">
      <w:pPr>
        <w:spacing w:after="240"/>
        <w:jc w:val="both"/>
      </w:pPr>
      <w:r>
        <w:rPr>
          <w:rFonts w:eastAsia="Times New Roman" w:cs="Times New Roman"/>
        </w:rPr>
        <w:t>[</w:t>
      </w:r>
      <w:hyperlink w:anchor="ref_10" w:history="1">
        <w:r w:rsidR="005B4D48">
          <w:rPr>
            <w:rFonts w:eastAsia="Times New Roman" w:cs="Times New Roman"/>
            <w:color w:val="0563C1"/>
          </w:rPr>
          <w:t>10</w:t>
        </w:r>
      </w:hyperlink>
      <w:r>
        <w:rPr>
          <w:rFonts w:eastAsia="Times New Roman" w:cs="Times New Roman"/>
        </w:rPr>
        <w:t>] A PRISMA 2020 systematic review of 61 studies (2020–2025) on machine learning for urban rooftop and building-integrated PV, supplemented by eight EU-funded projects and a market scan. Studies fall into five clusters, from city-scale mapping and short-term forecasting to design surrogates and control. ANN, CNN, LSTM and random forest dominate. A small meta-analysis of four contrasts reports pooled r ≈ 0.966 and about 15% lower error than physical or empirical baselines. Orientation/tilt, irradiance variability and transient shading matter most. Gaps include under-sampled equatorial and arid cities, leakage from random k-fold splits, scarce external-city validation and weak uncertainty and techno-economic reporting.</w:t>
      </w:r>
    </w:p>
    <w:p w14:paraId="1F991016" w14:textId="77777777" w:rsidR="005B4D48" w:rsidRDefault="00000000">
      <w:pPr>
        <w:spacing w:after="240"/>
        <w:jc w:val="both"/>
      </w:pPr>
      <w:r>
        <w:rPr>
          <w:rFonts w:eastAsia="Times New Roman" w:cs="Times New Roman"/>
        </w:rPr>
        <w:t>[</w:t>
      </w:r>
      <w:hyperlink w:anchor="ref_19" w:history="1">
        <w:r w:rsidR="005B4D48">
          <w:rPr>
            <w:rFonts w:eastAsia="Times New Roman" w:cs="Times New Roman"/>
            <w:color w:val="0563C1"/>
          </w:rPr>
          <w:t>19</w:t>
        </w:r>
      </w:hyperlink>
      <w:r>
        <w:rPr>
          <w:rFonts w:eastAsia="Times New Roman" w:cs="Times New Roman"/>
        </w:rPr>
        <w:t>] Written in a smart-city framing, the review explains why solar power must be forecast to balance urban demand and supply, then covers smart grids, panel-defect challenges, forecasting categories and horizons, and a Scopus trend count showing growing publications from 2010 to 2022. It summarises small sets of ML studies (ETR, RF, ensembles) and recurrent DL studies (RNN, LSTM, GRU, CNN and attention hybrids), reporting that DL and hybrid models usually outperform classical baselines. There is no search protocol or comparative analysis. Future work is limited to richer inputs such as sky images, feature selection, transfer learning and hyperparameter tuning.</w:t>
      </w:r>
    </w:p>
    <w:p w14:paraId="4E0ACD98" w14:textId="77777777" w:rsidR="005B4D48" w:rsidRDefault="00000000">
      <w:pPr>
        <w:spacing w:after="240"/>
        <w:jc w:val="both"/>
      </w:pPr>
      <w:r>
        <w:rPr>
          <w:rFonts w:eastAsia="Times New Roman" w:cs="Times New Roman"/>
        </w:rPr>
        <w:t>[</w:t>
      </w:r>
      <w:hyperlink w:anchor="ref_24" w:history="1">
        <w:r w:rsidR="005B4D48">
          <w:rPr>
            <w:rFonts w:eastAsia="Times New Roman" w:cs="Times New Roman"/>
            <w:color w:val="0563C1"/>
          </w:rPr>
          <w:t>24</w:t>
        </w:r>
      </w:hyperlink>
      <w:r>
        <w:rPr>
          <w:rFonts w:eastAsia="Times New Roman" w:cs="Times New Roman"/>
        </w:rPr>
        <w:t>] A broad survey of grid-connected PV systems and solar power forecasting covering PV system scenarios, cloud pattern analysis, AVHRR-based cloud cover, input correlation analysis, neural-network and statistical ML approaches, hybrid and probabilistic methods, and PV investment. It presents a correlation and feature-importance analysis in which shortwave radiation correlates most strongly with generated power, and compiles NRMSE results from earlier studies, where RBFNN-AGO scores best at 4.65%. Coverage of ground-based cloud imagery is thin and mixed with unrelated control and economics topics. Noted gaps are cloud motion prediction, costly cloud labelling, and the need for better pre-processing and neural models.</w:t>
      </w:r>
    </w:p>
    <w:p w14:paraId="0F7E2381" w14:textId="77777777" w:rsidR="005B4D48" w:rsidRDefault="00000000">
      <w:pPr>
        <w:spacing w:after="240"/>
        <w:jc w:val="both"/>
      </w:pPr>
      <w:r>
        <w:rPr>
          <w:rFonts w:eastAsia="Times New Roman" w:cs="Times New Roman"/>
        </w:rPr>
        <w:lastRenderedPageBreak/>
        <w:t>[</w:t>
      </w:r>
      <w:hyperlink w:anchor="ref_26" w:history="1">
        <w:r w:rsidR="005B4D48">
          <w:rPr>
            <w:rFonts w:eastAsia="Times New Roman" w:cs="Times New Roman"/>
            <w:color w:val="0563C1"/>
          </w:rPr>
          <w:t>26</w:t>
        </w:r>
      </w:hyperlink>
      <w:r>
        <w:rPr>
          <w:rFonts w:eastAsia="Times New Roman" w:cs="Times New Roman"/>
        </w:rPr>
        <w:t>] A review of spatio-temporal solar forecasting that uses data from neighbouring ground sensors or PV systems, sometimes combined with satellite or NWP estimates. Eighty-four studies from 2011-2021, found by keyword search, are tabulated by model family, data source, time resolution, horizon and area. Statistical methods dominate, followed by machine learning, physical, deep learning and hybrid methods; most target intra-hour or intra-day horizons, use RMSE and forecast skill, and compare against persistence. Gaps include small, unrepresentative datasets (often under 20 sites), little open data, few probabilistic or long-horizon studies, and dimensionality problems from many lagged inputs.</w:t>
      </w:r>
    </w:p>
    <w:p w14:paraId="7524B2D3" w14:textId="77777777" w:rsidR="005B4D48" w:rsidRDefault="00000000">
      <w:pPr>
        <w:spacing w:after="240"/>
        <w:jc w:val="both"/>
      </w:pPr>
      <w:r>
        <w:rPr>
          <w:rFonts w:eastAsia="Times New Roman" w:cs="Times New Roman"/>
        </w:rPr>
        <w:t>[</w:t>
      </w:r>
      <w:hyperlink w:anchor="ref_31" w:history="1">
        <w:r w:rsidR="005B4D48">
          <w:rPr>
            <w:rFonts w:eastAsia="Times New Roman" w:cs="Times New Roman"/>
            <w:color w:val="0563C1"/>
          </w:rPr>
          <w:t>31</w:t>
        </w:r>
      </w:hyperlink>
      <w:r>
        <w:rPr>
          <w:rFonts w:eastAsia="Times New Roman" w:cs="Times New Roman"/>
        </w:rPr>
        <w:t>] Dimd et al. review machine-learning PV output power forecasting for cold, high-latitude Nordic regions. The narrative review explains the generic forecasting workflow, compares SVM, tree ensembles, MLP, CNN and LSTM, and classifies models by horizon, model type, time step, areal scale and point versus probabilistic output. It finds irradiance and cloud cover essential inputs, warns that time steps or horizons beyond one hour cause large errors in Norway's variable weather, and highlights ensembles, decomposition, optimisation and weather clustering. Snow soiling and albedo are rarely modelled; the authors propose snow inputs or correction terms but note snow measurements are lacking.</w:t>
      </w:r>
    </w:p>
    <w:p w14:paraId="1BED33E1" w14:textId="77777777" w:rsidR="005B4D48" w:rsidRDefault="00000000">
      <w:pPr>
        <w:spacing w:after="240"/>
        <w:jc w:val="both"/>
      </w:pPr>
      <w:r>
        <w:rPr>
          <w:rFonts w:eastAsia="Times New Roman" w:cs="Times New Roman"/>
        </w:rPr>
        <w:t>[</w:t>
      </w:r>
      <w:hyperlink w:anchor="ref_33" w:history="1">
        <w:r w:rsidR="005B4D48">
          <w:rPr>
            <w:rFonts w:eastAsia="Times New Roman" w:cs="Times New Roman"/>
            <w:color w:val="0563C1"/>
          </w:rPr>
          <w:t>33</w:t>
        </w:r>
      </w:hyperlink>
      <w:r>
        <w:rPr>
          <w:rFonts w:eastAsia="Times New Roman" w:cs="Times New Roman"/>
        </w:rPr>
        <w:t>] Liu et al. organise PV power and solar radiation forecasting literature by temporal scale (ultra-short-term 0-4 h, short-term 4-72 h, medium and long-term to one year) and spatial scale (single site versus regional). For each combination they describe typical approaches, from cloud-image and data-driven models to decomposition hybrids, clustering-based regional upscaling and empirical sunshine or temperature models, and tabulate reported inputs and errors. They conclude short-term prediction dominates, machine learning handles day-ahead nonlinearity well, and regional forecasts are more stable through spatial averaging. They note errors are not comparable across studies, lacking uniform evaluation standards, and regional studies are scarce.</w:t>
      </w:r>
    </w:p>
    <w:p w14:paraId="75EBEF83" w14:textId="77777777" w:rsidR="005B4D48" w:rsidRDefault="00000000">
      <w:pPr>
        <w:spacing w:after="240"/>
        <w:jc w:val="both"/>
      </w:pPr>
      <w:r>
        <w:rPr>
          <w:rFonts w:eastAsia="Times New Roman" w:cs="Times New Roman"/>
        </w:rPr>
        <w:t>[</w:t>
      </w:r>
      <w:hyperlink w:anchor="ref_38" w:history="1">
        <w:r w:rsidR="005B4D48">
          <w:rPr>
            <w:rFonts w:eastAsia="Times New Roman" w:cs="Times New Roman"/>
            <w:color w:val="0563C1"/>
          </w:rPr>
          <w:t>38</w:t>
        </w:r>
      </w:hyperlink>
      <w:r>
        <w:rPr>
          <w:rFonts w:eastAsia="Times New Roman" w:cs="Times New Roman"/>
        </w:rPr>
        <w:t>] Narrative review of photovoltaic generation forecasting for buildings, screening Scopus records from 2019-2024 to 89 articles on building-integrated and building-attached systems. It catalogues building-specific factors (facade orientation, partial shading, soiling, inverter topology), weather and PV data sources, physical, statistical, machine-learning, hybrid and ensemble models, and evaluation metrics. Neural networks, especially LSTM, ANN and MLP, dominate; RMSE is the most used metric, and reported accuracy depends heavily on site and data, not only model type. Gaps include standardized benchmarks, normalised metrics, missing-data handling, spatio-temporal and federated learning, BIPV/bifacial datasets, and linking forecasts to energy-management decisions.</w:t>
      </w:r>
    </w:p>
    <w:p w14:paraId="77507E4E" w14:textId="77777777" w:rsidR="005B4D48" w:rsidRDefault="00000000">
      <w:pPr>
        <w:spacing w:after="240"/>
        <w:jc w:val="both"/>
      </w:pPr>
      <w:r>
        <w:rPr>
          <w:rFonts w:eastAsia="Times New Roman" w:cs="Times New Roman"/>
        </w:rPr>
        <w:t>[</w:t>
      </w:r>
      <w:hyperlink w:anchor="ref_39" w:history="1">
        <w:r w:rsidR="005B4D48">
          <w:rPr>
            <w:rFonts w:eastAsia="Times New Roman" w:cs="Times New Roman"/>
            <w:color w:val="0563C1"/>
          </w:rPr>
          <w:t>39</w:t>
        </w:r>
      </w:hyperlink>
      <w:r>
        <w:rPr>
          <w:rFonts w:eastAsia="Times New Roman" w:cs="Times New Roman"/>
        </w:rPr>
        <w:t xml:space="preserve">] Combines a Scopus-based scientometric analysis, a PRISMA 2020 systematic review of 50 studies and a random-effects meta-analysis of five studies to examine machine-learning PV power forecasting integrated with energy storage. It covers statistical baselines, classical ML, ANNs, LSTM/GRU/CNN, hybrid and Transformer models, plus AI for battery and EV charging management. Deep and hybrid models consistently outperform ARIMA and persistence; the pooled R2 is about 0.95, though with a very wide interval. About 40% of studies were of moderate-to-low quality. Gaps include missing external validation, scarce </w:t>
      </w:r>
      <w:r>
        <w:rPr>
          <w:rFonts w:eastAsia="Times New Roman" w:cs="Times New Roman"/>
        </w:rPr>
        <w:lastRenderedPageBreak/>
        <w:t>uncertainty reporting, inconsistent horizons and metrics, no standard benchmarks, and few closed-loop forecast-to-storage evaluations.</w:t>
      </w:r>
    </w:p>
    <w:p w14:paraId="660A7124" w14:textId="77777777" w:rsidR="005B4D48" w:rsidRDefault="00000000">
      <w:r>
        <w:br w:type="page"/>
      </w:r>
    </w:p>
    <w:p w14:paraId="39A36731" w14:textId="77777777" w:rsidR="005B4D48" w:rsidRDefault="00000000">
      <w:pPr>
        <w:pStyle w:val="Heading1"/>
        <w:pageBreakBefore/>
        <w:numPr>
          <w:ilvl w:val="0"/>
          <w:numId w:val="12"/>
        </w:numPr>
      </w:pPr>
      <w:r>
        <w:lastRenderedPageBreak/>
        <w:t>POTENTIAL RESEARCH GAPS</w:t>
      </w:r>
    </w:p>
    <w:p w14:paraId="4CBA98F8" w14:textId="77777777" w:rsidR="005B4D48" w:rsidRDefault="00000000">
      <w:pPr>
        <w:numPr>
          <w:ilvl w:val="0"/>
          <w:numId w:val="13"/>
        </w:numPr>
        <w:spacing w:after="80"/>
        <w:jc w:val="both"/>
      </w:pPr>
      <w:r>
        <w:rPr>
          <w:rFonts w:eastAsia="Times New Roman" w:cs="Times New Roman"/>
          <w:b/>
        </w:rPr>
        <w:t>CROSS-SITE GENERALIZATION:</w:t>
      </w:r>
      <w:r>
        <w:rPr>
          <w:rFonts w:eastAsia="Times New Roman" w:cs="Times New Roman"/>
        </w:rPr>
        <w:t xml:space="preserve"> Most models are trained and tested on one plant in one climate [</w:t>
      </w:r>
      <w:hyperlink w:anchor="ref_3" w:history="1">
        <w:r w:rsidR="005B4D48">
          <w:rPr>
            <w:rFonts w:eastAsia="Times New Roman" w:cs="Times New Roman"/>
            <w:color w:val="0563C1"/>
          </w:rPr>
          <w:t>3</w:t>
        </w:r>
      </w:hyperlink>
      <w:r>
        <w:rPr>
          <w:rFonts w:eastAsia="Times New Roman" w:cs="Times New Roman"/>
        </w:rPr>
        <w:t xml:space="preserve">, </w:t>
      </w:r>
      <w:hyperlink w:anchor="ref_9" w:history="1">
        <w:r w:rsidR="005B4D48">
          <w:rPr>
            <w:rFonts w:eastAsia="Times New Roman" w:cs="Times New Roman"/>
            <w:color w:val="0563C1"/>
          </w:rPr>
          <w:t>9</w:t>
        </w:r>
      </w:hyperlink>
      <w:r>
        <w:rPr>
          <w:rFonts w:eastAsia="Times New Roman" w:cs="Times New Roman"/>
        </w:rPr>
        <w:t xml:space="preserve">, </w:t>
      </w:r>
      <w:hyperlink w:anchor="ref_12" w:history="1">
        <w:r w:rsidR="005B4D48">
          <w:rPr>
            <w:rFonts w:eastAsia="Times New Roman" w:cs="Times New Roman"/>
            <w:color w:val="0563C1"/>
          </w:rPr>
          <w:t>12</w:t>
        </w:r>
      </w:hyperlink>
      <w:r>
        <w:rPr>
          <w:rFonts w:eastAsia="Times New Roman" w:cs="Times New Roman"/>
        </w:rPr>
        <w:t xml:space="preserve">, </w:t>
      </w:r>
      <w:hyperlink w:anchor="ref_16" w:history="1">
        <w:r w:rsidR="005B4D48">
          <w:rPr>
            <w:rFonts w:eastAsia="Times New Roman" w:cs="Times New Roman"/>
            <w:color w:val="0563C1"/>
          </w:rPr>
          <w:t>16</w:t>
        </w:r>
      </w:hyperlink>
      <w:r>
        <w:rPr>
          <w:rFonts w:eastAsia="Times New Roman" w:cs="Times New Roman"/>
        </w:rPr>
        <w:t xml:space="preserve">, </w:t>
      </w:r>
      <w:hyperlink w:anchor="ref_22" w:history="1">
        <w:r w:rsidR="005B4D48">
          <w:rPr>
            <w:rFonts w:eastAsia="Times New Roman" w:cs="Times New Roman"/>
            <w:color w:val="0563C1"/>
          </w:rPr>
          <w:t>22</w:t>
        </w:r>
      </w:hyperlink>
      <w:r>
        <w:rPr>
          <w:rFonts w:eastAsia="Times New Roman" w:cs="Times New Roman"/>
        </w:rPr>
        <w:t xml:space="preserve">, </w:t>
      </w:r>
      <w:hyperlink w:anchor="ref_23" w:history="1">
        <w:r w:rsidR="005B4D48">
          <w:rPr>
            <w:rFonts w:eastAsia="Times New Roman" w:cs="Times New Roman"/>
            <w:color w:val="0563C1"/>
          </w:rPr>
          <w:t>23</w:t>
        </w:r>
      </w:hyperlink>
      <w:r>
        <w:rPr>
          <w:rFonts w:eastAsia="Times New Roman" w:cs="Times New Roman"/>
        </w:rPr>
        <w:t xml:space="preserve">, </w:t>
      </w:r>
      <w:hyperlink w:anchor="ref_30" w:history="1">
        <w:r w:rsidR="005B4D48">
          <w:rPr>
            <w:rFonts w:eastAsia="Times New Roman" w:cs="Times New Roman"/>
            <w:color w:val="0563C1"/>
          </w:rPr>
          <w:t>30</w:t>
        </w:r>
      </w:hyperlink>
      <w:r>
        <w:rPr>
          <w:rFonts w:eastAsia="Times New Roman" w:cs="Times New Roman"/>
        </w:rPr>
        <w:t xml:space="preserve">, </w:t>
      </w:r>
      <w:hyperlink w:anchor="ref_36" w:history="1">
        <w:r w:rsidR="005B4D48">
          <w:rPr>
            <w:rFonts w:eastAsia="Times New Roman" w:cs="Times New Roman"/>
            <w:color w:val="0563C1"/>
          </w:rPr>
          <w:t>36</w:t>
        </w:r>
      </w:hyperlink>
      <w:r>
        <w:rPr>
          <w:rFonts w:eastAsia="Times New Roman" w:cs="Times New Roman"/>
        </w:rPr>
        <w:t xml:space="preserve">, </w:t>
      </w:r>
      <w:hyperlink w:anchor="ref_37" w:history="1">
        <w:r w:rsidR="005B4D48">
          <w:rPr>
            <w:rFonts w:eastAsia="Times New Roman" w:cs="Times New Roman"/>
            <w:color w:val="0563C1"/>
          </w:rPr>
          <w:t>37</w:t>
        </w:r>
      </w:hyperlink>
      <w:r>
        <w:rPr>
          <w:rFonts w:eastAsia="Times New Roman" w:cs="Times New Roman"/>
        </w:rPr>
        <w:t>]; solving it shows whether a model built elsewhere works on a new plant, including plants with no history.</w:t>
      </w:r>
    </w:p>
    <w:p w14:paraId="2D8B3797" w14:textId="77777777" w:rsidR="005B4D48" w:rsidRDefault="00000000">
      <w:pPr>
        <w:numPr>
          <w:ilvl w:val="0"/>
          <w:numId w:val="13"/>
        </w:numPr>
        <w:spacing w:after="80"/>
        <w:jc w:val="both"/>
      </w:pPr>
      <w:r>
        <w:rPr>
          <w:rFonts w:eastAsia="Times New Roman" w:cs="Times New Roman"/>
          <w:b/>
        </w:rPr>
        <w:t>DATA LEAKAGE IN EVALUATION:</w:t>
      </w:r>
      <w:r>
        <w:rPr>
          <w:rFonts w:eastAsia="Times New Roman" w:cs="Times New Roman"/>
        </w:rPr>
        <w:t xml:space="preserve"> Few studies report safeguards against leakage: only 37% address temporal leakage prevention [</w:t>
      </w:r>
      <w:hyperlink w:anchor="ref_2" w:history="1">
        <w:r w:rsidR="005B4D48">
          <w:rPr>
            <w:rFonts w:eastAsia="Times New Roman" w:cs="Times New Roman"/>
            <w:color w:val="0563C1"/>
          </w:rPr>
          <w:t>2</w:t>
        </w:r>
      </w:hyperlink>
      <w:r>
        <w:rPr>
          <w:rFonts w:eastAsia="Times New Roman" w:cs="Times New Roman"/>
        </w:rPr>
        <w:t>], and random k-fold splits are flagged as a leakage risk [</w:t>
      </w:r>
      <w:hyperlink w:anchor="ref_10" w:history="1">
        <w:r w:rsidR="005B4D48">
          <w:rPr>
            <w:rFonts w:eastAsia="Times New Roman" w:cs="Times New Roman"/>
            <w:color w:val="0563C1"/>
          </w:rPr>
          <w:t>10</w:t>
        </w:r>
      </w:hyperlink>
      <w:r>
        <w:rPr>
          <w:rFonts w:eastAsia="Times New Roman" w:cs="Times New Roman"/>
        </w:rPr>
        <w:t>]; related evaluation flaws, such as unequal model inputs and night-time zeros, also inflate reported accuracy [</w:t>
      </w:r>
      <w:hyperlink w:anchor="ref_16" w:history="1">
        <w:r w:rsidR="005B4D48">
          <w:rPr>
            <w:rFonts w:eastAsia="Times New Roman" w:cs="Times New Roman"/>
            <w:color w:val="0563C1"/>
          </w:rPr>
          <w:t>16</w:t>
        </w:r>
      </w:hyperlink>
      <w:r>
        <w:rPr>
          <w:rFonts w:eastAsia="Times New Roman" w:cs="Times New Roman"/>
        </w:rPr>
        <w:t>]. Solving it gives a true measure of accuracy.</w:t>
      </w:r>
    </w:p>
    <w:p w14:paraId="50E058FF" w14:textId="77777777" w:rsidR="005B4D48" w:rsidRDefault="00000000">
      <w:pPr>
        <w:numPr>
          <w:ilvl w:val="0"/>
          <w:numId w:val="13"/>
        </w:numPr>
        <w:spacing w:after="80"/>
        <w:jc w:val="both"/>
      </w:pPr>
      <w:r>
        <w:rPr>
          <w:rFonts w:eastAsia="Times New Roman" w:cs="Times New Roman"/>
          <w:b/>
        </w:rPr>
        <w:t>NO STANDARD BENCHMARK OR METRICS:</w:t>
      </w:r>
      <w:r>
        <w:rPr>
          <w:rFonts w:eastAsia="Times New Roman" w:cs="Times New Roman"/>
        </w:rPr>
        <w:t xml:space="preserve"> Studies use different datasets, test periods and error measures, so results cannot be compared [</w:t>
      </w:r>
      <w:hyperlink w:anchor="ref_2" w:history="1">
        <w:r w:rsidR="005B4D48">
          <w:rPr>
            <w:rFonts w:eastAsia="Times New Roman" w:cs="Times New Roman"/>
            <w:color w:val="0563C1"/>
          </w:rPr>
          <w:t>2</w:t>
        </w:r>
      </w:hyperlink>
      <w:r>
        <w:rPr>
          <w:rFonts w:eastAsia="Times New Roman" w:cs="Times New Roman"/>
        </w:rPr>
        <w:t xml:space="preserve">, </w:t>
      </w:r>
      <w:hyperlink w:anchor="ref_6" w:history="1">
        <w:r w:rsidR="005B4D48">
          <w:rPr>
            <w:rFonts w:eastAsia="Times New Roman" w:cs="Times New Roman"/>
            <w:color w:val="0563C1"/>
          </w:rPr>
          <w:t>6</w:t>
        </w:r>
      </w:hyperlink>
      <w:r>
        <w:rPr>
          <w:rFonts w:eastAsia="Times New Roman" w:cs="Times New Roman"/>
        </w:rPr>
        <w:t xml:space="preserve">, </w:t>
      </w:r>
      <w:hyperlink w:anchor="ref_13" w:history="1">
        <w:r w:rsidR="005B4D48">
          <w:rPr>
            <w:rFonts w:eastAsia="Times New Roman" w:cs="Times New Roman"/>
            <w:color w:val="0563C1"/>
          </w:rPr>
          <w:t>13</w:t>
        </w:r>
      </w:hyperlink>
      <w:r>
        <w:rPr>
          <w:rFonts w:eastAsia="Times New Roman" w:cs="Times New Roman"/>
        </w:rPr>
        <w:t xml:space="preserve">, </w:t>
      </w:r>
      <w:hyperlink w:anchor="ref_32" w:history="1">
        <w:r w:rsidR="005B4D48">
          <w:rPr>
            <w:rFonts w:eastAsia="Times New Roman" w:cs="Times New Roman"/>
            <w:color w:val="0563C1"/>
          </w:rPr>
          <w:t>32</w:t>
        </w:r>
      </w:hyperlink>
      <w:r>
        <w:rPr>
          <w:rFonts w:eastAsia="Times New Roman" w:cs="Times New Roman"/>
        </w:rPr>
        <w:t xml:space="preserve">, </w:t>
      </w:r>
      <w:hyperlink w:anchor="ref_33" w:history="1">
        <w:r w:rsidR="005B4D48">
          <w:rPr>
            <w:rFonts w:eastAsia="Times New Roman" w:cs="Times New Roman"/>
            <w:color w:val="0563C1"/>
          </w:rPr>
          <w:t>33</w:t>
        </w:r>
      </w:hyperlink>
      <w:r>
        <w:rPr>
          <w:rFonts w:eastAsia="Times New Roman" w:cs="Times New Roman"/>
        </w:rPr>
        <w:t xml:space="preserve">, </w:t>
      </w:r>
      <w:hyperlink w:anchor="ref_37" w:history="1">
        <w:r w:rsidR="005B4D48">
          <w:rPr>
            <w:rFonts w:eastAsia="Times New Roman" w:cs="Times New Roman"/>
            <w:color w:val="0563C1"/>
          </w:rPr>
          <w:t>37</w:t>
        </w:r>
      </w:hyperlink>
      <w:r>
        <w:rPr>
          <w:rFonts w:eastAsia="Times New Roman" w:cs="Times New Roman"/>
        </w:rPr>
        <w:t xml:space="preserve">, </w:t>
      </w:r>
      <w:hyperlink w:anchor="ref_38" w:history="1">
        <w:r w:rsidR="005B4D48">
          <w:rPr>
            <w:rFonts w:eastAsia="Times New Roman" w:cs="Times New Roman"/>
            <w:color w:val="0563C1"/>
          </w:rPr>
          <w:t>38</w:t>
        </w:r>
      </w:hyperlink>
      <w:r>
        <w:rPr>
          <w:rFonts w:eastAsia="Times New Roman" w:cs="Times New Roman"/>
        </w:rPr>
        <w:t xml:space="preserve">, </w:t>
      </w:r>
      <w:hyperlink w:anchor="ref_39" w:history="1">
        <w:r w:rsidR="005B4D48">
          <w:rPr>
            <w:rFonts w:eastAsia="Times New Roman" w:cs="Times New Roman"/>
            <w:color w:val="0563C1"/>
          </w:rPr>
          <w:t>39</w:t>
        </w:r>
      </w:hyperlink>
      <w:r>
        <w:rPr>
          <w:rFonts w:eastAsia="Times New Roman" w:cs="Times New Roman"/>
        </w:rPr>
        <w:t>]; solving it gives a fair way to rank models.</w:t>
      </w:r>
    </w:p>
    <w:p w14:paraId="49C310DE" w14:textId="77777777" w:rsidR="005B4D48" w:rsidRDefault="00000000">
      <w:pPr>
        <w:numPr>
          <w:ilvl w:val="0"/>
          <w:numId w:val="13"/>
        </w:numPr>
        <w:spacing w:after="80"/>
        <w:jc w:val="both"/>
      </w:pPr>
      <w:r>
        <w:rPr>
          <w:rFonts w:eastAsia="Times New Roman" w:cs="Times New Roman"/>
          <w:b/>
        </w:rPr>
        <w:t>WEAK OR MISSING BASELINES:</w:t>
      </w:r>
      <w:r>
        <w:rPr>
          <w:rFonts w:eastAsia="Times New Roman" w:cs="Times New Roman"/>
        </w:rPr>
        <w:t xml:space="preserve"> Baselines are often missing or too weak: naive persistence is a weak reference [</w:t>
      </w:r>
      <w:hyperlink w:anchor="ref_14" w:history="1">
        <w:r w:rsidR="005B4D48">
          <w:rPr>
            <w:rFonts w:eastAsia="Times New Roman" w:cs="Times New Roman"/>
            <w:color w:val="0563C1"/>
          </w:rPr>
          <w:t>14</w:t>
        </w:r>
      </w:hyperlink>
      <w:r>
        <w:rPr>
          <w:rFonts w:eastAsia="Times New Roman" w:cs="Times New Roman"/>
        </w:rPr>
        <w:t>], and common or stronger baselines are called for [</w:t>
      </w:r>
      <w:hyperlink w:anchor="ref_21" w:history="1">
        <w:r w:rsidR="005B4D48">
          <w:rPr>
            <w:rFonts w:eastAsia="Times New Roman" w:cs="Times New Roman"/>
            <w:color w:val="0563C1"/>
          </w:rPr>
          <w:t>21</w:t>
        </w:r>
      </w:hyperlink>
      <w:r>
        <w:rPr>
          <w:rFonts w:eastAsia="Times New Roman" w:cs="Times New Roman"/>
        </w:rPr>
        <w:t xml:space="preserve">, </w:t>
      </w:r>
      <w:hyperlink w:anchor="ref_26" w:history="1">
        <w:r w:rsidR="005B4D48">
          <w:rPr>
            <w:rFonts w:eastAsia="Times New Roman" w:cs="Times New Roman"/>
            <w:color w:val="0563C1"/>
          </w:rPr>
          <w:t>26</w:t>
        </w:r>
      </w:hyperlink>
      <w:r>
        <w:rPr>
          <w:rFonts w:eastAsia="Times New Roman" w:cs="Times New Roman"/>
        </w:rPr>
        <w:t>]; solving it shows whether ML adds real value over a simple reference forecast.</w:t>
      </w:r>
    </w:p>
    <w:p w14:paraId="5B6AF382" w14:textId="77777777" w:rsidR="005B4D48" w:rsidRDefault="00000000">
      <w:pPr>
        <w:numPr>
          <w:ilvl w:val="0"/>
          <w:numId w:val="13"/>
        </w:numPr>
        <w:spacing w:after="80"/>
        <w:jc w:val="both"/>
      </w:pPr>
      <w:r>
        <w:rPr>
          <w:rFonts w:eastAsia="Times New Roman" w:cs="Times New Roman"/>
          <w:b/>
        </w:rPr>
        <w:t>MEASURED VS FORECAST WEATHER INPUTS:</w:t>
      </w:r>
      <w:r>
        <w:rPr>
          <w:rFonts w:eastAsia="Times New Roman" w:cs="Times New Roman"/>
        </w:rPr>
        <w:t xml:space="preserve"> Most studies use measured weather as input instead of weather forecasts available at prediction time [</w:t>
      </w:r>
      <w:hyperlink w:anchor="ref_1" w:history="1">
        <w:r w:rsidR="005B4D48">
          <w:rPr>
            <w:rFonts w:eastAsia="Times New Roman" w:cs="Times New Roman"/>
            <w:color w:val="0563C1"/>
          </w:rPr>
          <w:t>1</w:t>
        </w:r>
      </w:hyperlink>
      <w:r>
        <w:rPr>
          <w:rFonts w:eastAsia="Times New Roman" w:cs="Times New Roman"/>
        </w:rPr>
        <w:t>]; solving it shows the accuracy achievable in real operation.</w:t>
      </w:r>
    </w:p>
    <w:p w14:paraId="310C9A6B" w14:textId="77777777" w:rsidR="005B4D48" w:rsidRDefault="00000000">
      <w:pPr>
        <w:numPr>
          <w:ilvl w:val="0"/>
          <w:numId w:val="13"/>
        </w:numPr>
        <w:spacing w:after="80"/>
        <w:jc w:val="both"/>
      </w:pPr>
      <w:r>
        <w:rPr>
          <w:rFonts w:eastAsia="Times New Roman" w:cs="Times New Roman"/>
          <w:b/>
        </w:rPr>
        <w:t>OPEN DATA AND REPRODUCIBILITY:</w:t>
      </w:r>
      <w:r>
        <w:rPr>
          <w:rFonts w:eastAsia="Times New Roman" w:cs="Times New Roman"/>
        </w:rPr>
        <w:t xml:space="preserve"> Few studies share data or code (e.g. 1.7% share both [</w:t>
      </w:r>
      <w:hyperlink w:anchor="ref_5" w:history="1">
        <w:r w:rsidR="005B4D48">
          <w:rPr>
            <w:rFonts w:eastAsia="Times New Roman" w:cs="Times New Roman"/>
            <w:color w:val="0563C1"/>
          </w:rPr>
          <w:t>5</w:t>
        </w:r>
      </w:hyperlink>
      <w:r>
        <w:rPr>
          <w:rFonts w:eastAsia="Times New Roman" w:cs="Times New Roman"/>
        </w:rPr>
        <w:t>]; 8% use public data [</w:t>
      </w:r>
      <w:hyperlink w:anchor="ref_2" w:history="1">
        <w:r w:rsidR="005B4D48">
          <w:rPr>
            <w:rFonts w:eastAsia="Times New Roman" w:cs="Times New Roman"/>
            <w:color w:val="0563C1"/>
          </w:rPr>
          <w:t>2</w:t>
        </w:r>
      </w:hyperlink>
      <w:r>
        <w:rPr>
          <w:rFonts w:eastAsia="Times New Roman" w:cs="Times New Roman"/>
        </w:rPr>
        <w:t>]; also [</w:t>
      </w:r>
      <w:hyperlink w:anchor="ref_21" w:history="1">
        <w:r w:rsidR="005B4D48">
          <w:rPr>
            <w:rFonts w:eastAsia="Times New Roman" w:cs="Times New Roman"/>
            <w:color w:val="0563C1"/>
          </w:rPr>
          <w:t>21</w:t>
        </w:r>
      </w:hyperlink>
      <w:r>
        <w:rPr>
          <w:rFonts w:eastAsia="Times New Roman" w:cs="Times New Roman"/>
        </w:rPr>
        <w:t xml:space="preserve">, </w:t>
      </w:r>
      <w:hyperlink w:anchor="ref_26" w:history="1">
        <w:r w:rsidR="005B4D48">
          <w:rPr>
            <w:rFonts w:eastAsia="Times New Roman" w:cs="Times New Roman"/>
            <w:color w:val="0563C1"/>
          </w:rPr>
          <w:t>26</w:t>
        </w:r>
      </w:hyperlink>
      <w:r>
        <w:rPr>
          <w:rFonts w:eastAsia="Times New Roman" w:cs="Times New Roman"/>
        </w:rPr>
        <w:t>]); solving it lets others verify and build on results.</w:t>
      </w:r>
    </w:p>
    <w:p w14:paraId="4B8CCCB1" w14:textId="77777777" w:rsidR="005B4D48" w:rsidRDefault="00000000">
      <w:pPr>
        <w:numPr>
          <w:ilvl w:val="0"/>
          <w:numId w:val="13"/>
        </w:numPr>
        <w:spacing w:after="80"/>
        <w:jc w:val="both"/>
      </w:pPr>
      <w:r>
        <w:rPr>
          <w:rFonts w:eastAsia="Times New Roman" w:cs="Times New Roman"/>
          <w:b/>
        </w:rPr>
        <w:t>UNCERTAINTY QUANTIFICATION:</w:t>
      </w:r>
      <w:r>
        <w:rPr>
          <w:rFonts w:eastAsia="Times New Roman" w:cs="Times New Roman"/>
        </w:rPr>
        <w:t xml:space="preserve"> Most forecasts give a single value without a confidence range [</w:t>
      </w:r>
      <w:hyperlink w:anchor="ref_1" w:history="1">
        <w:r w:rsidR="005B4D48">
          <w:rPr>
            <w:rFonts w:eastAsia="Times New Roman" w:cs="Times New Roman"/>
            <w:color w:val="0563C1"/>
          </w:rPr>
          <w:t>1</w:t>
        </w:r>
      </w:hyperlink>
      <w:r>
        <w:rPr>
          <w:rFonts w:eastAsia="Times New Roman" w:cs="Times New Roman"/>
        </w:rPr>
        <w:t xml:space="preserve">, </w:t>
      </w:r>
      <w:hyperlink w:anchor="ref_3" w:history="1">
        <w:r w:rsidR="005B4D48">
          <w:rPr>
            <w:rFonts w:eastAsia="Times New Roman" w:cs="Times New Roman"/>
            <w:color w:val="0563C1"/>
          </w:rPr>
          <w:t>3</w:t>
        </w:r>
      </w:hyperlink>
      <w:r>
        <w:rPr>
          <w:rFonts w:eastAsia="Times New Roman" w:cs="Times New Roman"/>
        </w:rPr>
        <w:t xml:space="preserve">, </w:t>
      </w:r>
      <w:hyperlink w:anchor="ref_15" w:history="1">
        <w:r w:rsidR="005B4D48">
          <w:rPr>
            <w:rFonts w:eastAsia="Times New Roman" w:cs="Times New Roman"/>
            <w:color w:val="0563C1"/>
          </w:rPr>
          <w:t>15</w:t>
        </w:r>
      </w:hyperlink>
      <w:r>
        <w:rPr>
          <w:rFonts w:eastAsia="Times New Roman" w:cs="Times New Roman"/>
        </w:rPr>
        <w:t xml:space="preserve">, </w:t>
      </w:r>
      <w:hyperlink w:anchor="ref_37" w:history="1">
        <w:r w:rsidR="005B4D48">
          <w:rPr>
            <w:rFonts w:eastAsia="Times New Roman" w:cs="Times New Roman"/>
            <w:color w:val="0563C1"/>
          </w:rPr>
          <w:t>37</w:t>
        </w:r>
      </w:hyperlink>
      <w:r>
        <w:rPr>
          <w:rFonts w:eastAsia="Times New Roman" w:cs="Times New Roman"/>
        </w:rPr>
        <w:t xml:space="preserve">, </w:t>
      </w:r>
      <w:hyperlink w:anchor="ref_39" w:history="1">
        <w:r w:rsidR="005B4D48">
          <w:rPr>
            <w:rFonts w:eastAsia="Times New Roman" w:cs="Times New Roman"/>
            <w:color w:val="0563C1"/>
          </w:rPr>
          <w:t>39</w:t>
        </w:r>
      </w:hyperlink>
      <w:r>
        <w:rPr>
          <w:rFonts w:eastAsia="Times New Roman" w:cs="Times New Roman"/>
        </w:rPr>
        <w:t>]; solving it lets grid operators plan reserves and manage risk.</w:t>
      </w:r>
    </w:p>
    <w:p w14:paraId="739589A0" w14:textId="77777777" w:rsidR="005B4D48" w:rsidRDefault="00000000">
      <w:pPr>
        <w:numPr>
          <w:ilvl w:val="0"/>
          <w:numId w:val="13"/>
        </w:numPr>
        <w:spacing w:after="80"/>
        <w:jc w:val="both"/>
      </w:pPr>
      <w:r>
        <w:rPr>
          <w:rFonts w:eastAsia="Times New Roman" w:cs="Times New Roman"/>
          <w:b/>
        </w:rPr>
        <w:t>FORECAST VALUE FOR DECISIONS:</w:t>
      </w:r>
      <w:r>
        <w:rPr>
          <w:rFonts w:eastAsia="Times New Roman" w:cs="Times New Roman"/>
        </w:rPr>
        <w:t xml:space="preserve"> Accuracy is rarely linked to cost, dispatch or storage decisions (~98% report no operational value [</w:t>
      </w:r>
      <w:hyperlink w:anchor="ref_2" w:history="1">
        <w:r w:rsidR="005B4D48">
          <w:rPr>
            <w:rFonts w:eastAsia="Times New Roman" w:cs="Times New Roman"/>
            <w:color w:val="0563C1"/>
          </w:rPr>
          <w:t>2</w:t>
        </w:r>
      </w:hyperlink>
      <w:r>
        <w:rPr>
          <w:rFonts w:eastAsia="Times New Roman" w:cs="Times New Roman"/>
        </w:rPr>
        <w:t>]; also [</w:t>
      </w:r>
      <w:hyperlink w:anchor="ref_1" w:history="1">
        <w:r w:rsidR="005B4D48">
          <w:rPr>
            <w:rFonts w:eastAsia="Times New Roman" w:cs="Times New Roman"/>
            <w:color w:val="0563C1"/>
          </w:rPr>
          <w:t>1</w:t>
        </w:r>
      </w:hyperlink>
      <w:r>
        <w:rPr>
          <w:rFonts w:eastAsia="Times New Roman" w:cs="Times New Roman"/>
        </w:rPr>
        <w:t xml:space="preserve">, </w:t>
      </w:r>
      <w:hyperlink w:anchor="ref_39" w:history="1">
        <w:r w:rsidR="005B4D48">
          <w:rPr>
            <w:rFonts w:eastAsia="Times New Roman" w:cs="Times New Roman"/>
            <w:color w:val="0563C1"/>
          </w:rPr>
          <w:t>39</w:t>
        </w:r>
      </w:hyperlink>
      <w:r>
        <w:rPr>
          <w:rFonts w:eastAsia="Times New Roman" w:cs="Times New Roman"/>
        </w:rPr>
        <w:t>]); solving it shows what better forecasts are worth in money and grid stability.</w:t>
      </w:r>
    </w:p>
    <w:p w14:paraId="4ACDAB79" w14:textId="77777777" w:rsidR="005B4D48" w:rsidRDefault="00000000">
      <w:pPr>
        <w:numPr>
          <w:ilvl w:val="0"/>
          <w:numId w:val="13"/>
        </w:numPr>
        <w:spacing w:after="80"/>
        <w:jc w:val="both"/>
      </w:pPr>
      <w:r>
        <w:rPr>
          <w:rFonts w:eastAsia="Times New Roman" w:cs="Times New Roman"/>
          <w:b/>
        </w:rPr>
        <w:t>CONCEPT DRIFT AND ADAPTIVE LEARNING:</w:t>
      </w:r>
      <w:r>
        <w:rPr>
          <w:rFonts w:eastAsia="Times New Roman" w:cs="Times New Roman"/>
        </w:rPr>
        <w:t xml:space="preserve"> Models are rarely tested as seasons, panel ageing or operating conditions change [</w:t>
      </w:r>
      <w:hyperlink w:anchor="ref_4" w:history="1">
        <w:r w:rsidR="005B4D48">
          <w:rPr>
            <w:rFonts w:eastAsia="Times New Roman" w:cs="Times New Roman"/>
            <w:color w:val="0563C1"/>
          </w:rPr>
          <w:t>4</w:t>
        </w:r>
      </w:hyperlink>
      <w:r>
        <w:rPr>
          <w:rFonts w:eastAsia="Times New Roman" w:cs="Times New Roman"/>
        </w:rPr>
        <w:t xml:space="preserve">, </w:t>
      </w:r>
      <w:hyperlink w:anchor="ref_7" w:history="1">
        <w:r w:rsidR="005B4D48">
          <w:rPr>
            <w:rFonts w:eastAsia="Times New Roman" w:cs="Times New Roman"/>
            <w:color w:val="0563C1"/>
          </w:rPr>
          <w:t>7</w:t>
        </w:r>
      </w:hyperlink>
      <w:r>
        <w:rPr>
          <w:rFonts w:eastAsia="Times New Roman" w:cs="Times New Roman"/>
        </w:rPr>
        <w:t xml:space="preserve">, </w:t>
      </w:r>
      <w:hyperlink w:anchor="ref_15" w:history="1">
        <w:r w:rsidR="005B4D48">
          <w:rPr>
            <w:rFonts w:eastAsia="Times New Roman" w:cs="Times New Roman"/>
            <w:color w:val="0563C1"/>
          </w:rPr>
          <w:t>15</w:t>
        </w:r>
      </w:hyperlink>
      <w:r>
        <w:rPr>
          <w:rFonts w:eastAsia="Times New Roman" w:cs="Times New Roman"/>
        </w:rPr>
        <w:t>]; solving it keeps forecasts reliable over a plant's lifetime.</w:t>
      </w:r>
    </w:p>
    <w:p w14:paraId="4F380D9C" w14:textId="77777777" w:rsidR="005B4D48" w:rsidRDefault="00000000">
      <w:pPr>
        <w:numPr>
          <w:ilvl w:val="0"/>
          <w:numId w:val="13"/>
        </w:numPr>
        <w:spacing w:after="80"/>
        <w:jc w:val="both"/>
      </w:pPr>
      <w:r>
        <w:rPr>
          <w:rFonts w:eastAsia="Times New Roman" w:cs="Times New Roman"/>
          <w:b/>
        </w:rPr>
        <w:t>ROBUSTNESS TO REAL-WORLD DATA DEFECTS:</w:t>
      </w:r>
      <w:r>
        <w:rPr>
          <w:rFonts w:eastAsia="Times New Roman" w:cs="Times New Roman"/>
        </w:rPr>
        <w:t xml:space="preserve"> Models are trained on clean data; missing or faulty measurements are rarely tested [</w:t>
      </w:r>
      <w:hyperlink w:anchor="ref_7" w:history="1">
        <w:r w:rsidR="005B4D48">
          <w:rPr>
            <w:rFonts w:eastAsia="Times New Roman" w:cs="Times New Roman"/>
            <w:color w:val="0563C1"/>
          </w:rPr>
          <w:t>7</w:t>
        </w:r>
      </w:hyperlink>
      <w:r>
        <w:rPr>
          <w:rFonts w:eastAsia="Times New Roman" w:cs="Times New Roman"/>
        </w:rPr>
        <w:t xml:space="preserve">, </w:t>
      </w:r>
      <w:hyperlink w:anchor="ref_11" w:history="1">
        <w:r w:rsidR="005B4D48">
          <w:rPr>
            <w:rFonts w:eastAsia="Times New Roman" w:cs="Times New Roman"/>
            <w:color w:val="0563C1"/>
          </w:rPr>
          <w:t>11</w:t>
        </w:r>
      </w:hyperlink>
      <w:r>
        <w:rPr>
          <w:rFonts w:eastAsia="Times New Roman" w:cs="Times New Roman"/>
        </w:rPr>
        <w:t xml:space="preserve">, </w:t>
      </w:r>
      <w:hyperlink w:anchor="ref_32" w:history="1">
        <w:r w:rsidR="005B4D48">
          <w:rPr>
            <w:rFonts w:eastAsia="Times New Roman" w:cs="Times New Roman"/>
            <w:color w:val="0563C1"/>
          </w:rPr>
          <w:t>32</w:t>
        </w:r>
      </w:hyperlink>
      <w:r>
        <w:rPr>
          <w:rFonts w:eastAsia="Times New Roman" w:cs="Times New Roman"/>
        </w:rPr>
        <w:t xml:space="preserve">, </w:t>
      </w:r>
      <w:hyperlink w:anchor="ref_38" w:history="1">
        <w:r w:rsidR="005B4D48">
          <w:rPr>
            <w:rFonts w:eastAsia="Times New Roman" w:cs="Times New Roman"/>
            <w:color w:val="0563C1"/>
          </w:rPr>
          <w:t>38</w:t>
        </w:r>
      </w:hyperlink>
      <w:r>
        <w:rPr>
          <w:rFonts w:eastAsia="Times New Roman" w:cs="Times New Roman"/>
        </w:rPr>
        <w:t>]; solving it makes models usable on real plant data streams.</w:t>
      </w:r>
    </w:p>
    <w:p w14:paraId="346EEC8B" w14:textId="77777777" w:rsidR="005B4D48" w:rsidRDefault="00000000">
      <w:pPr>
        <w:numPr>
          <w:ilvl w:val="0"/>
          <w:numId w:val="13"/>
        </w:numPr>
        <w:spacing w:after="80"/>
        <w:jc w:val="both"/>
      </w:pPr>
      <w:r>
        <w:rPr>
          <w:rFonts w:eastAsia="Times New Roman" w:cs="Times New Roman"/>
          <w:b/>
        </w:rPr>
        <w:t>EXTREME AND CLIMATE-SPECIFIC CONDITIONS:</w:t>
      </w:r>
      <w:r>
        <w:rPr>
          <w:rFonts w:eastAsia="Times New Roman" w:cs="Times New Roman"/>
        </w:rPr>
        <w:t xml:space="preserve"> Extreme weather, snow and non-temperate climates are under-studied [</w:t>
      </w:r>
      <w:hyperlink w:anchor="ref_4" w:history="1">
        <w:r w:rsidR="005B4D48">
          <w:rPr>
            <w:rFonts w:eastAsia="Times New Roman" w:cs="Times New Roman"/>
            <w:color w:val="0563C1"/>
          </w:rPr>
          <w:t>4</w:t>
        </w:r>
      </w:hyperlink>
      <w:r>
        <w:rPr>
          <w:rFonts w:eastAsia="Times New Roman" w:cs="Times New Roman"/>
        </w:rPr>
        <w:t xml:space="preserve">, </w:t>
      </w:r>
      <w:hyperlink w:anchor="ref_10" w:history="1">
        <w:r w:rsidR="005B4D48">
          <w:rPr>
            <w:rFonts w:eastAsia="Times New Roman" w:cs="Times New Roman"/>
            <w:color w:val="0563C1"/>
          </w:rPr>
          <w:t>10</w:t>
        </w:r>
      </w:hyperlink>
      <w:r>
        <w:rPr>
          <w:rFonts w:eastAsia="Times New Roman" w:cs="Times New Roman"/>
        </w:rPr>
        <w:t xml:space="preserve">, </w:t>
      </w:r>
      <w:hyperlink w:anchor="ref_17" w:history="1">
        <w:r w:rsidR="005B4D48">
          <w:rPr>
            <w:rFonts w:eastAsia="Times New Roman" w:cs="Times New Roman"/>
            <w:color w:val="0563C1"/>
          </w:rPr>
          <w:t>17</w:t>
        </w:r>
      </w:hyperlink>
      <w:r>
        <w:rPr>
          <w:rFonts w:eastAsia="Times New Roman" w:cs="Times New Roman"/>
        </w:rPr>
        <w:t xml:space="preserve">, </w:t>
      </w:r>
      <w:hyperlink w:anchor="ref_23" w:history="1">
        <w:r w:rsidR="005B4D48">
          <w:rPr>
            <w:rFonts w:eastAsia="Times New Roman" w:cs="Times New Roman"/>
            <w:color w:val="0563C1"/>
          </w:rPr>
          <w:t>23</w:t>
        </w:r>
      </w:hyperlink>
      <w:r>
        <w:rPr>
          <w:rFonts w:eastAsia="Times New Roman" w:cs="Times New Roman"/>
        </w:rPr>
        <w:t xml:space="preserve">, </w:t>
      </w:r>
      <w:hyperlink w:anchor="ref_31" w:history="1">
        <w:r w:rsidR="005B4D48">
          <w:rPr>
            <w:rFonts w:eastAsia="Times New Roman" w:cs="Times New Roman"/>
            <w:color w:val="0563C1"/>
          </w:rPr>
          <w:t>31</w:t>
        </w:r>
      </w:hyperlink>
      <w:r>
        <w:rPr>
          <w:rFonts w:eastAsia="Times New Roman" w:cs="Times New Roman"/>
        </w:rPr>
        <w:t>]; solving it gives accurate forecasts when the grid needs them most.</w:t>
      </w:r>
    </w:p>
    <w:p w14:paraId="1E75664B" w14:textId="77777777" w:rsidR="005B4D48" w:rsidRDefault="00000000">
      <w:pPr>
        <w:numPr>
          <w:ilvl w:val="0"/>
          <w:numId w:val="13"/>
        </w:numPr>
        <w:spacing w:after="80"/>
        <w:jc w:val="both"/>
      </w:pPr>
      <w:r>
        <w:rPr>
          <w:rFonts w:eastAsia="Times New Roman" w:cs="Times New Roman"/>
          <w:b/>
        </w:rPr>
        <w:t>INPUT SELECTION:</w:t>
      </w:r>
      <w:r>
        <w:rPr>
          <w:rFonts w:eastAsia="Times New Roman" w:cs="Times New Roman"/>
        </w:rPr>
        <w:t xml:space="preserve"> Which inputs genuinely improve forecasts is unclear and inputs are often chosen by trial and error [</w:t>
      </w:r>
      <w:hyperlink w:anchor="ref_23" w:history="1">
        <w:r w:rsidR="005B4D48">
          <w:rPr>
            <w:rFonts w:eastAsia="Times New Roman" w:cs="Times New Roman"/>
            <w:color w:val="0563C1"/>
          </w:rPr>
          <w:t>23</w:t>
        </w:r>
      </w:hyperlink>
      <w:r>
        <w:rPr>
          <w:rFonts w:eastAsia="Times New Roman" w:cs="Times New Roman"/>
        </w:rPr>
        <w:t xml:space="preserve">, </w:t>
      </w:r>
      <w:hyperlink w:anchor="ref_28" w:history="1">
        <w:r w:rsidR="005B4D48">
          <w:rPr>
            <w:rFonts w:eastAsia="Times New Roman" w:cs="Times New Roman"/>
            <w:color w:val="0563C1"/>
          </w:rPr>
          <w:t>28</w:t>
        </w:r>
      </w:hyperlink>
      <w:r>
        <w:rPr>
          <w:rFonts w:eastAsia="Times New Roman" w:cs="Times New Roman"/>
        </w:rPr>
        <w:t xml:space="preserve">, </w:t>
      </w:r>
      <w:hyperlink w:anchor="ref_35" w:history="1">
        <w:r w:rsidR="005B4D48">
          <w:rPr>
            <w:rFonts w:eastAsia="Times New Roman" w:cs="Times New Roman"/>
            <w:color w:val="0563C1"/>
          </w:rPr>
          <w:t>35</w:t>
        </w:r>
      </w:hyperlink>
      <w:r>
        <w:rPr>
          <w:rFonts w:eastAsia="Times New Roman" w:cs="Times New Roman"/>
        </w:rPr>
        <w:t>]; solving it gives simpler models with inputs justified by evidence.</w:t>
      </w:r>
    </w:p>
    <w:p w14:paraId="18E1FDE6" w14:textId="77777777" w:rsidR="005B4D48" w:rsidRDefault="00000000">
      <w:pPr>
        <w:numPr>
          <w:ilvl w:val="0"/>
          <w:numId w:val="13"/>
        </w:numPr>
        <w:spacing w:after="80"/>
        <w:jc w:val="both"/>
      </w:pPr>
      <w:r>
        <w:rPr>
          <w:rFonts w:eastAsia="Times New Roman" w:cs="Times New Roman"/>
          <w:b/>
        </w:rPr>
        <w:lastRenderedPageBreak/>
        <w:t>REGIONAL AND DISTRIBUTED PV:</w:t>
      </w:r>
      <w:r>
        <w:rPr>
          <w:rFonts w:eastAsia="Times New Roman" w:cs="Times New Roman"/>
        </w:rPr>
        <w:t xml:space="preserve"> Few studies forecast many small or regional PV systems together [</w:t>
      </w:r>
      <w:hyperlink w:anchor="ref_9" w:history="1">
        <w:r w:rsidR="005B4D48">
          <w:rPr>
            <w:rFonts w:eastAsia="Times New Roman" w:cs="Times New Roman"/>
            <w:color w:val="0563C1"/>
          </w:rPr>
          <w:t>9</w:t>
        </w:r>
      </w:hyperlink>
      <w:r>
        <w:rPr>
          <w:rFonts w:eastAsia="Times New Roman" w:cs="Times New Roman"/>
        </w:rPr>
        <w:t xml:space="preserve">, </w:t>
      </w:r>
      <w:hyperlink w:anchor="ref_17" w:history="1">
        <w:r w:rsidR="005B4D48">
          <w:rPr>
            <w:rFonts w:eastAsia="Times New Roman" w:cs="Times New Roman"/>
            <w:color w:val="0563C1"/>
          </w:rPr>
          <w:t>17</w:t>
        </w:r>
      </w:hyperlink>
      <w:r>
        <w:rPr>
          <w:rFonts w:eastAsia="Times New Roman" w:cs="Times New Roman"/>
        </w:rPr>
        <w:t xml:space="preserve">, </w:t>
      </w:r>
      <w:hyperlink w:anchor="ref_35" w:history="1">
        <w:r w:rsidR="005B4D48">
          <w:rPr>
            <w:rFonts w:eastAsia="Times New Roman" w:cs="Times New Roman"/>
            <w:color w:val="0563C1"/>
          </w:rPr>
          <w:t>35</w:t>
        </w:r>
      </w:hyperlink>
      <w:r>
        <w:rPr>
          <w:rFonts w:eastAsia="Times New Roman" w:cs="Times New Roman"/>
        </w:rPr>
        <w:t>]; solving it helps grid operators who manage thousands of rooftop systems.</w:t>
      </w:r>
    </w:p>
    <w:p w14:paraId="30D6324D" w14:textId="77777777" w:rsidR="005B4D48" w:rsidRDefault="00000000">
      <w:pPr>
        <w:numPr>
          <w:ilvl w:val="0"/>
          <w:numId w:val="13"/>
        </w:numPr>
        <w:spacing w:after="80"/>
        <w:jc w:val="both"/>
      </w:pPr>
      <w:r>
        <w:rPr>
          <w:rFonts w:eastAsia="Times New Roman" w:cs="Times New Roman"/>
          <w:b/>
        </w:rPr>
        <w:t>STATISTICAL SIGNIFICANCE OF GAINS:</w:t>
      </w:r>
      <w:r>
        <w:rPr>
          <w:rFonts w:eastAsia="Times New Roman" w:cs="Times New Roman"/>
        </w:rPr>
        <w:t xml:space="preserve"> Reported improvements are rarely tested for statistical significance [</w:t>
      </w:r>
      <w:hyperlink w:anchor="ref_11" w:history="1">
        <w:r w:rsidR="005B4D48">
          <w:rPr>
            <w:rFonts w:eastAsia="Times New Roman" w:cs="Times New Roman"/>
            <w:color w:val="0563C1"/>
          </w:rPr>
          <w:t>11</w:t>
        </w:r>
      </w:hyperlink>
      <w:r>
        <w:rPr>
          <w:rFonts w:eastAsia="Times New Roman" w:cs="Times New Roman"/>
        </w:rPr>
        <w:t>]; solving it shows whether a better-scoring model is truly better.</w:t>
      </w:r>
    </w:p>
    <w:p w14:paraId="24549455" w14:textId="77777777" w:rsidR="005B4D48" w:rsidRDefault="00000000">
      <w:pPr>
        <w:numPr>
          <w:ilvl w:val="0"/>
          <w:numId w:val="13"/>
        </w:numPr>
        <w:spacing w:after="80"/>
        <w:jc w:val="both"/>
      </w:pPr>
      <w:r>
        <w:rPr>
          <w:rFonts w:eastAsia="Times New Roman" w:cs="Times New Roman"/>
          <w:b/>
        </w:rPr>
        <w:t>EXPLANATION RELIABILITY:</w:t>
      </w:r>
      <w:r>
        <w:rPr>
          <w:rFonts w:eastAsia="Times New Roman" w:cs="Times New Roman"/>
        </w:rPr>
        <w:t xml:space="preserve"> Explainable-AI outputs are rarely checked for faithfulness or stability [</w:t>
      </w:r>
      <w:hyperlink w:anchor="ref_5" w:history="1">
        <w:r w:rsidR="005B4D48">
          <w:rPr>
            <w:rFonts w:eastAsia="Times New Roman" w:cs="Times New Roman"/>
            <w:color w:val="0563C1"/>
          </w:rPr>
          <w:t>5</w:t>
        </w:r>
      </w:hyperlink>
      <w:r>
        <w:rPr>
          <w:rFonts w:eastAsia="Times New Roman" w:cs="Times New Roman"/>
        </w:rPr>
        <w:t xml:space="preserve">, </w:t>
      </w:r>
      <w:hyperlink w:anchor="ref_7" w:history="1">
        <w:r w:rsidR="005B4D48">
          <w:rPr>
            <w:rFonts w:eastAsia="Times New Roman" w:cs="Times New Roman"/>
            <w:color w:val="0563C1"/>
          </w:rPr>
          <w:t>7</w:t>
        </w:r>
      </w:hyperlink>
      <w:r>
        <w:rPr>
          <w:rFonts w:eastAsia="Times New Roman" w:cs="Times New Roman"/>
        </w:rPr>
        <w:t>]; solving it lets engineers trust why a model predicts what it does.</w:t>
      </w:r>
    </w:p>
    <w:p w14:paraId="5BCB4AFB" w14:textId="77777777" w:rsidR="005B4D48" w:rsidRDefault="00000000">
      <w:pPr>
        <w:numPr>
          <w:ilvl w:val="0"/>
          <w:numId w:val="13"/>
        </w:numPr>
        <w:spacing w:after="80"/>
        <w:jc w:val="both"/>
      </w:pPr>
      <w:r>
        <w:rPr>
          <w:rFonts w:eastAsia="Times New Roman" w:cs="Times New Roman"/>
          <w:b/>
        </w:rPr>
        <w:t>LONGER FORECAST HORIZONS:</w:t>
      </w:r>
      <w:r>
        <w:rPr>
          <w:rFonts w:eastAsia="Times New Roman" w:cs="Times New Roman"/>
        </w:rPr>
        <w:t xml:space="preserve"> Most work is short-term; multi-day and seasonal forecasts are scarce [</w:t>
      </w:r>
      <w:hyperlink w:anchor="ref_1" w:history="1">
        <w:r w:rsidR="005B4D48">
          <w:rPr>
            <w:rFonts w:eastAsia="Times New Roman" w:cs="Times New Roman"/>
            <w:color w:val="0563C1"/>
          </w:rPr>
          <w:t>1</w:t>
        </w:r>
      </w:hyperlink>
      <w:r>
        <w:rPr>
          <w:rFonts w:eastAsia="Times New Roman" w:cs="Times New Roman"/>
        </w:rPr>
        <w:t xml:space="preserve">, </w:t>
      </w:r>
      <w:hyperlink w:anchor="ref_26" w:history="1">
        <w:r w:rsidR="005B4D48">
          <w:rPr>
            <w:rFonts w:eastAsia="Times New Roman" w:cs="Times New Roman"/>
            <w:color w:val="0563C1"/>
          </w:rPr>
          <w:t>26</w:t>
        </w:r>
      </w:hyperlink>
      <w:r>
        <w:rPr>
          <w:rFonts w:eastAsia="Times New Roman" w:cs="Times New Roman"/>
        </w:rPr>
        <w:t xml:space="preserve">, </w:t>
      </w:r>
      <w:hyperlink w:anchor="ref_27" w:history="1">
        <w:r w:rsidR="005B4D48">
          <w:rPr>
            <w:rFonts w:eastAsia="Times New Roman" w:cs="Times New Roman"/>
            <w:color w:val="0563C1"/>
          </w:rPr>
          <w:t>27</w:t>
        </w:r>
      </w:hyperlink>
      <w:r>
        <w:rPr>
          <w:rFonts w:eastAsia="Times New Roman" w:cs="Times New Roman"/>
        </w:rPr>
        <w:t>]; solving it supports market bidding and maintenance planning.</w:t>
      </w:r>
    </w:p>
    <w:p w14:paraId="210871AD" w14:textId="77777777" w:rsidR="005B4D48" w:rsidRDefault="00000000">
      <w:pPr>
        <w:numPr>
          <w:ilvl w:val="0"/>
          <w:numId w:val="13"/>
        </w:numPr>
        <w:spacing w:after="240"/>
        <w:jc w:val="both"/>
      </w:pPr>
      <w:r>
        <w:rPr>
          <w:rFonts w:eastAsia="Times New Roman" w:cs="Times New Roman"/>
          <w:b/>
        </w:rPr>
        <w:t>LIGHTWEIGHT AND EDGE DEPLOYMENT:</w:t>
      </w:r>
      <w:r>
        <w:rPr>
          <w:rFonts w:eastAsia="Times New Roman" w:cs="Times New Roman"/>
        </w:rPr>
        <w:t xml:space="preserve"> Few models are tested on real-time hardware at the plant [</w:t>
      </w:r>
      <w:hyperlink w:anchor="ref_20" w:history="1">
        <w:r w:rsidR="005B4D48">
          <w:rPr>
            <w:rFonts w:eastAsia="Times New Roman" w:cs="Times New Roman"/>
            <w:color w:val="0563C1"/>
          </w:rPr>
          <w:t>20</w:t>
        </w:r>
      </w:hyperlink>
      <w:r>
        <w:rPr>
          <w:rFonts w:eastAsia="Times New Roman" w:cs="Times New Roman"/>
        </w:rPr>
        <w:t xml:space="preserve">, </w:t>
      </w:r>
      <w:hyperlink w:anchor="ref_37" w:history="1">
        <w:r w:rsidR="005B4D48">
          <w:rPr>
            <w:rFonts w:eastAsia="Times New Roman" w:cs="Times New Roman"/>
            <w:color w:val="0563C1"/>
          </w:rPr>
          <w:t>37</w:t>
        </w:r>
      </w:hyperlink>
      <w:r>
        <w:rPr>
          <w:rFonts w:eastAsia="Times New Roman" w:cs="Times New Roman"/>
        </w:rPr>
        <w:t>]; solving it makes on-site forecasting cheap and practical.</w:t>
      </w:r>
    </w:p>
    <w:p w14:paraId="5BFDC24D" w14:textId="77777777" w:rsidR="005B4D48" w:rsidRDefault="00000000">
      <w:r>
        <w:br w:type="page"/>
      </w:r>
    </w:p>
    <w:p w14:paraId="3113F69D" w14:textId="77777777" w:rsidR="005B4D48" w:rsidRDefault="00000000">
      <w:pPr>
        <w:pStyle w:val="Heading1"/>
        <w:pageBreakBefore/>
        <w:numPr>
          <w:ilvl w:val="0"/>
          <w:numId w:val="12"/>
        </w:numPr>
      </w:pPr>
      <w:r>
        <w:lastRenderedPageBreak/>
        <w:t>CHOSEN RESEARCH GAPS</w:t>
      </w:r>
    </w:p>
    <w:p w14:paraId="65E8BB6D" w14:textId="77777777" w:rsidR="005B4D48" w:rsidRDefault="00000000">
      <w:pPr>
        <w:numPr>
          <w:ilvl w:val="0"/>
          <w:numId w:val="14"/>
        </w:numPr>
        <w:spacing w:after="80"/>
        <w:jc w:val="both"/>
      </w:pPr>
      <w:r>
        <w:rPr>
          <w:rFonts w:eastAsia="Times New Roman" w:cs="Times New Roman"/>
          <w:b/>
        </w:rPr>
        <w:t>CROSS-SITE GENERALIZATION:</w:t>
      </w:r>
      <w:r>
        <w:rPr>
          <w:rFonts w:eastAsia="Times New Roman" w:cs="Times New Roman"/>
        </w:rPr>
        <w:t xml:space="preserve"> 63% of studies use a single site [</w:t>
      </w:r>
      <w:hyperlink w:anchor="ref_2" w:history="1">
        <w:r w:rsidR="005B4D48">
          <w:rPr>
            <w:rFonts w:eastAsia="Times New Roman" w:cs="Times New Roman"/>
            <w:color w:val="0563C1"/>
          </w:rPr>
          <w:t>2</w:t>
        </w:r>
      </w:hyperlink>
      <w:r>
        <w:rPr>
          <w:rFonts w:eastAsia="Times New Roman" w:cs="Times New Roman"/>
        </w:rPr>
        <w:t>], and most of 100 ML studies were tested on one system in one mild climate [</w:t>
      </w:r>
      <w:hyperlink w:anchor="ref_23" w:history="1">
        <w:r w:rsidR="005B4D48">
          <w:rPr>
            <w:rFonts w:eastAsia="Times New Roman" w:cs="Times New Roman"/>
            <w:color w:val="0563C1"/>
          </w:rPr>
          <w:t>23</w:t>
        </w:r>
      </w:hyperlink>
      <w:r>
        <w:rPr>
          <w:rFonts w:eastAsia="Times New Roman" w:cs="Times New Roman"/>
        </w:rPr>
        <w:t>].</w:t>
      </w:r>
    </w:p>
    <w:p w14:paraId="2C6B2EFF" w14:textId="77777777" w:rsidR="005B4D48" w:rsidRDefault="00000000">
      <w:pPr>
        <w:numPr>
          <w:ilvl w:val="0"/>
          <w:numId w:val="14"/>
        </w:numPr>
        <w:spacing w:after="80"/>
        <w:jc w:val="both"/>
      </w:pPr>
      <w:r>
        <w:rPr>
          <w:rFonts w:eastAsia="Times New Roman" w:cs="Times New Roman"/>
          <w:b/>
        </w:rPr>
        <w:t>DATA LEAKAGE IN EVALUATION:</w:t>
      </w:r>
      <w:r>
        <w:rPr>
          <w:rFonts w:eastAsia="Times New Roman" w:cs="Times New Roman"/>
        </w:rPr>
        <w:t xml:space="preserve"> Only 37% of 119 PV forecasting studies address temporal leakage prevention [</w:t>
      </w:r>
      <w:hyperlink w:anchor="ref_2" w:history="1">
        <w:r w:rsidR="005B4D48">
          <w:rPr>
            <w:rFonts w:eastAsia="Times New Roman" w:cs="Times New Roman"/>
            <w:color w:val="0563C1"/>
          </w:rPr>
          <w:t>2</w:t>
        </w:r>
      </w:hyperlink>
      <w:r>
        <w:rPr>
          <w:rFonts w:eastAsia="Times New Roman" w:cs="Times New Roman"/>
        </w:rPr>
        <w:t>], and random k-fold splits are flagged as a leakage risk [</w:t>
      </w:r>
      <w:hyperlink w:anchor="ref_10" w:history="1">
        <w:r w:rsidR="005B4D48">
          <w:rPr>
            <w:rFonts w:eastAsia="Times New Roman" w:cs="Times New Roman"/>
            <w:color w:val="0563C1"/>
          </w:rPr>
          <w:t>10</w:t>
        </w:r>
      </w:hyperlink>
      <w:r>
        <w:rPr>
          <w:rFonts w:eastAsia="Times New Roman" w:cs="Times New Roman"/>
        </w:rPr>
        <w:t>].</w:t>
      </w:r>
    </w:p>
    <w:p w14:paraId="26F6C3C8" w14:textId="77777777" w:rsidR="005B4D48" w:rsidRDefault="00000000">
      <w:pPr>
        <w:numPr>
          <w:ilvl w:val="0"/>
          <w:numId w:val="15"/>
        </w:numPr>
        <w:spacing w:after="240"/>
        <w:jc w:val="both"/>
      </w:pPr>
      <w:r>
        <w:rPr>
          <w:rFonts w:eastAsia="Times New Roman" w:cs="Times New Roman"/>
          <w:b/>
        </w:rPr>
        <w:t>WEAK OR MISSING BASELINES:</w:t>
      </w:r>
      <w:r>
        <w:rPr>
          <w:rFonts w:eastAsia="Times New Roman" w:cs="Times New Roman"/>
        </w:rPr>
        <w:t xml:space="preserve"> Naive persistence is described as too weak a reference, and stronger reference methods are called for [</w:t>
      </w:r>
      <w:hyperlink w:anchor="ref_14" w:history="1">
        <w:r w:rsidR="005B4D48">
          <w:rPr>
            <w:rFonts w:eastAsia="Times New Roman" w:cs="Times New Roman"/>
            <w:color w:val="0563C1"/>
          </w:rPr>
          <w:t>14</w:t>
        </w:r>
      </w:hyperlink>
      <w:r>
        <w:rPr>
          <w:rFonts w:eastAsia="Times New Roman" w:cs="Times New Roman"/>
        </w:rPr>
        <w:t>]; evaluation against forecast skill is recommended but uncommon [</w:t>
      </w:r>
      <w:hyperlink w:anchor="ref_21" w:history="1">
        <w:r w:rsidR="005B4D48">
          <w:rPr>
            <w:rFonts w:eastAsia="Times New Roman" w:cs="Times New Roman"/>
            <w:color w:val="0563C1"/>
          </w:rPr>
          <w:t>21</w:t>
        </w:r>
      </w:hyperlink>
      <w:r>
        <w:rPr>
          <w:rFonts w:eastAsia="Times New Roman" w:cs="Times New Roman"/>
        </w:rPr>
        <w:t>].</w:t>
      </w:r>
    </w:p>
    <w:p w14:paraId="63C18CA5" w14:textId="77777777" w:rsidR="005B4D48" w:rsidRDefault="00000000">
      <w:pPr>
        <w:spacing w:after="240"/>
        <w:jc w:val="both"/>
      </w:pPr>
      <w:r>
        <w:rPr>
          <w:rFonts w:eastAsia="Times New Roman" w:cs="Times New Roman"/>
        </w:rPr>
        <w:t>Gaps 1, 2 and 4 of the list above were chosen because they are preconditions for valid evaluation. The other gaps, such as uncertainty, explainability, concept drift, edge deployment and longer horizons, are judged through reported test accuracy, which leakage, single-site testing and a missing persistence reference can each make misleading. Gap 5 (measured versus forecast weather inputs) is related to leakage, since weather measured at the target time is not available when a forecast is issued; the proposed framework avoids it by using only values known at the issue time. The three gaps are also linked, because a fair test at a new site needs both a leakage-safe split and a persistence reference. Each is reported by at least three of the 39 reviews, cross-site generalization by the most (9), and Search B found no study that addresses all three.</w:t>
      </w:r>
    </w:p>
    <w:p w14:paraId="133D909A" w14:textId="77777777" w:rsidR="005B4D48" w:rsidRDefault="00000000">
      <w:r>
        <w:br w:type="page"/>
      </w:r>
    </w:p>
    <w:p w14:paraId="3BE124AF" w14:textId="77777777" w:rsidR="005B4D48" w:rsidRDefault="00000000">
      <w:pPr>
        <w:pStyle w:val="Heading1"/>
        <w:pageBreakBefore/>
        <w:numPr>
          <w:ilvl w:val="0"/>
          <w:numId w:val="12"/>
        </w:numPr>
      </w:pPr>
      <w:r>
        <w:lastRenderedPageBreak/>
        <w:t>CLOSEST PRIMARY STUDIES (SEARCH B)</w:t>
      </w:r>
    </w:p>
    <w:p w14:paraId="47492504" w14:textId="77777777" w:rsidR="005B4D48" w:rsidRDefault="00000000">
      <w:pPr>
        <w:spacing w:after="240"/>
        <w:jc w:val="both"/>
      </w:pPr>
      <w:r>
        <w:rPr>
          <w:rFonts w:eastAsia="Times New Roman" w:cs="Times New Roman"/>
        </w:rPr>
        <w:t>A targeted Scopus search for primary studies that address all three together returned 0 records. A second search for studies addressing at least two returned 33 records; after filters, screening and full-text checks, 6 studies were included [</w:t>
      </w:r>
      <w:hyperlink w:anchor="ref_40" w:history="1">
        <w:r w:rsidR="005B4D48">
          <w:rPr>
            <w:rFonts w:eastAsia="Times New Roman" w:cs="Times New Roman"/>
            <w:color w:val="0563C1"/>
          </w:rPr>
          <w:t>40</w:t>
        </w:r>
      </w:hyperlink>
      <w:r>
        <w:rPr>
          <w:rFonts w:eastAsia="Times New Roman" w:cs="Times New Roman"/>
        </w:rPr>
        <w:t>]-[</w:t>
      </w:r>
      <w:hyperlink w:anchor="ref_45" w:history="1">
        <w:r w:rsidR="005B4D48">
          <w:rPr>
            <w:rFonts w:eastAsia="Times New Roman" w:cs="Times New Roman"/>
            <w:color w:val="0563C1"/>
          </w:rPr>
          <w:t>45</w:t>
        </w:r>
      </w:hyperlink>
      <w:r>
        <w:rPr>
          <w:rFonts w:eastAsia="Times New Roman" w:cs="Times New Roman"/>
        </w:rPr>
        <w:t>]. Table 2 compares them.</w:t>
      </w:r>
    </w:p>
    <w:p w14:paraId="5C1DE351" w14:textId="77777777" w:rsidR="005B4D48" w:rsidRDefault="00000000">
      <w:pPr>
        <w:keepNext/>
        <w:spacing w:before="240" w:after="60"/>
        <w:jc w:val="center"/>
      </w:pPr>
      <w:r>
        <w:rPr>
          <w:rFonts w:eastAsia="Times New Roman" w:cs="Times New Roman"/>
          <w:b/>
        </w:rPr>
        <w:t>Table 2. Comparison of the six closest primary studies (Search B) and their coverage of the three gaps</w:t>
      </w:r>
    </w:p>
    <w:tbl>
      <w:tblPr>
        <w:tblStyle w:val="TableGrid"/>
        <w:tblW w:w="102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7"/>
        <w:gridCol w:w="1214"/>
        <w:gridCol w:w="1384"/>
        <w:gridCol w:w="1474"/>
        <w:gridCol w:w="1176"/>
        <w:gridCol w:w="1170"/>
        <w:gridCol w:w="1620"/>
        <w:gridCol w:w="1350"/>
      </w:tblGrid>
      <w:tr w:rsidR="00AA2642" w14:paraId="7EBE7A97" w14:textId="77777777" w:rsidTr="00AA2642">
        <w:tc>
          <w:tcPr>
            <w:tcW w:w="867" w:type="dxa"/>
          </w:tcPr>
          <w:p w14:paraId="01A6849A" w14:textId="77777777" w:rsidR="00A82ED9" w:rsidRDefault="00000000" w:rsidP="00AA2642">
            <w:r>
              <w:rPr>
                <w:rFonts w:eastAsia="Times New Roman" w:cs="Times New Roman"/>
                <w:b/>
                <w:sz w:val="18"/>
              </w:rPr>
              <w:t>Study</w:t>
            </w:r>
          </w:p>
        </w:tc>
        <w:tc>
          <w:tcPr>
            <w:tcW w:w="1214" w:type="dxa"/>
          </w:tcPr>
          <w:p w14:paraId="6C39CA2E" w14:textId="77777777" w:rsidR="00A82ED9" w:rsidRDefault="00000000" w:rsidP="00AA2642">
            <w:r>
              <w:rPr>
                <w:rFonts w:eastAsia="Times New Roman" w:cs="Times New Roman"/>
                <w:b/>
                <w:sz w:val="18"/>
              </w:rPr>
              <w:t>Focus</w:t>
            </w:r>
          </w:p>
        </w:tc>
        <w:tc>
          <w:tcPr>
            <w:tcW w:w="1384" w:type="dxa"/>
          </w:tcPr>
          <w:p w14:paraId="000E366F" w14:textId="77777777" w:rsidR="00A82ED9" w:rsidRDefault="00000000" w:rsidP="00AA2642">
            <w:r>
              <w:rPr>
                <w:rFonts w:eastAsia="Times New Roman" w:cs="Times New Roman"/>
                <w:b/>
                <w:sz w:val="18"/>
              </w:rPr>
              <w:t>Method</w:t>
            </w:r>
          </w:p>
        </w:tc>
        <w:tc>
          <w:tcPr>
            <w:tcW w:w="1474" w:type="dxa"/>
          </w:tcPr>
          <w:p w14:paraId="3C4AF8BF" w14:textId="77777777" w:rsidR="00A82ED9" w:rsidRDefault="00000000" w:rsidP="00AA2642">
            <w:r>
              <w:rPr>
                <w:rFonts w:eastAsia="Times New Roman" w:cs="Times New Roman"/>
                <w:b/>
                <w:sz w:val="18"/>
              </w:rPr>
              <w:t>Dataset</w:t>
            </w:r>
          </w:p>
        </w:tc>
        <w:tc>
          <w:tcPr>
            <w:tcW w:w="1176" w:type="dxa"/>
          </w:tcPr>
          <w:p w14:paraId="2335889D" w14:textId="77777777" w:rsidR="00A82ED9" w:rsidRDefault="00000000" w:rsidP="00AA2642">
            <w:r>
              <w:rPr>
                <w:rFonts w:eastAsia="Times New Roman" w:cs="Times New Roman"/>
                <w:b/>
                <w:sz w:val="18"/>
              </w:rPr>
              <w:t>Research Gap</w:t>
            </w:r>
          </w:p>
        </w:tc>
        <w:tc>
          <w:tcPr>
            <w:tcW w:w="1170" w:type="dxa"/>
          </w:tcPr>
          <w:p w14:paraId="57C6AC40" w14:textId="77777777" w:rsidR="00A82ED9" w:rsidRDefault="00000000" w:rsidP="00AA2642">
            <w:r>
              <w:rPr>
                <w:rFonts w:eastAsia="Times New Roman" w:cs="Times New Roman"/>
                <w:b/>
                <w:sz w:val="18"/>
              </w:rPr>
              <w:t>Leakage-safe split</w:t>
            </w:r>
          </w:p>
        </w:tc>
        <w:tc>
          <w:tcPr>
            <w:tcW w:w="1620" w:type="dxa"/>
          </w:tcPr>
          <w:p w14:paraId="7BCAFC72" w14:textId="77777777" w:rsidR="00A82ED9" w:rsidRDefault="00000000" w:rsidP="00AA2642">
            <w:r>
              <w:rPr>
                <w:rFonts w:eastAsia="Times New Roman" w:cs="Times New Roman"/>
                <w:b/>
                <w:sz w:val="18"/>
              </w:rPr>
              <w:t>Multiple sites</w:t>
            </w:r>
          </w:p>
        </w:tc>
        <w:tc>
          <w:tcPr>
            <w:tcW w:w="1350" w:type="dxa"/>
          </w:tcPr>
          <w:p w14:paraId="3543A284" w14:textId="77777777" w:rsidR="00A82ED9" w:rsidRDefault="00000000" w:rsidP="00AA2642">
            <w:r>
              <w:rPr>
                <w:rFonts w:eastAsia="Times New Roman" w:cs="Times New Roman"/>
                <w:b/>
                <w:sz w:val="18"/>
              </w:rPr>
              <w:t>Persistence / skill baseline</w:t>
            </w:r>
          </w:p>
        </w:tc>
      </w:tr>
      <w:tr w:rsidR="00AA2642" w14:paraId="68534FED" w14:textId="77777777" w:rsidTr="00AA2642">
        <w:tc>
          <w:tcPr>
            <w:tcW w:w="867" w:type="dxa"/>
          </w:tcPr>
          <w:p w14:paraId="6C71EE7C" w14:textId="77777777" w:rsidR="00A82ED9" w:rsidRDefault="00000000" w:rsidP="00AA2642">
            <w:r>
              <w:rPr>
                <w:rFonts w:eastAsia="Times New Roman" w:cs="Times New Roman"/>
                <w:sz w:val="18"/>
              </w:rPr>
              <w:t>Xu et al., 2025 [</w:t>
            </w:r>
            <w:hyperlink w:anchor="ref_40" w:history="1">
              <w:r>
                <w:rPr>
                  <w:rFonts w:eastAsia="Times New Roman" w:cs="Times New Roman"/>
                  <w:color w:val="0563C1"/>
                  <w:sz w:val="18"/>
                </w:rPr>
                <w:t>40</w:t>
              </w:r>
            </w:hyperlink>
            <w:r>
              <w:rPr>
                <w:rFonts w:eastAsia="Times New Roman" w:cs="Times New Roman"/>
                <w:sz w:val="18"/>
              </w:rPr>
              <w:t>]</w:t>
            </w:r>
          </w:p>
        </w:tc>
        <w:tc>
          <w:tcPr>
            <w:tcW w:w="1214" w:type="dxa"/>
          </w:tcPr>
          <w:p w14:paraId="69D70028" w14:textId="77777777" w:rsidR="00A82ED9" w:rsidRDefault="00000000" w:rsidP="00AA2642">
            <w:r>
              <w:rPr>
                <w:rFonts w:eastAsia="Times New Roman" w:cs="Times New Roman"/>
                <w:sz w:val="18"/>
              </w:rPr>
              <w:t>New-site 5-min forecasting</w:t>
            </w:r>
          </w:p>
        </w:tc>
        <w:tc>
          <w:tcPr>
            <w:tcW w:w="1384" w:type="dxa"/>
          </w:tcPr>
          <w:p w14:paraId="782DFB22" w14:textId="77777777" w:rsidR="00A82ED9" w:rsidRDefault="00000000" w:rsidP="00AA2642">
            <w:r>
              <w:rPr>
                <w:rFonts w:eastAsia="Times New Roman" w:cs="Times New Roman"/>
                <w:sz w:val="18"/>
              </w:rPr>
              <w:t>Sky-image Swin Transformer, transfer learning</w:t>
            </w:r>
          </w:p>
        </w:tc>
        <w:tc>
          <w:tcPr>
            <w:tcW w:w="1474" w:type="dxa"/>
          </w:tcPr>
          <w:p w14:paraId="17084A2E" w14:textId="77777777" w:rsidR="00A82ED9" w:rsidRDefault="00000000" w:rsidP="00AA2642">
            <w:r>
              <w:rPr>
                <w:rFonts w:eastAsia="Times New Roman" w:cs="Times New Roman"/>
                <w:sz w:val="18"/>
              </w:rPr>
              <w:t>Stanford SKIPP'D to UQ Gatton (1-min)</w:t>
            </w:r>
          </w:p>
        </w:tc>
        <w:tc>
          <w:tcPr>
            <w:tcW w:w="1176" w:type="dxa"/>
          </w:tcPr>
          <w:p w14:paraId="34127FE2" w14:textId="77777777" w:rsidR="00A82ED9" w:rsidRDefault="00000000" w:rsidP="00AA2642">
            <w:r>
              <w:rPr>
                <w:rFonts w:eastAsia="Times New Roman" w:cs="Times New Roman"/>
                <w:sz w:val="18"/>
              </w:rPr>
              <w:t>Satellite and weather inputs</w:t>
            </w:r>
          </w:p>
        </w:tc>
        <w:tc>
          <w:tcPr>
            <w:tcW w:w="1170" w:type="dxa"/>
          </w:tcPr>
          <w:p w14:paraId="44C0CB48" w14:textId="77777777" w:rsidR="00A82ED9" w:rsidRDefault="00000000" w:rsidP="00AA2642">
            <w:r>
              <w:rPr>
                <w:rFonts w:eastAsia="Times New Roman" w:cs="Times New Roman"/>
                <w:sz w:val="18"/>
              </w:rPr>
              <w:t>No: hand-picked test days, random train/validation split</w:t>
            </w:r>
          </w:p>
        </w:tc>
        <w:tc>
          <w:tcPr>
            <w:tcW w:w="1620" w:type="dxa"/>
          </w:tcPr>
          <w:p w14:paraId="33435C41" w14:textId="77777777" w:rsidR="00A82ED9" w:rsidRDefault="00000000" w:rsidP="00AA2642">
            <w:r>
              <w:rPr>
                <w:rFonts w:eastAsia="Times New Roman" w:cs="Times New Roman"/>
                <w:sz w:val="18"/>
              </w:rPr>
              <w:t>Partial: target site fine-tuned</w:t>
            </w:r>
          </w:p>
        </w:tc>
        <w:tc>
          <w:tcPr>
            <w:tcW w:w="1350" w:type="dxa"/>
          </w:tcPr>
          <w:p w14:paraId="3A36EDF3" w14:textId="77777777" w:rsidR="00A82ED9" w:rsidRDefault="00000000" w:rsidP="00AA2642">
            <w:r>
              <w:rPr>
                <w:rFonts w:eastAsia="Times New Roman" w:cs="Times New Roman"/>
                <w:sz w:val="18"/>
              </w:rPr>
              <w:t>Yes</w:t>
            </w:r>
          </w:p>
        </w:tc>
      </w:tr>
      <w:tr w:rsidR="00AA2642" w14:paraId="7BCA08A6" w14:textId="77777777" w:rsidTr="00AA2642">
        <w:tc>
          <w:tcPr>
            <w:tcW w:w="867" w:type="dxa"/>
          </w:tcPr>
          <w:p w14:paraId="5F2E3054" w14:textId="77777777" w:rsidR="00A82ED9" w:rsidRDefault="00000000" w:rsidP="00AA2642">
            <w:r>
              <w:rPr>
                <w:rFonts w:eastAsia="Times New Roman" w:cs="Times New Roman"/>
                <w:sz w:val="18"/>
              </w:rPr>
              <w:t>Perera et al., 2024 [</w:t>
            </w:r>
            <w:hyperlink w:anchor="ref_41" w:history="1">
              <w:r>
                <w:rPr>
                  <w:rFonts w:eastAsia="Times New Roman" w:cs="Times New Roman"/>
                  <w:color w:val="0563C1"/>
                  <w:sz w:val="18"/>
                </w:rPr>
                <w:t>41</w:t>
              </w:r>
            </w:hyperlink>
            <w:r>
              <w:rPr>
                <w:rFonts w:eastAsia="Times New Roman" w:cs="Times New Roman"/>
                <w:sz w:val="18"/>
              </w:rPr>
              <w:t>]</w:t>
            </w:r>
          </w:p>
        </w:tc>
        <w:tc>
          <w:tcPr>
            <w:tcW w:w="1214" w:type="dxa"/>
          </w:tcPr>
          <w:p w14:paraId="0A0102AD" w14:textId="77777777" w:rsidR="00A82ED9" w:rsidRDefault="00000000" w:rsidP="00AA2642">
            <w:r>
              <w:rPr>
                <w:rFonts w:eastAsia="Times New Roman" w:cs="Times New Roman"/>
                <w:sz w:val="18"/>
              </w:rPr>
              <w:t>Day-ahead regional rooftop PV</w:t>
            </w:r>
          </w:p>
        </w:tc>
        <w:tc>
          <w:tcPr>
            <w:tcW w:w="1384" w:type="dxa"/>
          </w:tcPr>
          <w:p w14:paraId="63D0597F" w14:textId="77777777" w:rsidR="00A82ED9" w:rsidRDefault="00000000" w:rsidP="00AA2642">
            <w:r>
              <w:rPr>
                <w:rFonts w:eastAsia="Times New Roman" w:cs="Times New Roman"/>
                <w:sz w:val="18"/>
              </w:rPr>
              <w:t>Hierarchical temporal CNNs</w:t>
            </w:r>
          </w:p>
        </w:tc>
        <w:tc>
          <w:tcPr>
            <w:tcW w:w="1474" w:type="dxa"/>
          </w:tcPr>
          <w:p w14:paraId="4B06553F" w14:textId="77777777" w:rsidR="00A82ED9" w:rsidRDefault="00000000" w:rsidP="00AA2642">
            <w:r>
              <w:rPr>
                <w:rFonts w:eastAsia="Times New Roman" w:cs="Times New Roman"/>
                <w:sz w:val="18"/>
              </w:rPr>
              <w:t>Solar Analytics, Western Australia (hourly, private)</w:t>
            </w:r>
          </w:p>
        </w:tc>
        <w:tc>
          <w:tcPr>
            <w:tcW w:w="1176" w:type="dxa"/>
          </w:tcPr>
          <w:p w14:paraId="4D01323E" w14:textId="77777777" w:rsidR="00A82ED9" w:rsidRDefault="00000000" w:rsidP="00AA2642">
            <w:r>
              <w:rPr>
                <w:rFonts w:eastAsia="Times New Roman" w:cs="Times New Roman"/>
                <w:sz w:val="18"/>
              </w:rPr>
              <w:t>Transformer and linear models; compute cost; retraining for new systems; BIPV</w:t>
            </w:r>
          </w:p>
        </w:tc>
        <w:tc>
          <w:tcPr>
            <w:tcW w:w="1170" w:type="dxa"/>
          </w:tcPr>
          <w:p w14:paraId="41F164FE" w14:textId="77777777" w:rsidR="00A82ED9" w:rsidRDefault="00000000" w:rsidP="00AA2642">
            <w:r>
              <w:rPr>
                <w:rFonts w:eastAsia="Times New Roman" w:cs="Times New Roman"/>
                <w:sz w:val="18"/>
              </w:rPr>
              <w:t>Yes: chronological hold-out</w:t>
            </w:r>
          </w:p>
        </w:tc>
        <w:tc>
          <w:tcPr>
            <w:tcW w:w="1620" w:type="dxa"/>
          </w:tcPr>
          <w:p w14:paraId="64BC3066" w14:textId="77777777" w:rsidR="00A82ED9" w:rsidRDefault="00000000" w:rsidP="00AA2642">
            <w:r>
              <w:rPr>
                <w:rFonts w:eastAsia="Times New Roman" w:cs="Times New Roman"/>
                <w:sz w:val="18"/>
              </w:rPr>
              <w:t>Partial: 101 postcodes, all used in training</w:t>
            </w:r>
          </w:p>
        </w:tc>
        <w:tc>
          <w:tcPr>
            <w:tcW w:w="1350" w:type="dxa"/>
          </w:tcPr>
          <w:p w14:paraId="2299A7E0" w14:textId="77777777" w:rsidR="00A82ED9" w:rsidRDefault="00000000" w:rsidP="00AA2642">
            <w:r>
              <w:rPr>
                <w:rFonts w:eastAsia="Times New Roman" w:cs="Times New Roman"/>
                <w:sz w:val="18"/>
              </w:rPr>
              <w:t>Yes</w:t>
            </w:r>
          </w:p>
        </w:tc>
      </w:tr>
      <w:tr w:rsidR="00AA2642" w14:paraId="6A40F07A" w14:textId="77777777" w:rsidTr="00AA2642">
        <w:tc>
          <w:tcPr>
            <w:tcW w:w="867" w:type="dxa"/>
          </w:tcPr>
          <w:p w14:paraId="10BAC510" w14:textId="77777777" w:rsidR="00A82ED9" w:rsidRDefault="00000000" w:rsidP="00AA2642">
            <w:r>
              <w:rPr>
                <w:rFonts w:eastAsia="Times New Roman" w:cs="Times New Roman"/>
                <w:sz w:val="18"/>
              </w:rPr>
              <w:t>Paletta et al., 2024 [</w:t>
            </w:r>
            <w:hyperlink w:anchor="ref_42" w:history="1">
              <w:r>
                <w:rPr>
                  <w:rFonts w:eastAsia="Times New Roman" w:cs="Times New Roman"/>
                  <w:color w:val="0563C1"/>
                  <w:sz w:val="18"/>
                </w:rPr>
                <w:t>42</w:t>
              </w:r>
            </w:hyperlink>
            <w:r>
              <w:rPr>
                <w:rFonts w:eastAsia="Times New Roman" w:cs="Times New Roman"/>
                <w:sz w:val="18"/>
              </w:rPr>
              <w:t>]</w:t>
            </w:r>
          </w:p>
        </w:tc>
        <w:tc>
          <w:tcPr>
            <w:tcW w:w="1214" w:type="dxa"/>
          </w:tcPr>
          <w:p w14:paraId="6826BAEC" w14:textId="77777777" w:rsidR="00A82ED9" w:rsidRDefault="00000000" w:rsidP="00AA2642">
            <w:r>
              <w:rPr>
                <w:rFonts w:eastAsia="Times New Roman" w:cs="Times New Roman"/>
                <w:sz w:val="18"/>
              </w:rPr>
              <w:t>Zero- and few-shot new-site transfer</w:t>
            </w:r>
          </w:p>
        </w:tc>
        <w:tc>
          <w:tcPr>
            <w:tcW w:w="1384" w:type="dxa"/>
          </w:tcPr>
          <w:p w14:paraId="30DDCDD8" w14:textId="77777777" w:rsidR="00A82ED9" w:rsidRDefault="00000000" w:rsidP="00AA2642">
            <w:r>
              <w:rPr>
                <w:rFonts w:eastAsia="Times New Roman" w:cs="Times New Roman"/>
                <w:sz w:val="18"/>
              </w:rPr>
              <w:t xml:space="preserve">Sky-image </w:t>
            </w:r>
            <w:proofErr w:type="spellStart"/>
            <w:r>
              <w:rPr>
                <w:rFonts w:eastAsia="Times New Roman" w:cs="Times New Roman"/>
                <w:sz w:val="18"/>
              </w:rPr>
              <w:t>ConvLSTM</w:t>
            </w:r>
            <w:proofErr w:type="spellEnd"/>
          </w:p>
        </w:tc>
        <w:tc>
          <w:tcPr>
            <w:tcW w:w="1474" w:type="dxa"/>
          </w:tcPr>
          <w:p w14:paraId="482EB6B4" w14:textId="77777777" w:rsidR="00A82ED9" w:rsidRDefault="00000000" w:rsidP="00AA2642">
            <w:r>
              <w:rPr>
                <w:rFonts w:eastAsia="Times New Roman" w:cs="Times New Roman"/>
                <w:sz w:val="18"/>
              </w:rPr>
              <w:t>SIRTA Paris to SKIPP'D Stanford (1-min, public)</w:t>
            </w:r>
          </w:p>
        </w:tc>
        <w:tc>
          <w:tcPr>
            <w:tcW w:w="1176" w:type="dxa"/>
          </w:tcPr>
          <w:p w14:paraId="4323EC0F" w14:textId="77777777" w:rsidR="00A82ED9" w:rsidRDefault="00000000" w:rsidP="00AA2642">
            <w:r>
              <w:rPr>
                <w:rFonts w:eastAsia="Times New Roman" w:cs="Times New Roman"/>
                <w:sz w:val="18"/>
              </w:rPr>
              <w:t>Clear-sky model accuracy; representative calibration days; more cloud/aerosol types and locations</w:t>
            </w:r>
          </w:p>
        </w:tc>
        <w:tc>
          <w:tcPr>
            <w:tcW w:w="1170" w:type="dxa"/>
          </w:tcPr>
          <w:p w14:paraId="5423DF07" w14:textId="77777777" w:rsidR="00A82ED9" w:rsidRDefault="00000000" w:rsidP="00AA2642">
            <w:r>
              <w:rPr>
                <w:rFonts w:eastAsia="Times New Roman" w:cs="Times New Roman"/>
                <w:sz w:val="18"/>
              </w:rPr>
              <w:t>No: fixed test days, ten-fold cross-validation</w:t>
            </w:r>
          </w:p>
        </w:tc>
        <w:tc>
          <w:tcPr>
            <w:tcW w:w="1620" w:type="dxa"/>
          </w:tcPr>
          <w:p w14:paraId="7F2FF8BD" w14:textId="77777777" w:rsidR="00A82ED9" w:rsidRDefault="00000000" w:rsidP="00AA2642">
            <w:r>
              <w:rPr>
                <w:rFonts w:eastAsia="Times New Roman" w:cs="Times New Roman"/>
                <w:sz w:val="18"/>
              </w:rPr>
              <w:t>Yes: unseen target site</w:t>
            </w:r>
          </w:p>
        </w:tc>
        <w:tc>
          <w:tcPr>
            <w:tcW w:w="1350" w:type="dxa"/>
          </w:tcPr>
          <w:p w14:paraId="6E666BC2" w14:textId="77777777" w:rsidR="00A82ED9" w:rsidRDefault="00000000" w:rsidP="00AA2642">
            <w:r>
              <w:rPr>
                <w:rFonts w:eastAsia="Times New Roman" w:cs="Times New Roman"/>
                <w:sz w:val="18"/>
              </w:rPr>
              <w:t>Yes</w:t>
            </w:r>
          </w:p>
        </w:tc>
      </w:tr>
      <w:tr w:rsidR="00AA2642" w14:paraId="603A1507" w14:textId="77777777" w:rsidTr="00AA2642">
        <w:tc>
          <w:tcPr>
            <w:tcW w:w="867" w:type="dxa"/>
          </w:tcPr>
          <w:p w14:paraId="58567407" w14:textId="77777777" w:rsidR="00A82ED9" w:rsidRDefault="00000000" w:rsidP="00AA2642">
            <w:proofErr w:type="spellStart"/>
            <w:r>
              <w:rPr>
                <w:rFonts w:eastAsia="Times New Roman" w:cs="Times New Roman"/>
                <w:sz w:val="18"/>
              </w:rPr>
              <w:t>Sarmas</w:t>
            </w:r>
            <w:proofErr w:type="spellEnd"/>
            <w:r>
              <w:rPr>
                <w:rFonts w:eastAsia="Times New Roman" w:cs="Times New Roman"/>
                <w:sz w:val="18"/>
              </w:rPr>
              <w:t xml:space="preserve"> et al., 2022 [</w:t>
            </w:r>
            <w:hyperlink w:anchor="ref_43" w:history="1">
              <w:r>
                <w:rPr>
                  <w:rFonts w:eastAsia="Times New Roman" w:cs="Times New Roman"/>
                  <w:color w:val="0563C1"/>
                  <w:sz w:val="18"/>
                </w:rPr>
                <w:t>43</w:t>
              </w:r>
            </w:hyperlink>
            <w:r>
              <w:rPr>
                <w:rFonts w:eastAsia="Times New Roman" w:cs="Times New Roman"/>
                <w:sz w:val="18"/>
              </w:rPr>
              <w:t>]</w:t>
            </w:r>
          </w:p>
        </w:tc>
        <w:tc>
          <w:tcPr>
            <w:tcW w:w="1214" w:type="dxa"/>
          </w:tcPr>
          <w:p w14:paraId="07AE061D" w14:textId="77777777" w:rsidR="00A82ED9" w:rsidRDefault="00000000" w:rsidP="00AA2642">
            <w:r>
              <w:rPr>
                <w:rFonts w:eastAsia="Times New Roman" w:cs="Times New Roman"/>
                <w:sz w:val="18"/>
              </w:rPr>
              <w:t>New-plant 1-h forecasting</w:t>
            </w:r>
          </w:p>
        </w:tc>
        <w:tc>
          <w:tcPr>
            <w:tcW w:w="1384" w:type="dxa"/>
          </w:tcPr>
          <w:p w14:paraId="3A2D4AA5" w14:textId="77777777" w:rsidR="00A82ED9" w:rsidRDefault="00000000" w:rsidP="00AA2642">
            <w:r>
              <w:rPr>
                <w:rFonts w:eastAsia="Times New Roman" w:cs="Times New Roman"/>
                <w:sz w:val="18"/>
              </w:rPr>
              <w:t>Stacked LSTM, transfer learning</w:t>
            </w:r>
          </w:p>
        </w:tc>
        <w:tc>
          <w:tcPr>
            <w:tcW w:w="1474" w:type="dxa"/>
          </w:tcPr>
          <w:p w14:paraId="76957A0C" w14:textId="77777777" w:rsidR="00A82ED9" w:rsidRDefault="00000000" w:rsidP="00AA2642">
            <w:r>
              <w:rPr>
                <w:rFonts w:eastAsia="Times New Roman" w:cs="Times New Roman"/>
                <w:sz w:val="18"/>
              </w:rPr>
              <w:t>Portuguese energy community (hourly)</w:t>
            </w:r>
          </w:p>
        </w:tc>
        <w:tc>
          <w:tcPr>
            <w:tcW w:w="1176" w:type="dxa"/>
          </w:tcPr>
          <w:p w14:paraId="5F7823F4" w14:textId="77777777" w:rsidR="00A82ED9" w:rsidRDefault="00000000" w:rsidP="00AA2642">
            <w:r>
              <w:rPr>
                <w:rFonts w:eastAsia="Times New Roman" w:cs="Times New Roman"/>
                <w:sz w:val="18"/>
              </w:rPr>
              <w:t>Source data volume; multiple source plants; geographic differences</w:t>
            </w:r>
          </w:p>
        </w:tc>
        <w:tc>
          <w:tcPr>
            <w:tcW w:w="1170" w:type="dxa"/>
          </w:tcPr>
          <w:p w14:paraId="1F0842C0" w14:textId="77777777" w:rsidR="00A82ED9" w:rsidRDefault="00000000" w:rsidP="00AA2642">
            <w:r>
              <w:rPr>
                <w:rFonts w:eastAsia="Times New Roman" w:cs="Times New Roman"/>
                <w:sz w:val="18"/>
              </w:rPr>
              <w:t>Partial: scaling before split; source training period overlaps target test period</w:t>
            </w:r>
          </w:p>
        </w:tc>
        <w:tc>
          <w:tcPr>
            <w:tcW w:w="1620" w:type="dxa"/>
          </w:tcPr>
          <w:p w14:paraId="1AF583F0" w14:textId="77777777" w:rsidR="00A82ED9" w:rsidRDefault="00000000" w:rsidP="00AA2642">
            <w:r>
              <w:rPr>
                <w:rFonts w:eastAsia="Times New Roman" w:cs="Times New Roman"/>
                <w:sz w:val="18"/>
              </w:rPr>
              <w:t>Yes: 1 source, 6 target plants</w:t>
            </w:r>
          </w:p>
        </w:tc>
        <w:tc>
          <w:tcPr>
            <w:tcW w:w="1350" w:type="dxa"/>
          </w:tcPr>
          <w:p w14:paraId="57D34CE7" w14:textId="77777777" w:rsidR="00A82ED9" w:rsidRDefault="00000000" w:rsidP="00AA2642">
            <w:r>
              <w:rPr>
                <w:rFonts w:eastAsia="Times New Roman" w:cs="Times New Roman"/>
                <w:sz w:val="18"/>
              </w:rPr>
              <w:t>Yes</w:t>
            </w:r>
          </w:p>
        </w:tc>
      </w:tr>
      <w:tr w:rsidR="00AA2642" w14:paraId="64A3BE7C" w14:textId="77777777" w:rsidTr="00AA2642">
        <w:tc>
          <w:tcPr>
            <w:tcW w:w="867" w:type="dxa"/>
          </w:tcPr>
          <w:p w14:paraId="2F45A8F4" w14:textId="77777777" w:rsidR="00A82ED9" w:rsidRDefault="00000000" w:rsidP="00AA2642">
            <w:r>
              <w:rPr>
                <w:rFonts w:eastAsia="Times New Roman" w:cs="Times New Roman"/>
                <w:sz w:val="18"/>
              </w:rPr>
              <w:t>Ilias et al., 2023 [</w:t>
            </w:r>
            <w:hyperlink w:anchor="ref_44" w:history="1">
              <w:r>
                <w:rPr>
                  <w:rFonts w:eastAsia="Times New Roman" w:cs="Times New Roman"/>
                  <w:color w:val="0563C1"/>
                  <w:sz w:val="18"/>
                </w:rPr>
                <w:t>44</w:t>
              </w:r>
            </w:hyperlink>
            <w:r>
              <w:rPr>
                <w:rFonts w:eastAsia="Times New Roman" w:cs="Times New Roman"/>
                <w:sz w:val="18"/>
              </w:rPr>
              <w:t>]</w:t>
            </w:r>
          </w:p>
        </w:tc>
        <w:tc>
          <w:tcPr>
            <w:tcW w:w="1214" w:type="dxa"/>
          </w:tcPr>
          <w:p w14:paraId="1E6F5256" w14:textId="77777777" w:rsidR="00A82ED9" w:rsidRDefault="00000000" w:rsidP="00AA2642">
            <w:r>
              <w:rPr>
                <w:rFonts w:eastAsia="Times New Roman" w:cs="Times New Roman"/>
                <w:sz w:val="18"/>
              </w:rPr>
              <w:t>Plants without production data</w:t>
            </w:r>
          </w:p>
        </w:tc>
        <w:tc>
          <w:tcPr>
            <w:tcW w:w="1384" w:type="dxa"/>
          </w:tcPr>
          <w:p w14:paraId="2FB681D6" w14:textId="77777777" w:rsidR="00A82ED9" w:rsidRDefault="00000000" w:rsidP="00AA2642">
            <w:r>
              <w:rPr>
                <w:rFonts w:eastAsia="Times New Roman" w:cs="Times New Roman"/>
                <w:sz w:val="18"/>
              </w:rPr>
              <w:t>LSTM-transformer, domain adaptation</w:t>
            </w:r>
          </w:p>
        </w:tc>
        <w:tc>
          <w:tcPr>
            <w:tcW w:w="1474" w:type="dxa"/>
          </w:tcPr>
          <w:p w14:paraId="079FCB5B" w14:textId="77777777" w:rsidR="00A82ED9" w:rsidRDefault="00000000" w:rsidP="00AA2642">
            <w:r>
              <w:rPr>
                <w:rFonts w:eastAsia="Times New Roman" w:cs="Times New Roman"/>
                <w:sz w:val="18"/>
              </w:rPr>
              <w:t>Portuguese energy community (hourly)</w:t>
            </w:r>
          </w:p>
        </w:tc>
        <w:tc>
          <w:tcPr>
            <w:tcW w:w="1176" w:type="dxa"/>
          </w:tcPr>
          <w:p w14:paraId="18492905" w14:textId="77777777" w:rsidR="00A82ED9" w:rsidRDefault="00000000" w:rsidP="00AA2642">
            <w:r>
              <w:rPr>
                <w:rFonts w:eastAsia="Times New Roman" w:cs="Times New Roman"/>
                <w:sz w:val="18"/>
              </w:rPr>
              <w:t>Semi-supervised adaptation; accuracy variation across plants; weather changes and faults</w:t>
            </w:r>
          </w:p>
        </w:tc>
        <w:tc>
          <w:tcPr>
            <w:tcW w:w="1170" w:type="dxa"/>
          </w:tcPr>
          <w:p w14:paraId="49B758D1" w14:textId="77777777" w:rsidR="00A82ED9" w:rsidRDefault="00000000" w:rsidP="00AA2642">
            <w:r>
              <w:rPr>
                <w:rFonts w:eastAsia="Times New Roman" w:cs="Times New Roman"/>
                <w:sz w:val="18"/>
              </w:rPr>
              <w:t>Partial: validation and scaling not reported</w:t>
            </w:r>
          </w:p>
        </w:tc>
        <w:tc>
          <w:tcPr>
            <w:tcW w:w="1620" w:type="dxa"/>
          </w:tcPr>
          <w:p w14:paraId="19D72604" w14:textId="77777777" w:rsidR="00A82ED9" w:rsidRDefault="00000000" w:rsidP="00AA2642">
            <w:r>
              <w:rPr>
                <w:rFonts w:eastAsia="Times New Roman" w:cs="Times New Roman"/>
                <w:sz w:val="18"/>
              </w:rPr>
              <w:t>Yes: 1 source, 6 target plants</w:t>
            </w:r>
          </w:p>
        </w:tc>
        <w:tc>
          <w:tcPr>
            <w:tcW w:w="1350" w:type="dxa"/>
          </w:tcPr>
          <w:p w14:paraId="6DDA23FE" w14:textId="77777777" w:rsidR="00A82ED9" w:rsidRDefault="00000000" w:rsidP="00AA2642">
            <w:r>
              <w:rPr>
                <w:rFonts w:eastAsia="Times New Roman" w:cs="Times New Roman"/>
                <w:sz w:val="18"/>
              </w:rPr>
              <w:t>Yes</w:t>
            </w:r>
          </w:p>
        </w:tc>
      </w:tr>
      <w:tr w:rsidR="00AA2642" w14:paraId="27C3B84E" w14:textId="77777777" w:rsidTr="00AA2642">
        <w:tc>
          <w:tcPr>
            <w:tcW w:w="867" w:type="dxa"/>
          </w:tcPr>
          <w:p w14:paraId="78CF7495" w14:textId="77777777" w:rsidR="00A82ED9" w:rsidRDefault="00000000" w:rsidP="00AA2642">
            <w:r>
              <w:rPr>
                <w:rFonts w:eastAsia="Times New Roman" w:cs="Times New Roman"/>
                <w:sz w:val="18"/>
              </w:rPr>
              <w:t>Luo et al., 2022 [</w:t>
            </w:r>
            <w:hyperlink w:anchor="ref_45" w:history="1">
              <w:r>
                <w:rPr>
                  <w:rFonts w:eastAsia="Times New Roman" w:cs="Times New Roman"/>
                  <w:color w:val="0563C1"/>
                  <w:sz w:val="18"/>
                </w:rPr>
                <w:t>45</w:t>
              </w:r>
            </w:hyperlink>
            <w:r>
              <w:rPr>
                <w:rFonts w:eastAsia="Times New Roman" w:cs="Times New Roman"/>
                <w:sz w:val="18"/>
              </w:rPr>
              <w:t>]</w:t>
            </w:r>
          </w:p>
        </w:tc>
        <w:tc>
          <w:tcPr>
            <w:tcW w:w="1214" w:type="dxa"/>
          </w:tcPr>
          <w:p w14:paraId="49B87AA7" w14:textId="77777777" w:rsidR="00A82ED9" w:rsidRDefault="00000000" w:rsidP="00AA2642">
            <w:r>
              <w:rPr>
                <w:rFonts w:eastAsia="Times New Roman" w:cs="Times New Roman"/>
                <w:sz w:val="18"/>
              </w:rPr>
              <w:t>Day-ahead forecasting with 30 days of data</w:t>
            </w:r>
          </w:p>
        </w:tc>
        <w:tc>
          <w:tcPr>
            <w:tcW w:w="1384" w:type="dxa"/>
          </w:tcPr>
          <w:p w14:paraId="454642B1" w14:textId="77777777" w:rsidR="00A82ED9" w:rsidRDefault="00000000" w:rsidP="00AA2642">
            <w:r>
              <w:rPr>
                <w:rFonts w:eastAsia="Times New Roman" w:cs="Times New Roman"/>
                <w:sz w:val="18"/>
              </w:rPr>
              <w:t>Constrained LSTM, transfer learning</w:t>
            </w:r>
          </w:p>
        </w:tc>
        <w:tc>
          <w:tcPr>
            <w:tcW w:w="1474" w:type="dxa"/>
          </w:tcPr>
          <w:p w14:paraId="33795AF7" w14:textId="77777777" w:rsidR="00A82ED9" w:rsidRDefault="00000000" w:rsidP="00AA2642">
            <w:r>
              <w:rPr>
                <w:rFonts w:eastAsia="Times New Roman" w:cs="Times New Roman"/>
                <w:sz w:val="18"/>
              </w:rPr>
              <w:t>GEFCom2014, Australia (hourly, ECMWF inputs)</w:t>
            </w:r>
          </w:p>
        </w:tc>
        <w:tc>
          <w:tcPr>
            <w:tcW w:w="1176" w:type="dxa"/>
          </w:tcPr>
          <w:p w14:paraId="51A38754" w14:textId="77777777" w:rsidR="00A82ED9" w:rsidRDefault="00000000" w:rsidP="00AA2642">
            <w:r>
              <w:rPr>
                <w:rFonts w:eastAsia="Times New Roman" w:cs="Times New Roman"/>
                <w:sz w:val="18"/>
              </w:rPr>
              <w:t>Large source dataset needed; same input features required; other regions</w:t>
            </w:r>
          </w:p>
        </w:tc>
        <w:tc>
          <w:tcPr>
            <w:tcW w:w="1170" w:type="dxa"/>
          </w:tcPr>
          <w:p w14:paraId="098B73F1" w14:textId="77777777" w:rsidR="00A82ED9" w:rsidRDefault="00000000" w:rsidP="00AA2642">
            <w:r>
              <w:rPr>
                <w:rFonts w:eastAsia="Times New Roman" w:cs="Times New Roman"/>
                <w:sz w:val="18"/>
              </w:rPr>
              <w:t>Partial: source model selected on test error</w:t>
            </w:r>
          </w:p>
        </w:tc>
        <w:tc>
          <w:tcPr>
            <w:tcW w:w="1620" w:type="dxa"/>
          </w:tcPr>
          <w:p w14:paraId="45EB9089" w14:textId="77777777" w:rsidR="00A82ED9" w:rsidRDefault="00000000" w:rsidP="00AA2642">
            <w:r>
              <w:rPr>
                <w:rFonts w:eastAsia="Times New Roman" w:cs="Times New Roman"/>
                <w:sz w:val="18"/>
              </w:rPr>
              <w:t>Partial: 2 plants</w:t>
            </w:r>
          </w:p>
        </w:tc>
        <w:tc>
          <w:tcPr>
            <w:tcW w:w="1350" w:type="dxa"/>
          </w:tcPr>
          <w:p w14:paraId="7914A325" w14:textId="77777777" w:rsidR="00A82ED9" w:rsidRDefault="00000000" w:rsidP="00AA2642">
            <w:r>
              <w:rPr>
                <w:rFonts w:eastAsia="Times New Roman" w:cs="Times New Roman"/>
                <w:sz w:val="18"/>
              </w:rPr>
              <w:t>Yes</w:t>
            </w:r>
          </w:p>
        </w:tc>
      </w:tr>
    </w:tbl>
    <w:p w14:paraId="1A82578A" w14:textId="77777777" w:rsidR="005B4D48" w:rsidRDefault="00000000">
      <w:pPr>
        <w:spacing w:after="240"/>
        <w:jc w:val="both"/>
      </w:pPr>
      <w:r>
        <w:rPr>
          <w:rFonts w:eastAsia="Times New Roman" w:cs="Times New Roman"/>
        </w:rPr>
        <w:t>[</w:t>
      </w:r>
      <w:hyperlink w:anchor="ref_40" w:history="1">
        <w:r w:rsidR="005B4D48">
          <w:rPr>
            <w:rFonts w:eastAsia="Times New Roman" w:cs="Times New Roman"/>
            <w:color w:val="0563C1"/>
          </w:rPr>
          <w:t>40</w:t>
        </w:r>
      </w:hyperlink>
      <w:r>
        <w:rPr>
          <w:rFonts w:eastAsia="Times New Roman" w:cs="Times New Roman"/>
        </w:rPr>
        <w:t xml:space="preserve">] Xu and colleagues address PV forecasting for a newly built site that has only a few weeks of data. Their DSCAT model reads 1-min sky-image sequences through a two-route </w:t>
      </w:r>
      <w:r>
        <w:rPr>
          <w:rFonts w:eastAsia="Times New Roman" w:cs="Times New Roman"/>
        </w:rPr>
        <w:lastRenderedPageBreak/>
        <w:t>Swin Transformer with cross-attention, adds past PV output and clear-sky PV, and predicts PV output 5 minutes ahead. It is trained on a 30.1 kW Stanford site and transferred to the UQ Gatton solar farm using six layer-freezing strategies. On the source site it reaches about 49% forecast skill over smart persistence, ahead of CNN, CNN-LSTM, ConvLSTM and ViT benchmarks, several of which have higher MAE than persistence. At the new site the gain almost disappears: the best transferred DSCAT reaches only 2.7% skill (nRMSE 0.147 vs 0.152) with a higher MAE than persistence, and every transferred benchmark is worse than persistence. Test days are hand-picked sunny and cloudy days and the remaining records are split randomly into training and validation, so the evaluation is not chronological.</w:t>
      </w:r>
    </w:p>
    <w:p w14:paraId="1564FC63" w14:textId="77777777" w:rsidR="005B4D48" w:rsidRDefault="00000000">
      <w:pPr>
        <w:spacing w:after="240"/>
        <w:jc w:val="both"/>
      </w:pPr>
      <w:r>
        <w:rPr>
          <w:rFonts w:eastAsia="Times New Roman" w:cs="Times New Roman"/>
        </w:rPr>
        <w:t>[</w:t>
      </w:r>
      <w:hyperlink w:anchor="ref_41" w:history="1">
        <w:r w:rsidR="005B4D48">
          <w:rPr>
            <w:rFonts w:eastAsia="Times New Roman" w:cs="Times New Roman"/>
            <w:color w:val="0563C1"/>
          </w:rPr>
          <w:t>41</w:t>
        </w:r>
      </w:hyperlink>
      <w:r>
        <w:rPr>
          <w:rFonts w:eastAsia="Times New Roman" w:cs="Times New Roman"/>
        </w:rPr>
        <w:t>] Perera and colleagues forecast the day-ahead hourly output of all rooftop PV in Western Australia's SWIS grid, using 241 systems grouped into 101 postcodes over one year. Their hierarchical temporal CNNs learn the regional total, the postcode series and local weather in one network, either for the whole region at once or for 20 weather-based sub-regions whose forecasts are added. Testing is chronological, with the last 36 days held out and scaling fitted on training data only, and every model is compared with a seasonal naive (periodic persistence) forecast through a skill score, over 10 seeds with a significance test. When only the regional total is used, LSTM, CNN and TCN all score below seasonal naive, showing that deep models alone add nothing without local data. The sub-region HTCNN A2 reaches the best skill of 40.3% and is the only variant significantly better (6.5%) than the strongest baseline, a postcode-level TCN that needs 101 models. All sites are present in both training and testing, so the study does not test how the model performs on unseen sites or regions.</w:t>
      </w:r>
    </w:p>
    <w:p w14:paraId="5E331EBB" w14:textId="77777777" w:rsidR="005B4D48" w:rsidRDefault="00000000">
      <w:pPr>
        <w:spacing w:after="240"/>
        <w:jc w:val="both"/>
      </w:pPr>
      <w:r>
        <w:rPr>
          <w:rFonts w:eastAsia="Times New Roman" w:cs="Times New Roman"/>
        </w:rPr>
        <w:t>[</w:t>
      </w:r>
      <w:hyperlink w:anchor="ref_42" w:history="1">
        <w:r w:rsidR="005B4D48">
          <w:rPr>
            <w:rFonts w:eastAsia="Times New Roman" w:cs="Times New Roman"/>
            <w:color w:val="0563C1"/>
          </w:rPr>
          <w:t>42</w:t>
        </w:r>
      </w:hyperlink>
      <w:r>
        <w:rPr>
          <w:rFonts w:eastAsia="Times New Roman" w:cs="Times New Roman"/>
        </w:rPr>
        <w:t>] Paletta and colleagues ask whether a sky-image forecasting model trained at one site can be used at a new site with little or no local data. A ConvLSTM that reads past sky images and past solar values to predict 15 minutes ahead is trained on irradiance data from the SIRTA observatory near Paris and applied to the 30.1 kWp Stanford PV array of the SKIPP'D dataset. It is used directly (zero-shot), recalibrated on a single day of local data (few-shot), or fine-tuned on the full local record, and the output is either scaled by a local quantile or expressed as a clear-sky index. All models are scored against smart persistence on a fixed test set of 10 clear-sky and 10 cloudy days. Predicting the clear-sky index and adding image rotations makes transfer far better, and the best few-shot model reaches 15.75% skill in cloudy weather against 19.8% for a locally trained model. On clear-sky days, however, every transferred model is much worse than persistence, because the clear-sky model of the PV array is inaccurate.</w:t>
      </w:r>
    </w:p>
    <w:p w14:paraId="6A2ED1AF" w14:textId="77777777" w:rsidR="005B4D48" w:rsidRDefault="00000000">
      <w:pPr>
        <w:spacing w:after="240"/>
        <w:jc w:val="both"/>
      </w:pPr>
      <w:r>
        <w:rPr>
          <w:rFonts w:eastAsia="Times New Roman" w:cs="Times New Roman"/>
        </w:rPr>
        <w:t>[</w:t>
      </w:r>
      <w:hyperlink w:anchor="ref_43" w:history="1">
        <w:r w:rsidR="005B4D48">
          <w:rPr>
            <w:rFonts w:eastAsia="Times New Roman" w:cs="Times New Roman"/>
            <w:color w:val="0563C1"/>
          </w:rPr>
          <w:t>43</w:t>
        </w:r>
      </w:hyperlink>
      <w:r>
        <w:rPr>
          <w:rFonts w:eastAsia="Times New Roman" w:cs="Times New Roman"/>
        </w:rPr>
        <w:t xml:space="preserve">] Sarmas and colleagues study PV forecasting for newly installed plants that have little history. A stacked LSTM using the last five hours of PV output, temperature, irradiance and humidity predicts output one hour ahead; it is pre-trained on one Lisbon plant with 30 months of data and transferred to six plants in Lisbon, Setubal, Faro and Braga using three layer-freezing strategies. Each target model is trained on the first 3 to 12 months of its plant's data and tested on the later months, and all models are compared with a clear-sky-based smart persistence model through a forecast skill index over 20 repetitions. Transfer models score 0.28 to 0.56 skill, while models trained only on target data range from below persistence to </w:t>
      </w:r>
      <w:r>
        <w:rPr>
          <w:rFonts w:eastAsia="Times New Roman" w:cs="Times New Roman"/>
        </w:rPr>
        <w:lastRenderedPageBreak/>
        <w:t>0.48, and none trained on 3 months beats persistence. Skill is about the same for plants in the same city as the source and in other cities. However, scaling is applied before the data are split, and the source model is pre-trained on a record that overlaps in time with the target test periods.</w:t>
      </w:r>
    </w:p>
    <w:p w14:paraId="212F1A0A" w14:textId="77777777" w:rsidR="005B4D48" w:rsidRDefault="00000000">
      <w:pPr>
        <w:spacing w:after="240"/>
        <w:jc w:val="both"/>
      </w:pPr>
      <w:r>
        <w:rPr>
          <w:rFonts w:eastAsia="Times New Roman" w:cs="Times New Roman"/>
        </w:rPr>
        <w:t>[</w:t>
      </w:r>
      <w:hyperlink w:anchor="ref_44" w:history="1">
        <w:r w:rsidR="005B4D48">
          <w:rPr>
            <w:rFonts w:eastAsia="Times New Roman" w:cs="Times New Roman"/>
            <w:color w:val="0563C1"/>
          </w:rPr>
          <w:t>44</w:t>
        </w:r>
      </w:hyperlink>
      <w:r>
        <w:rPr>
          <w:rFonts w:eastAsia="Times New Roman" w:cs="Times New Roman"/>
        </w:rPr>
        <w:t>] Ilias and colleagues consider PV plants that have weather data but no recorded production to train on, and frame forecasting there as unsupervised domain adaptation. An LSTM with a transformer encoder extracts features from the last five hours of weather, production and calendar inputs, and two methods, DANN with an adversarial domain classifier and MDD with a margin-based discrepancy, are adapted from classification to regression to predict output one hour ahead. One Lisbon plant is the labelled source and six plants in four Portuguese cities, the same data as [</w:t>
      </w:r>
      <w:hyperlink w:anchor="ref_43" w:history="1">
        <w:r w:rsidR="005B4D48">
          <w:rPr>
            <w:rFonts w:eastAsia="Times New Roman" w:cs="Times New Roman"/>
            <w:color w:val="0563C1"/>
          </w:rPr>
          <w:t>43</w:t>
        </w:r>
      </w:hyperlink>
      <w:r>
        <w:rPr>
          <w:rFonts w:eastAsia="Times New Roman" w:cs="Times New Roman"/>
        </w:rPr>
        <w:t>], are the unlabelled targets, with the first year of each target used for training and the rest for testing. Against a clear-sky smart persistence model both methods win at every plant, with forecast skill from 13.1% to 45.4% over 20 runs. Neither method is consistently better, and the authors note that accuracy differs widely between plants.</w:t>
      </w:r>
    </w:p>
    <w:p w14:paraId="2706C7F4" w14:textId="77777777" w:rsidR="005B4D48" w:rsidRDefault="00000000">
      <w:pPr>
        <w:spacing w:after="240"/>
        <w:jc w:val="both"/>
      </w:pPr>
      <w:r>
        <w:rPr>
          <w:rFonts w:eastAsia="Times New Roman" w:cs="Times New Roman"/>
        </w:rPr>
        <w:t>[</w:t>
      </w:r>
      <w:hyperlink w:anchor="ref_45" w:history="1">
        <w:r w:rsidR="005B4D48">
          <w:rPr>
            <w:rFonts w:eastAsia="Times New Roman" w:cs="Times New Roman"/>
            <w:color w:val="0563C1"/>
          </w:rPr>
          <w:t>45</w:t>
        </w:r>
      </w:hyperlink>
      <w:r>
        <w:rPr>
          <w:rFonts w:eastAsia="Times New Roman" w:cs="Times New Roman"/>
        </w:rPr>
        <w:t>] Luo and colleagues target day-ahead hourly forecasting for newly built PV plants that have only about a month of data. Their constrained LSTM uses ECMWF weather forecasts as inputs and adds a penalty whenever a prediction falls outside bounds taken from the most similar past days found by KNN; this model is first trained on one plant and then transferred to another using two families of layer-sharing strategies. The two GEFCom2014 plants in Australia take turns as source (27 months) and target (30 days for training, the next 10 days for testing), and models are compared with previous-day persistence, ARIMA, KNN, FCNN, LSTM and CNN-LSTM over 10 runs. The best variant reaches 43.8% and 68.4% skill over persistence, but only 11.3% and 13.8% over a plain LSTM, and on one plant a simple KNN model beats the plain LSTM. Some transfer variants make accuracy worse than training without transfer, and the source model is chosen by its lowest test error.</w:t>
      </w:r>
    </w:p>
    <w:p w14:paraId="4A3198B5" w14:textId="77777777" w:rsidR="005B4D48" w:rsidRDefault="00000000">
      <w:pPr>
        <w:spacing w:after="240"/>
        <w:jc w:val="both"/>
      </w:pPr>
      <w:r>
        <w:rPr>
          <w:rFonts w:eastAsia="Times New Roman" w:cs="Times New Roman"/>
        </w:rPr>
        <w:t>None of the six covers all three gaps (Table 2). [</w:t>
      </w:r>
      <w:hyperlink w:anchor="ref_41" w:history="1">
        <w:r w:rsidR="005B4D48">
          <w:rPr>
            <w:rFonts w:eastAsia="Times New Roman" w:cs="Times New Roman"/>
            <w:color w:val="0563C1"/>
          </w:rPr>
          <w:t>41</w:t>
        </w:r>
      </w:hyperlink>
      <w:r>
        <w:rPr>
          <w:rFonts w:eastAsia="Times New Roman" w:cs="Times New Roman"/>
        </w:rPr>
        <w:t>] uses a chronological split and a persistence baseline but never tests on an unseen site. [</w:t>
      </w:r>
      <w:hyperlink w:anchor="ref_42" w:history="1">
        <w:r w:rsidR="005B4D48">
          <w:rPr>
            <w:rFonts w:eastAsia="Times New Roman" w:cs="Times New Roman"/>
            <w:color w:val="0563C1"/>
          </w:rPr>
          <w:t>42</w:t>
        </w:r>
      </w:hyperlink>
      <w:r>
        <w:rPr>
          <w:rFonts w:eastAsia="Times New Roman" w:cs="Times New Roman"/>
        </w:rPr>
        <w:t>] tests on an unseen site against smart persistence but uses fixed test days and ten-fold cross-validation. [</w:t>
      </w:r>
      <w:hyperlink w:anchor="ref_40" w:history="1">
        <w:r w:rsidR="005B4D48">
          <w:rPr>
            <w:rFonts w:eastAsia="Times New Roman" w:cs="Times New Roman"/>
            <w:color w:val="0563C1"/>
          </w:rPr>
          <w:t>40</w:t>
        </w:r>
      </w:hyperlink>
      <w:r>
        <w:rPr>
          <w:rFonts w:eastAsia="Times New Roman" w:cs="Times New Roman"/>
        </w:rPr>
        <w:t>] uses hand-picked test days with a random train/validation split and fine-tunes on the target site. [</w:t>
      </w:r>
      <w:hyperlink w:anchor="ref_43" w:history="1">
        <w:r w:rsidR="005B4D48">
          <w:rPr>
            <w:rFonts w:eastAsia="Times New Roman" w:cs="Times New Roman"/>
            <w:color w:val="0563C1"/>
          </w:rPr>
          <w:t>43</w:t>
        </w:r>
      </w:hyperlink>
      <w:r>
        <w:rPr>
          <w:rFonts w:eastAsia="Times New Roman" w:cs="Times New Roman"/>
        </w:rPr>
        <w:t>], [</w:t>
      </w:r>
      <w:hyperlink w:anchor="ref_44" w:history="1">
        <w:r w:rsidR="005B4D48">
          <w:rPr>
            <w:rFonts w:eastAsia="Times New Roman" w:cs="Times New Roman"/>
            <w:color w:val="0563C1"/>
          </w:rPr>
          <w:t>44</w:t>
        </w:r>
      </w:hyperlink>
      <w:r>
        <w:rPr>
          <w:rFonts w:eastAsia="Times New Roman" w:cs="Times New Roman"/>
        </w:rPr>
        <w:t>] and [</w:t>
      </w:r>
      <w:hyperlink w:anchor="ref_45" w:history="1">
        <w:r w:rsidR="005B4D48">
          <w:rPr>
            <w:rFonts w:eastAsia="Times New Roman" w:cs="Times New Roman"/>
            <w:color w:val="0563C1"/>
          </w:rPr>
          <w:t>45</w:t>
        </w:r>
      </w:hyperlink>
      <w:r>
        <w:rPr>
          <w:rFonts w:eastAsia="Times New Roman" w:cs="Times New Roman"/>
        </w:rPr>
        <w:t>] cover several plants and persistence but have leakage risks or unreported steps: scaling before the split and overlapping source and target periods in [</w:t>
      </w:r>
      <w:hyperlink w:anchor="ref_43" w:history="1">
        <w:r w:rsidR="005B4D48">
          <w:rPr>
            <w:rFonts w:eastAsia="Times New Roman" w:cs="Times New Roman"/>
            <w:color w:val="0563C1"/>
          </w:rPr>
          <w:t>43</w:t>
        </w:r>
      </w:hyperlink>
      <w:r>
        <w:rPr>
          <w:rFonts w:eastAsia="Times New Roman" w:cs="Times New Roman"/>
        </w:rPr>
        <w:t>], validation and scaling not reported in [</w:t>
      </w:r>
      <w:hyperlink w:anchor="ref_44" w:history="1">
        <w:r w:rsidR="005B4D48">
          <w:rPr>
            <w:rFonts w:eastAsia="Times New Roman" w:cs="Times New Roman"/>
            <w:color w:val="0563C1"/>
          </w:rPr>
          <w:t>44</w:t>
        </w:r>
      </w:hyperlink>
      <w:r>
        <w:rPr>
          <w:rFonts w:eastAsia="Times New Roman" w:cs="Times New Roman"/>
        </w:rPr>
        <w:t>], and a source model selected on its test error in [</w:t>
      </w:r>
      <w:hyperlink w:anchor="ref_45" w:history="1">
        <w:r w:rsidR="005B4D48">
          <w:rPr>
            <w:rFonts w:eastAsia="Times New Roman" w:cs="Times New Roman"/>
            <w:color w:val="0563C1"/>
          </w:rPr>
          <w:t>45</w:t>
        </w:r>
      </w:hyperlink>
      <w:r>
        <w:rPr>
          <w:rFonts w:eastAsia="Times New Roman" w:cs="Times New Roman"/>
        </w:rPr>
        <w:t>]. The gap addressed by this project is therefore a leakage-safe, cross-site evaluation referenced to persistence.</w:t>
      </w:r>
    </w:p>
    <w:p w14:paraId="6BBC3304" w14:textId="77777777" w:rsidR="005B4D48" w:rsidRDefault="00000000">
      <w:r>
        <w:br w:type="page"/>
      </w:r>
    </w:p>
    <w:p w14:paraId="2DFE036F" w14:textId="77777777" w:rsidR="005B4D48" w:rsidRDefault="00000000">
      <w:pPr>
        <w:pStyle w:val="Heading1"/>
        <w:pageBreakBefore/>
      </w:pPr>
      <w:r>
        <w:lastRenderedPageBreak/>
        <w:t>REFERENCES</w:t>
      </w:r>
    </w:p>
    <w:p w14:paraId="04D69138" w14:textId="77777777" w:rsidR="005B4D48" w:rsidRDefault="00000000">
      <w:pPr>
        <w:numPr>
          <w:ilvl w:val="0"/>
          <w:numId w:val="16"/>
        </w:numPr>
        <w:spacing w:after="160" w:line="259" w:lineRule="auto"/>
        <w:jc w:val="both"/>
      </w:pPr>
      <w:bookmarkStart w:id="0" w:name="ref_1"/>
      <w:bookmarkEnd w:id="0"/>
      <w:r>
        <w:rPr>
          <w:rFonts w:eastAsia="Times New Roman" w:cs="Times New Roman"/>
        </w:rPr>
        <w:t>D. Mahaini, M. R. Machado, and J. L. R. Moreira, “Machine learning for wind and solar PV energy production forecasting: a systematic literature review,” International Journal of Data Science and Analytics, vol. 22, no. 1, 2026, doi: 10.1007/s41060-026-01261-z.</w:t>
      </w:r>
    </w:p>
    <w:p w14:paraId="368DC74B" w14:textId="77777777" w:rsidR="005B4D48" w:rsidRDefault="00000000">
      <w:pPr>
        <w:numPr>
          <w:ilvl w:val="0"/>
          <w:numId w:val="16"/>
        </w:numPr>
        <w:spacing w:after="160" w:line="259" w:lineRule="auto"/>
        <w:jc w:val="both"/>
      </w:pPr>
      <w:bookmarkStart w:id="1" w:name="ref_2"/>
      <w:bookmarkEnd w:id="1"/>
      <w:r>
        <w:rPr>
          <w:rFonts w:eastAsia="Times New Roman" w:cs="Times New Roman"/>
        </w:rPr>
        <w:t>T. Wedhasari and R. Castro, “A Critical Review and Strategic Roadmap of PV Power Forecasting (2016–2026): Addressing Temporal Leakage and Operational Integration Gaps,” Energies, vol. 19, no. 12, 2026, doi: 10.3390/en19122937.</w:t>
      </w:r>
    </w:p>
    <w:p w14:paraId="782359B1" w14:textId="77777777" w:rsidR="005B4D48" w:rsidRDefault="00000000">
      <w:pPr>
        <w:numPr>
          <w:ilvl w:val="0"/>
          <w:numId w:val="16"/>
        </w:numPr>
        <w:spacing w:after="160" w:line="259" w:lineRule="auto"/>
        <w:jc w:val="both"/>
      </w:pPr>
      <w:bookmarkStart w:id="2" w:name="ref_3"/>
      <w:bookmarkEnd w:id="2"/>
      <w:r>
        <w:rPr>
          <w:rFonts w:eastAsia="Times New Roman" w:cs="Times New Roman"/>
        </w:rPr>
        <w:t>S. Jadapalli et al., “Scoping review of artificial intelligence approaches for solar energy forecasting addressing methodological developments data practices and operational implications,” Discover Applied Sciences, vol. 8, no. 6, 2026, doi: 10.1007/s42452-026-08691-1.</w:t>
      </w:r>
    </w:p>
    <w:p w14:paraId="7F34C625" w14:textId="77777777" w:rsidR="005B4D48" w:rsidRDefault="00000000">
      <w:pPr>
        <w:numPr>
          <w:ilvl w:val="0"/>
          <w:numId w:val="16"/>
        </w:numPr>
        <w:spacing w:after="160" w:line="259" w:lineRule="auto"/>
        <w:jc w:val="both"/>
      </w:pPr>
      <w:bookmarkStart w:id="3" w:name="ref_4"/>
      <w:bookmarkEnd w:id="3"/>
      <w:r>
        <w:rPr>
          <w:rFonts w:eastAsia="Times New Roman" w:cs="Times New Roman"/>
        </w:rPr>
        <w:t>Y. Cui, X. Lv, C. Zhang, X. Zhao, and X. Fu, “AI-Based Multi-Timescale Photovoltaic Power Scenario Generation and Forecasting: A Statistical Relational Perspective,” Applied Sciences (Switzerland), vol. 16, no. 14, 2026, doi: 10.3390/app16147202.</w:t>
      </w:r>
    </w:p>
    <w:p w14:paraId="26A27A8B" w14:textId="77777777" w:rsidR="005B4D48" w:rsidRDefault="00000000">
      <w:pPr>
        <w:numPr>
          <w:ilvl w:val="0"/>
          <w:numId w:val="16"/>
        </w:numPr>
        <w:spacing w:after="160" w:line="259" w:lineRule="auto"/>
        <w:jc w:val="both"/>
      </w:pPr>
      <w:bookmarkStart w:id="4" w:name="ref_5"/>
      <w:bookmarkEnd w:id="4"/>
      <w:r>
        <w:rPr>
          <w:rFonts w:eastAsia="Times New Roman" w:cs="Times New Roman"/>
        </w:rPr>
        <w:t>S. Tufail, “Explainable AI in solar PV forecasting: A systematic review of models, explainers, and physical drivers,” Solar Compass, vol. 19, 2026, doi: 10.1016/j.solcom.2026.100182.</w:t>
      </w:r>
    </w:p>
    <w:p w14:paraId="4243FF23" w14:textId="77777777" w:rsidR="005B4D48" w:rsidRDefault="00000000">
      <w:pPr>
        <w:numPr>
          <w:ilvl w:val="0"/>
          <w:numId w:val="16"/>
        </w:numPr>
        <w:spacing w:after="160" w:line="259" w:lineRule="auto"/>
        <w:jc w:val="both"/>
      </w:pPr>
      <w:bookmarkStart w:id="5" w:name="ref_6"/>
      <w:bookmarkEnd w:id="5"/>
      <w:r>
        <w:rPr>
          <w:rFonts w:eastAsia="Times New Roman" w:cs="Times New Roman"/>
        </w:rPr>
        <w:t>D. Sharma, C. Kumar, M. Kumar, and B. B. Singla, “A review of deep learning transformer variants used in solar PV forecasting,” Sustainable Energy Research, vol. 13, no. 1, 2026, doi: 10.1186/s40807-026-00270-7.</w:t>
      </w:r>
    </w:p>
    <w:p w14:paraId="459FB6FC" w14:textId="77777777" w:rsidR="005B4D48" w:rsidRDefault="00000000">
      <w:pPr>
        <w:numPr>
          <w:ilvl w:val="0"/>
          <w:numId w:val="16"/>
        </w:numPr>
        <w:spacing w:after="160" w:line="259" w:lineRule="auto"/>
        <w:jc w:val="both"/>
      </w:pPr>
      <w:bookmarkStart w:id="6" w:name="ref_7"/>
      <w:bookmarkEnd w:id="6"/>
      <w:r>
        <w:rPr>
          <w:rFonts w:eastAsia="Times New Roman" w:cs="Times New Roman"/>
        </w:rPr>
        <w:t>P. V. Matrenin, I. F. Iumanova, and A. I. Khalyasmaa, “Conceptual Architecture of a Trustworthy Wind and Photovoltaic Power Forecasting System: A Systematic Review and Design,” Inventions, vol. 11, no. 1, 2026, doi: 10.3390/inventions11010015.</w:t>
      </w:r>
    </w:p>
    <w:p w14:paraId="1B3BB026" w14:textId="77777777" w:rsidR="005B4D48" w:rsidRDefault="00000000">
      <w:pPr>
        <w:numPr>
          <w:ilvl w:val="0"/>
          <w:numId w:val="16"/>
        </w:numPr>
        <w:spacing w:after="160" w:line="259" w:lineRule="auto"/>
        <w:jc w:val="both"/>
      </w:pPr>
      <w:bookmarkStart w:id="7" w:name="ref_8"/>
      <w:bookmarkEnd w:id="7"/>
      <w:r>
        <w:rPr>
          <w:rFonts w:eastAsia="Times New Roman" w:cs="Times New Roman"/>
        </w:rPr>
        <w:t>M. Sadeq, F. Muhammad-Sukki, and N. Sellami, “Forecasting the Potential, Power and Energy (PPE) of Both Building Integrated PV and Traditional PV (BIPV–PV) Systems Using State-of-the-Art AI Methods,” International Journal of Energy Research, vol. 2026, no. 1, 2026, doi: 10.1155/er/1140262.</w:t>
      </w:r>
    </w:p>
    <w:p w14:paraId="5BE16A09" w14:textId="77777777" w:rsidR="005B4D48" w:rsidRDefault="00000000">
      <w:pPr>
        <w:numPr>
          <w:ilvl w:val="0"/>
          <w:numId w:val="16"/>
        </w:numPr>
        <w:spacing w:after="160" w:line="259" w:lineRule="auto"/>
        <w:jc w:val="both"/>
      </w:pPr>
      <w:bookmarkStart w:id="8" w:name="ref_9"/>
      <w:bookmarkEnd w:id="8"/>
      <w:r>
        <w:rPr>
          <w:rFonts w:eastAsia="Times New Roman" w:cs="Times New Roman"/>
        </w:rPr>
        <w:t>U. Singh, N. Singh, H. Malik, and M. A. Hossaini, “Photovoltaic Power Forecasting: A Review on Models and Future Research Directions,” IET Renewable Power Generation, vol. 20, no. 1, 2026, doi: 10.1049/rpg2.70186.</w:t>
      </w:r>
    </w:p>
    <w:p w14:paraId="71ADB901" w14:textId="77777777" w:rsidR="005B4D48" w:rsidRDefault="00000000">
      <w:pPr>
        <w:numPr>
          <w:ilvl w:val="0"/>
          <w:numId w:val="16"/>
        </w:numPr>
        <w:spacing w:after="160" w:line="259" w:lineRule="auto"/>
        <w:jc w:val="both"/>
      </w:pPr>
      <w:bookmarkStart w:id="9" w:name="ref_10"/>
      <w:bookmarkEnd w:id="9"/>
      <w:r>
        <w:rPr>
          <w:rFonts w:eastAsia="Times New Roman" w:cs="Times New Roman"/>
        </w:rPr>
        <w:t>M. Tabatabaei and E. Antonini, “Machine Learning for Optimizing Urban Photovoltaics: A Review of Static and Dynamic Factors,” Sustainability (Switzerland), vol. 17, no. 18, 2025, doi: 10.3390/su17188308.</w:t>
      </w:r>
    </w:p>
    <w:p w14:paraId="309F3E1F" w14:textId="77777777" w:rsidR="005B4D48" w:rsidRDefault="00000000">
      <w:pPr>
        <w:numPr>
          <w:ilvl w:val="0"/>
          <w:numId w:val="16"/>
        </w:numPr>
        <w:spacing w:after="160" w:line="259" w:lineRule="auto"/>
        <w:jc w:val="both"/>
      </w:pPr>
      <w:bookmarkStart w:id="10" w:name="ref_11"/>
      <w:bookmarkEnd w:id="10"/>
      <w:r>
        <w:rPr>
          <w:rFonts w:eastAsia="Times New Roman" w:cs="Times New Roman"/>
        </w:rPr>
        <w:t>P. Di Leo, A. Ciocia, G. Malgaroli, and F. Spertino, “Advancements and Challenges in Photovoltaic Power Forecasting: A Comprehensive Review,” Energies, vol. 18, no. 8, 2025, doi: 10.3390/en18082108.</w:t>
      </w:r>
    </w:p>
    <w:p w14:paraId="681EEE52" w14:textId="77777777" w:rsidR="005B4D48" w:rsidRDefault="00000000">
      <w:pPr>
        <w:numPr>
          <w:ilvl w:val="0"/>
          <w:numId w:val="16"/>
        </w:numPr>
        <w:spacing w:after="160" w:line="259" w:lineRule="auto"/>
        <w:jc w:val="both"/>
      </w:pPr>
      <w:bookmarkStart w:id="11" w:name="ref_12"/>
      <w:bookmarkEnd w:id="11"/>
      <w:r>
        <w:rPr>
          <w:rFonts w:eastAsia="Times New Roman" w:cs="Times New Roman"/>
        </w:rPr>
        <w:t xml:space="preserve">O. Khouili, M. Hanine, M. Louzazni, M. A. L. Flores, E. G. Villena, and I. Ashraf, “Evaluating the impact of deep learning approaches on solar and photovoltaic power </w:t>
      </w:r>
      <w:r>
        <w:rPr>
          <w:rFonts w:eastAsia="Times New Roman" w:cs="Times New Roman"/>
        </w:rPr>
        <w:lastRenderedPageBreak/>
        <w:t>forecasting: A systematic review,” Energy Strategy Reviews, vol. 59, 2025, doi: 10.1016/j.esr.2025.101735.</w:t>
      </w:r>
    </w:p>
    <w:p w14:paraId="05A9AF70" w14:textId="77777777" w:rsidR="005B4D48" w:rsidRDefault="00000000">
      <w:pPr>
        <w:numPr>
          <w:ilvl w:val="0"/>
          <w:numId w:val="16"/>
        </w:numPr>
        <w:spacing w:after="160" w:line="259" w:lineRule="auto"/>
        <w:jc w:val="both"/>
      </w:pPr>
      <w:bookmarkStart w:id="12" w:name="ref_13"/>
      <w:bookmarkEnd w:id="12"/>
      <w:r>
        <w:rPr>
          <w:rFonts w:eastAsia="Times New Roman" w:cs="Times New Roman"/>
        </w:rPr>
        <w:t>M. Husein, E. Gago, B. Hasan, and M. Pegalajar, “Towards energy efficiency: A comprehensive review of deep learning-based photovoltaic power forecasting strategies,” Heliyon, vol. 10, no. 13, 2024, doi: 10.1016/j.heliyon.2024.e33419.</w:t>
      </w:r>
    </w:p>
    <w:p w14:paraId="59BC0186" w14:textId="77777777" w:rsidR="005B4D48" w:rsidRDefault="00000000">
      <w:pPr>
        <w:numPr>
          <w:ilvl w:val="0"/>
          <w:numId w:val="16"/>
        </w:numPr>
        <w:spacing w:after="160" w:line="259" w:lineRule="auto"/>
        <w:jc w:val="both"/>
      </w:pPr>
      <w:bookmarkStart w:id="13" w:name="ref_14"/>
      <w:bookmarkEnd w:id="13"/>
      <w:r>
        <w:rPr>
          <w:rFonts w:eastAsia="Times New Roman" w:cs="Times New Roman"/>
        </w:rPr>
        <w:t>K. Barhmi, C. Heynen, S. Golroodbari, and W. van Sark, “A Review of Solar Forecasting Techniques and the Role of Artificial Intelligence,” Solar, vol. 4, no. 1, pp. 99 - 135, 2024, doi: 10.3390/solar4010005.</w:t>
      </w:r>
    </w:p>
    <w:p w14:paraId="1C936778" w14:textId="77777777" w:rsidR="005B4D48" w:rsidRDefault="00000000">
      <w:pPr>
        <w:numPr>
          <w:ilvl w:val="0"/>
          <w:numId w:val="16"/>
        </w:numPr>
        <w:spacing w:after="160" w:line="259" w:lineRule="auto"/>
        <w:jc w:val="both"/>
      </w:pPr>
      <w:bookmarkStart w:id="14" w:name="ref_15"/>
      <w:bookmarkEnd w:id="14"/>
      <w:r>
        <w:rPr>
          <w:rFonts w:eastAsia="Times New Roman" w:cs="Times New Roman"/>
        </w:rPr>
        <w:t>S. Al-Dahidi et al., “Forecasting Solar Photovoltaic Power Production: A Comprehensive Review and Innovative Data-Driven Modeling Framework,” Energies, vol. 17, no. 16, 2024, doi: 10.3390/en17164145.</w:t>
      </w:r>
    </w:p>
    <w:p w14:paraId="5DF52EC0" w14:textId="77777777" w:rsidR="005B4D48" w:rsidRDefault="00000000">
      <w:pPr>
        <w:numPr>
          <w:ilvl w:val="0"/>
          <w:numId w:val="16"/>
        </w:numPr>
        <w:spacing w:after="160" w:line="259" w:lineRule="auto"/>
        <w:jc w:val="both"/>
      </w:pPr>
      <w:bookmarkStart w:id="15" w:name="ref_16"/>
      <w:bookmarkEnd w:id="15"/>
      <w:r>
        <w:rPr>
          <w:rFonts w:eastAsia="Times New Roman" w:cs="Times New Roman"/>
        </w:rPr>
        <w:t>L. d. O. Santos, T. AlSkaif, G. C. Barroso, and P. C. M. d. Carvalho, “Photovoltaic power estimation and forecast models integrating physics and machine learning: A review on hybrid techniques,” Solar Energy, vol. 284, 2024, doi: 10.1016/j.solener.2024.113044.</w:t>
      </w:r>
    </w:p>
    <w:p w14:paraId="220F5285" w14:textId="77777777" w:rsidR="005B4D48" w:rsidRDefault="00000000">
      <w:pPr>
        <w:numPr>
          <w:ilvl w:val="0"/>
          <w:numId w:val="16"/>
        </w:numPr>
        <w:spacing w:after="160" w:line="259" w:lineRule="auto"/>
        <w:jc w:val="both"/>
      </w:pPr>
      <w:bookmarkStart w:id="16" w:name="ref_17"/>
      <w:bookmarkEnd w:id="16"/>
      <w:r>
        <w:rPr>
          <w:rFonts w:eastAsia="Times New Roman" w:cs="Times New Roman"/>
        </w:rPr>
        <w:t>D. Zhou, Y. Liu, X. Wang, F. Wang, and Y. Jia, “Research Progress of Photovoltaic Power Prediction Technology Based on Artificial Intelligence Methods,” Energy Engineering: Journal of the Association of Energy Engineering, vol. 121, no. 12, pp. 3573 - 3616, 2024, doi: 10.32604/ee.2024.055853.</w:t>
      </w:r>
    </w:p>
    <w:p w14:paraId="40DD78D4" w14:textId="77777777" w:rsidR="005B4D48" w:rsidRDefault="00000000">
      <w:pPr>
        <w:numPr>
          <w:ilvl w:val="0"/>
          <w:numId w:val="16"/>
        </w:numPr>
        <w:spacing w:after="160" w:line="259" w:lineRule="auto"/>
        <w:jc w:val="both"/>
      </w:pPr>
      <w:bookmarkStart w:id="17" w:name="ref_18"/>
      <w:bookmarkEnd w:id="17"/>
      <w:r>
        <w:rPr>
          <w:rFonts w:eastAsia="Times New Roman" w:cs="Times New Roman"/>
        </w:rPr>
        <w:t>J. Yu et al., “Deep Learning Models for PV Power Forecasting: Review,” Energies, vol. 17, no. 16, 2024, doi: 10.3390/en17163973.</w:t>
      </w:r>
    </w:p>
    <w:p w14:paraId="0B7145EB" w14:textId="77777777" w:rsidR="005B4D48" w:rsidRDefault="00000000">
      <w:pPr>
        <w:numPr>
          <w:ilvl w:val="0"/>
          <w:numId w:val="16"/>
        </w:numPr>
        <w:spacing w:after="160" w:line="259" w:lineRule="auto"/>
        <w:jc w:val="both"/>
      </w:pPr>
      <w:bookmarkStart w:id="18" w:name="ref_19"/>
      <w:bookmarkEnd w:id="18"/>
      <w:r>
        <w:rPr>
          <w:rFonts w:eastAsia="Times New Roman" w:cs="Times New Roman"/>
        </w:rPr>
        <w:t>S. S. Sankari and P. S. Kumar, “Solar Power Forecasting in Smart Cities using Deep Learning Approaches: A Review,” International Research Journal of Multidisciplinary Technovation, vol. 6, no. 6, pp. 145 - 158, 2024, doi: 10.54392/irjmt24610.</w:t>
      </w:r>
    </w:p>
    <w:p w14:paraId="1394073D" w14:textId="77777777" w:rsidR="005B4D48" w:rsidRDefault="00000000">
      <w:pPr>
        <w:numPr>
          <w:ilvl w:val="0"/>
          <w:numId w:val="16"/>
        </w:numPr>
        <w:spacing w:after="160" w:line="259" w:lineRule="auto"/>
        <w:jc w:val="both"/>
      </w:pPr>
      <w:bookmarkStart w:id="19" w:name="ref_20"/>
      <w:bookmarkEnd w:id="19"/>
      <w:r>
        <w:rPr>
          <w:rFonts w:eastAsia="Times New Roman" w:cs="Times New Roman"/>
        </w:rPr>
        <w:t>I. Gallardo, D. Amor, and Á. Gutiérrez, “Recent Trends in Real-Time Photovoltaic Prediction Systems,” Energies, vol. 16, no. 15, 2023, doi: 10.3390/en16155693.</w:t>
      </w:r>
    </w:p>
    <w:p w14:paraId="30E671D9" w14:textId="77777777" w:rsidR="005B4D48" w:rsidRDefault="00000000">
      <w:pPr>
        <w:numPr>
          <w:ilvl w:val="0"/>
          <w:numId w:val="16"/>
        </w:numPr>
        <w:spacing w:after="160" w:line="259" w:lineRule="auto"/>
        <w:jc w:val="both"/>
      </w:pPr>
      <w:bookmarkStart w:id="20" w:name="ref_21"/>
      <w:bookmarkEnd w:id="20"/>
      <w:r>
        <w:rPr>
          <w:rFonts w:eastAsia="Times New Roman" w:cs="Times New Roman"/>
        </w:rPr>
        <w:t>F. Pandžić and T. Capuder, “Advances in Short-Term Solar Forecasting: A Review and Benchmark of Machine Learning Methods and Relevant Data Sources,” Energies, vol. 17, no. 1, 2024, doi: 10.3390/en17010097.</w:t>
      </w:r>
    </w:p>
    <w:p w14:paraId="13AA5EA3" w14:textId="77777777" w:rsidR="005B4D48" w:rsidRDefault="00000000">
      <w:pPr>
        <w:numPr>
          <w:ilvl w:val="0"/>
          <w:numId w:val="16"/>
        </w:numPr>
        <w:spacing w:after="160" w:line="259" w:lineRule="auto"/>
        <w:jc w:val="both"/>
      </w:pPr>
      <w:bookmarkStart w:id="21" w:name="ref_22"/>
      <w:bookmarkEnd w:id="21"/>
      <w:r>
        <w:rPr>
          <w:rFonts w:eastAsia="Times New Roman" w:cs="Times New Roman"/>
        </w:rPr>
        <w:t>N. Jannah, T. S. Gunawan, S. H. Yusoff, S. A. Hanifah, and S. N. Mohd Sapihie, “Recent Advances and Future Challenges of Solar Power Generation Forecasting,” IEEE Access, vol. 12, pp. 168904 - 168924, 2024, doi: 10.1109/ACCESS.2024.3496120.</w:t>
      </w:r>
    </w:p>
    <w:p w14:paraId="09FD4DAA" w14:textId="77777777" w:rsidR="005B4D48" w:rsidRDefault="00000000">
      <w:pPr>
        <w:numPr>
          <w:ilvl w:val="0"/>
          <w:numId w:val="16"/>
        </w:numPr>
        <w:spacing w:after="160" w:line="259" w:lineRule="auto"/>
        <w:jc w:val="both"/>
      </w:pPr>
      <w:bookmarkStart w:id="22" w:name="ref_23"/>
      <w:bookmarkEnd w:id="22"/>
      <w:r>
        <w:rPr>
          <w:rFonts w:eastAsia="Times New Roman" w:cs="Times New Roman"/>
        </w:rPr>
        <w:t>A. Alcañiz, D. Grzebyk, H. Ziar, and O. Isabella, “Trends and gaps in photovoltaic power forecasting with machine learning,” Energy Reports, vol. 9, pp. 447 - 471, 2023, doi: 10.1016/j.egyr.2022.11.208.</w:t>
      </w:r>
    </w:p>
    <w:p w14:paraId="559919F2" w14:textId="77777777" w:rsidR="005B4D48" w:rsidRDefault="00000000">
      <w:pPr>
        <w:numPr>
          <w:ilvl w:val="0"/>
          <w:numId w:val="16"/>
        </w:numPr>
        <w:spacing w:after="160" w:line="259" w:lineRule="auto"/>
        <w:jc w:val="both"/>
      </w:pPr>
      <w:bookmarkStart w:id="23" w:name="ref_24"/>
      <w:bookmarkEnd w:id="23"/>
      <w:r>
        <w:rPr>
          <w:rFonts w:eastAsia="Times New Roman" w:cs="Times New Roman"/>
        </w:rPr>
        <w:t xml:space="preserve">X. Deng, F. Da, H. Shao, and X. Wang, “A Survey of the Researches on Grid-Connected Solar Power Generation Systems and Power Forecasting Methods Based on Ground-Based Cloud Atlas,” Energy Engineering: Journal of the Association of </w:t>
      </w:r>
      <w:r>
        <w:rPr>
          <w:rFonts w:eastAsia="Times New Roman" w:cs="Times New Roman"/>
        </w:rPr>
        <w:lastRenderedPageBreak/>
        <w:t>Energy Engineering, vol. 120, no. 2, pp. 385 - 408, 2023, doi: 10.32604/ee.2023.023480.</w:t>
      </w:r>
    </w:p>
    <w:p w14:paraId="6D8532AD" w14:textId="77777777" w:rsidR="005B4D48" w:rsidRDefault="00000000">
      <w:pPr>
        <w:numPr>
          <w:ilvl w:val="0"/>
          <w:numId w:val="16"/>
        </w:numPr>
        <w:spacing w:after="160" w:line="259" w:lineRule="auto"/>
        <w:jc w:val="both"/>
      </w:pPr>
      <w:bookmarkStart w:id="24" w:name="ref_25"/>
      <w:bookmarkEnd w:id="24"/>
      <w:r>
        <w:rPr>
          <w:rFonts w:eastAsia="Times New Roman" w:cs="Times New Roman"/>
        </w:rPr>
        <w:t>R. Divya and S. Umamaheswari, “Solar Power Forecasting Methods – A Review,” International Journal of Advanced Science and Engineering, vol. 9, no. 1, pp. 2591 - 2598, 2022, doi: 10.29294/IJASE.9.1.2022.2591-2598.</w:t>
      </w:r>
    </w:p>
    <w:p w14:paraId="29F607EB" w14:textId="77777777" w:rsidR="005B4D48" w:rsidRDefault="00000000">
      <w:pPr>
        <w:numPr>
          <w:ilvl w:val="0"/>
          <w:numId w:val="16"/>
        </w:numPr>
        <w:spacing w:after="160" w:line="259" w:lineRule="auto"/>
        <w:jc w:val="both"/>
      </w:pPr>
      <w:bookmarkStart w:id="25" w:name="ref_26"/>
      <w:bookmarkEnd w:id="25"/>
      <w:r>
        <w:rPr>
          <w:rFonts w:eastAsia="Times New Roman" w:cs="Times New Roman"/>
        </w:rPr>
        <w:t>L. B. Cesar, R. A. E. Silva, M. Á. M. Callejo, and C. Cira, “Review on Spatio-Temporal Solar Forecasting Methods Driven by In Situ Measurements or Their Combination with Satellite and Numerical Weather Prediction (NWP) Estimates,” Energies, vol. 15, no. 12, 2022, doi: 10.3390/en15124341.</w:t>
      </w:r>
    </w:p>
    <w:p w14:paraId="5E9A7997" w14:textId="77777777" w:rsidR="005B4D48" w:rsidRDefault="00000000">
      <w:pPr>
        <w:numPr>
          <w:ilvl w:val="0"/>
          <w:numId w:val="16"/>
        </w:numPr>
        <w:spacing w:after="160" w:line="259" w:lineRule="auto"/>
        <w:jc w:val="both"/>
      </w:pPr>
      <w:bookmarkStart w:id="26" w:name="ref_27"/>
      <w:bookmarkEnd w:id="26"/>
      <w:r>
        <w:rPr>
          <w:rFonts w:eastAsia="Times New Roman" w:cs="Times New Roman"/>
        </w:rPr>
        <w:t>N. L. M. Jailani et al., “Investigating the Power of LSTM-Based Models in Solar Energy Forecasting,” Processes, vol. 11, no. 5, 2023, doi: 10.3390/pr11051382.</w:t>
      </w:r>
    </w:p>
    <w:p w14:paraId="67379109" w14:textId="77777777" w:rsidR="005B4D48" w:rsidRDefault="00000000">
      <w:pPr>
        <w:numPr>
          <w:ilvl w:val="0"/>
          <w:numId w:val="16"/>
        </w:numPr>
        <w:spacing w:after="160" w:line="259" w:lineRule="auto"/>
        <w:jc w:val="both"/>
      </w:pPr>
      <w:bookmarkStart w:id="27" w:name="ref_28"/>
      <w:bookmarkEnd w:id="27"/>
      <w:r>
        <w:rPr>
          <w:rFonts w:eastAsia="Times New Roman" w:cs="Times New Roman"/>
        </w:rPr>
        <w:t>K. J. Iheanetu, “Solar Photovoltaic Power Forecasting: A Review,” Sustainability (Switzerland), vol. 14, no. 24, 2022, doi: 10.3390/su142417005.</w:t>
      </w:r>
    </w:p>
    <w:p w14:paraId="59C3F7C9" w14:textId="77777777" w:rsidR="005B4D48" w:rsidRDefault="00000000">
      <w:pPr>
        <w:numPr>
          <w:ilvl w:val="0"/>
          <w:numId w:val="16"/>
        </w:numPr>
        <w:spacing w:after="160" w:line="259" w:lineRule="auto"/>
        <w:jc w:val="both"/>
      </w:pPr>
      <w:bookmarkStart w:id="28" w:name="ref_29"/>
      <w:bookmarkEnd w:id="28"/>
      <w:r>
        <w:rPr>
          <w:rFonts w:eastAsia="Times New Roman" w:cs="Times New Roman"/>
        </w:rPr>
        <w:t>P. N. L. Mohamad Radzi, M. N. Akhter, S. Mekhilef, and N. Mohamed Shah, “Review on the Application of Photovoltaic Forecasting Using Machine Learning for Very Short- to Long-Term Forecasting,” Sustainability (Switzerland), vol. 15, no. 4, 2023, doi: 10.3390/su15042942.</w:t>
      </w:r>
    </w:p>
    <w:p w14:paraId="4E05BAFA" w14:textId="77777777" w:rsidR="005B4D48" w:rsidRDefault="00000000">
      <w:pPr>
        <w:numPr>
          <w:ilvl w:val="0"/>
          <w:numId w:val="16"/>
        </w:numPr>
        <w:spacing w:after="160" w:line="259" w:lineRule="auto"/>
        <w:jc w:val="both"/>
      </w:pPr>
      <w:bookmarkStart w:id="29" w:name="ref_30"/>
      <w:bookmarkEnd w:id="29"/>
      <w:r>
        <w:rPr>
          <w:rFonts w:eastAsia="Times New Roman" w:cs="Times New Roman"/>
        </w:rPr>
        <w:t>J. Gaboitaolelwe, A. M. Zungeru, A. Yahya, C. K. Lebekwe, D. N. Vinod, and A. O. Salau, “Machine Learning Based Solar Photovoltaic Power Forecasting: A Review and Comparison,” IEEE Access, vol. 11, pp. 40820 - 40845, 2023, doi: 10.1109/ACCESS.2023.3270041.</w:t>
      </w:r>
    </w:p>
    <w:p w14:paraId="4CE2E44F" w14:textId="77777777" w:rsidR="005B4D48" w:rsidRDefault="00000000">
      <w:pPr>
        <w:numPr>
          <w:ilvl w:val="0"/>
          <w:numId w:val="16"/>
        </w:numPr>
        <w:spacing w:after="160" w:line="259" w:lineRule="auto"/>
        <w:jc w:val="both"/>
      </w:pPr>
      <w:bookmarkStart w:id="30" w:name="ref_31"/>
      <w:bookmarkEnd w:id="30"/>
      <w:r>
        <w:rPr>
          <w:rFonts w:eastAsia="Times New Roman" w:cs="Times New Roman"/>
        </w:rPr>
        <w:t>B. D. Dimd, S. Voller, U. Cali, and O. Midtgard, “A Review of Machine Learning-Based Photovoltaic Output Power Forecasting: Nordic Context,” IEEE Access, vol. 10, pp. 26404 - 26425, 2022, doi: 10.1109/ACCESS.2022.3156942.</w:t>
      </w:r>
    </w:p>
    <w:p w14:paraId="375D7C39" w14:textId="77777777" w:rsidR="005B4D48" w:rsidRDefault="00000000">
      <w:pPr>
        <w:numPr>
          <w:ilvl w:val="0"/>
          <w:numId w:val="16"/>
        </w:numPr>
        <w:spacing w:after="160" w:line="259" w:lineRule="auto"/>
        <w:jc w:val="both"/>
      </w:pPr>
      <w:bookmarkStart w:id="31" w:name="ref_32"/>
      <w:bookmarkEnd w:id="31"/>
      <w:r>
        <w:rPr>
          <w:rFonts w:eastAsia="Times New Roman" w:cs="Times New Roman"/>
        </w:rPr>
        <w:t>Y. Wu, C. Huang, Q. Phan, and Y. Li, “Completed Review of Various Solar Power Forecasting Techniques Considering Different Viewpoints,” Energies, vol. 15, no. 9, 2022, doi: 10.3390/en15093320.</w:t>
      </w:r>
    </w:p>
    <w:p w14:paraId="1873622A" w14:textId="77777777" w:rsidR="005B4D48" w:rsidRDefault="00000000">
      <w:pPr>
        <w:numPr>
          <w:ilvl w:val="0"/>
          <w:numId w:val="16"/>
        </w:numPr>
        <w:spacing w:after="160" w:line="259" w:lineRule="auto"/>
        <w:jc w:val="both"/>
      </w:pPr>
      <w:bookmarkStart w:id="32" w:name="ref_33"/>
      <w:bookmarkEnd w:id="32"/>
      <w:r>
        <w:rPr>
          <w:rFonts w:eastAsia="Times New Roman" w:cs="Times New Roman"/>
        </w:rPr>
        <w:t>C. Liu, M. Li, Y. Yu, Z. Wu, H. Gong, and F. Cheng, “A Review of Multitemporal and Multispatial Scales Photovoltaic Forecasting Methods,” IEEE Access, vol. 10, pp. 35073 - 35093, 2022, doi: 10.1109/ACCESS.2022.3162206.</w:t>
      </w:r>
    </w:p>
    <w:p w14:paraId="1D89955D" w14:textId="77777777" w:rsidR="005B4D48" w:rsidRDefault="00000000">
      <w:pPr>
        <w:numPr>
          <w:ilvl w:val="0"/>
          <w:numId w:val="16"/>
        </w:numPr>
        <w:spacing w:after="160" w:line="259" w:lineRule="auto"/>
        <w:jc w:val="both"/>
      </w:pPr>
      <w:bookmarkStart w:id="33" w:name="ref_34"/>
      <w:bookmarkEnd w:id="33"/>
      <w:r>
        <w:rPr>
          <w:rFonts w:eastAsia="Times New Roman" w:cs="Times New Roman"/>
        </w:rPr>
        <w:t>P. Gupta and R. Singh, “PV power forecasting based on data-driven models: a review,” International Journal of Sustainable Engineering, vol. 14, no. 6, pp. 1733 - 1755, 2021, doi: 10.1080/19397038.2021.1986590.</w:t>
      </w:r>
    </w:p>
    <w:p w14:paraId="4233DBCA" w14:textId="77777777" w:rsidR="005B4D48" w:rsidRDefault="00000000">
      <w:pPr>
        <w:numPr>
          <w:ilvl w:val="0"/>
          <w:numId w:val="16"/>
        </w:numPr>
        <w:spacing w:after="160" w:line="259" w:lineRule="auto"/>
        <w:jc w:val="both"/>
      </w:pPr>
      <w:bookmarkStart w:id="34" w:name="ref_35"/>
      <w:bookmarkEnd w:id="34"/>
      <w:r>
        <w:rPr>
          <w:rFonts w:eastAsia="Times New Roman" w:cs="Times New Roman"/>
        </w:rPr>
        <w:t>H. Alkabbani, A. Ahmadian, Q. Zhu, and A. Elkamel, “Machine Learning and Metaheuristic Methods for Renewable Power Forecasting: A Recent Review,” Frontiers in Chemical Engineering, vol. 3, 2021, doi: 10.3389/fceng.2021.665415.</w:t>
      </w:r>
    </w:p>
    <w:p w14:paraId="5A83A767" w14:textId="77777777" w:rsidR="005B4D48" w:rsidRDefault="00000000">
      <w:pPr>
        <w:numPr>
          <w:ilvl w:val="0"/>
          <w:numId w:val="16"/>
        </w:numPr>
        <w:spacing w:after="160" w:line="259" w:lineRule="auto"/>
        <w:jc w:val="both"/>
      </w:pPr>
      <w:bookmarkStart w:id="35" w:name="ref_36"/>
      <w:bookmarkEnd w:id="35"/>
      <w:r>
        <w:rPr>
          <w:rFonts w:eastAsia="Times New Roman" w:cs="Times New Roman"/>
        </w:rPr>
        <w:t>M. Massaoudi, I. Chihi, H. Abu-Rub, S. S. Refaat, and F. S. Oueslati, “Convergence of Photovoltaic Power Forecasting and Deep Learning: State-of-Art Review,” IEEE Access, vol. 9, pp. 136593 - 136615, 2021, doi: 10.1109/ACCESS.2021.3117004.</w:t>
      </w:r>
    </w:p>
    <w:p w14:paraId="07B9FE27" w14:textId="77777777" w:rsidR="005B4D48" w:rsidRDefault="00000000">
      <w:pPr>
        <w:numPr>
          <w:ilvl w:val="0"/>
          <w:numId w:val="16"/>
        </w:numPr>
        <w:spacing w:after="160" w:line="259" w:lineRule="auto"/>
        <w:jc w:val="both"/>
      </w:pPr>
      <w:bookmarkStart w:id="36" w:name="ref_37"/>
      <w:bookmarkEnd w:id="36"/>
      <w:r>
        <w:rPr>
          <w:rFonts w:eastAsia="Times New Roman" w:cs="Times New Roman"/>
        </w:rPr>
        <w:lastRenderedPageBreak/>
        <w:t>J. M. Saltos, M. G. Intriago Cedeño, N. R. Balderramo Velez, G. T. R. León, and A. Cano-Ortega, “Hybrid AI Models for Short-Term Photovoltaic Forecasting: A Systematic Review of Architectures, Performance, and Deployment Challenges,” Sensors, vol. 26, no. 6, 2026, doi: 10.3390/s26061793.</w:t>
      </w:r>
    </w:p>
    <w:p w14:paraId="0557C895" w14:textId="77777777" w:rsidR="005B4D48" w:rsidRDefault="00000000">
      <w:pPr>
        <w:numPr>
          <w:ilvl w:val="0"/>
          <w:numId w:val="16"/>
        </w:numPr>
        <w:spacing w:after="160" w:line="259" w:lineRule="auto"/>
        <w:jc w:val="both"/>
      </w:pPr>
      <w:bookmarkStart w:id="37" w:name="ref_38"/>
      <w:bookmarkEnd w:id="37"/>
      <w:r>
        <w:rPr>
          <w:rFonts w:eastAsia="Times New Roman" w:cs="Times New Roman"/>
        </w:rPr>
        <w:t>O. Pedram, A. Soares, and P. Moura, “A Review of Methodologies for Photovoltaic Energy Generation Forecasting in the Building Sector,” Energies, vol. 18, no. 18, 2025, doi: 10.3390/en18185007.</w:t>
      </w:r>
    </w:p>
    <w:p w14:paraId="13B6A844" w14:textId="77777777" w:rsidR="005B4D48" w:rsidRDefault="00000000">
      <w:pPr>
        <w:numPr>
          <w:ilvl w:val="0"/>
          <w:numId w:val="16"/>
        </w:numPr>
        <w:spacing w:after="160" w:line="259" w:lineRule="auto"/>
        <w:jc w:val="both"/>
      </w:pPr>
      <w:bookmarkStart w:id="38" w:name="ref_39"/>
      <w:bookmarkEnd w:id="38"/>
      <w:r>
        <w:rPr>
          <w:rFonts w:eastAsia="Times New Roman" w:cs="Times New Roman"/>
        </w:rPr>
        <w:t>C. Rodriguez-Aburto et al., “Machine Learning for Photovoltaic Power Forecasting Integrated with Energy Storage Systems: A Scientometric Analysis, Systematic Review, and Meta-Analysis,” Energies, vol. 18, no. 23, 2025, doi: 10.3390/en18236291.</w:t>
      </w:r>
    </w:p>
    <w:p w14:paraId="6161EBA7" w14:textId="77777777" w:rsidR="005B4D48" w:rsidRDefault="00000000">
      <w:pPr>
        <w:numPr>
          <w:ilvl w:val="0"/>
          <w:numId w:val="16"/>
        </w:numPr>
        <w:spacing w:after="160" w:line="259" w:lineRule="auto"/>
        <w:jc w:val="both"/>
      </w:pPr>
      <w:bookmarkStart w:id="39" w:name="ref_40"/>
      <w:bookmarkEnd w:id="39"/>
      <w:r>
        <w:rPr>
          <w:rFonts w:eastAsia="Times New Roman" w:cs="Times New Roman"/>
        </w:rPr>
        <w:t>S. Xu, H. Ma, C. Ekanayake, and Y. Cui, “Swin transformer-based transferable PV forecasting for new PV sites with insufficient PV generation data,” Renewable Energy, vol. 246, 2025, doi: 10.1016/j.renene.2025.122824.</w:t>
      </w:r>
    </w:p>
    <w:p w14:paraId="049A534B" w14:textId="77777777" w:rsidR="005B4D48" w:rsidRDefault="00000000">
      <w:pPr>
        <w:numPr>
          <w:ilvl w:val="0"/>
          <w:numId w:val="16"/>
        </w:numPr>
        <w:spacing w:after="160" w:line="259" w:lineRule="auto"/>
        <w:jc w:val="both"/>
      </w:pPr>
      <w:bookmarkStart w:id="40" w:name="ref_41"/>
      <w:bookmarkEnd w:id="40"/>
      <w:r>
        <w:rPr>
          <w:rFonts w:eastAsia="Times New Roman" w:cs="Times New Roman"/>
        </w:rPr>
        <w:t>M. Perera, J. De Hoog, K. Bandara, D. Senanayake, and S. Halgamuge, “Day-ahead regional solar power forecasting with hierarchical temporal convolutional neural networks using historical power generation and weather data,” Applied Energy, vol. 361, 2024, doi: 10.1016/j.apenergy.2024.122971.</w:t>
      </w:r>
    </w:p>
    <w:p w14:paraId="2F7A0DC2" w14:textId="77777777" w:rsidR="005B4D48" w:rsidRDefault="00000000">
      <w:pPr>
        <w:numPr>
          <w:ilvl w:val="0"/>
          <w:numId w:val="16"/>
        </w:numPr>
        <w:spacing w:after="160" w:line="259" w:lineRule="auto"/>
        <w:jc w:val="both"/>
      </w:pPr>
      <w:bookmarkStart w:id="41" w:name="ref_42"/>
      <w:bookmarkEnd w:id="41"/>
      <w:r>
        <w:rPr>
          <w:rFonts w:eastAsia="Times New Roman" w:cs="Times New Roman"/>
        </w:rPr>
        <w:t>Q. Paletta, Y. Nie, Y.-M. Saint-Drenan, and B. Le Saux, “Improving cross-site generalisability of vision-based solar forecasting models with physics-informed transfer learning,” Energy Conversion and Management, vol. 309, 2024, doi: 10.1016/j.enconman.2024.118398.</w:t>
      </w:r>
    </w:p>
    <w:p w14:paraId="786E9713" w14:textId="77777777" w:rsidR="005B4D48" w:rsidRDefault="00000000">
      <w:pPr>
        <w:numPr>
          <w:ilvl w:val="0"/>
          <w:numId w:val="16"/>
        </w:numPr>
        <w:spacing w:after="160" w:line="259" w:lineRule="auto"/>
        <w:jc w:val="both"/>
      </w:pPr>
      <w:bookmarkStart w:id="42" w:name="ref_43"/>
      <w:bookmarkEnd w:id="42"/>
      <w:r>
        <w:rPr>
          <w:rFonts w:eastAsia="Times New Roman" w:cs="Times New Roman"/>
        </w:rPr>
        <w:t>E. Sarmas, N. Dimitropoulos, V. Marinakis, Z. Mylona, and H. Doukas, “Transfer learning strategies for solar power forecasting under data scarcity,” Scientific Reports, vol. 12, 2022, doi: 10.1038/s41598-022-18516-x.</w:t>
      </w:r>
    </w:p>
    <w:p w14:paraId="45A6BEAB" w14:textId="77777777" w:rsidR="005B4D48" w:rsidRDefault="00000000">
      <w:pPr>
        <w:numPr>
          <w:ilvl w:val="0"/>
          <w:numId w:val="16"/>
        </w:numPr>
        <w:spacing w:after="160" w:line="259" w:lineRule="auto"/>
        <w:jc w:val="both"/>
      </w:pPr>
      <w:bookmarkStart w:id="43" w:name="ref_44"/>
      <w:bookmarkEnd w:id="43"/>
      <w:r>
        <w:rPr>
          <w:rFonts w:eastAsia="Times New Roman" w:cs="Times New Roman"/>
        </w:rPr>
        <w:t>L. Ilias, E. Sarmas, V. Marinakis, D. Askounis, and H. Doukas, “Unsupervised domain adaptation methods for photovoltaic power forecasting,” Applied Soft Computing, vol. 149, 2023, doi: 10.1016/j.asoc.2023.110979.</w:t>
      </w:r>
    </w:p>
    <w:p w14:paraId="28ED8F3F" w14:textId="77777777" w:rsidR="005B4D48" w:rsidRDefault="00000000">
      <w:pPr>
        <w:numPr>
          <w:ilvl w:val="0"/>
          <w:numId w:val="16"/>
        </w:numPr>
        <w:spacing w:after="160" w:line="259" w:lineRule="auto"/>
        <w:jc w:val="both"/>
      </w:pPr>
      <w:bookmarkStart w:id="44" w:name="ref_45"/>
      <w:bookmarkEnd w:id="44"/>
      <w:r>
        <w:rPr>
          <w:rFonts w:eastAsia="Times New Roman" w:cs="Times New Roman"/>
        </w:rPr>
        <w:t>X. Luo, D. Zhang, and X. Zhu, “Combining transfer learning and constrained long short-term memory for power generation forecasting of newly-constructed photovoltaic plants,” Renewable Energy, vol. 185, pp. 1062-1077, 2022, doi: 10.1016/j.renene.2021.12.104.</w:t>
      </w:r>
    </w:p>
    <w:p w14:paraId="3C9D37A8" w14:textId="77777777" w:rsidR="00A82ED9" w:rsidRDefault="00000000">
      <w:pPr>
        <w:pStyle w:val="Heading1"/>
        <w:pageBreakBefore/>
      </w:pPr>
      <w:r>
        <w:lastRenderedPageBreak/>
        <w:t>APPENDIX A: SEARCH STRATEGY AND ELIGIBILITY CRITERIA</w:t>
      </w:r>
    </w:p>
    <w:p w14:paraId="766D04B7" w14:textId="77777777" w:rsidR="00A82ED9" w:rsidRDefault="00000000">
      <w:pPr>
        <w:spacing w:after="240"/>
        <w:jc w:val="both"/>
      </w:pPr>
      <w:r>
        <w:rPr>
          <w:rFonts w:eastAsia="Times New Roman" w:cs="Times New Roman"/>
        </w:rPr>
        <w:t>Both searches used Scopus. The search strings below are given exactly as entered, so that the searches can be repeated.</w:t>
      </w:r>
    </w:p>
    <w:p w14:paraId="4F5AD4C5" w14:textId="77777777" w:rsidR="00A82ED9" w:rsidRDefault="00000000">
      <w:pPr>
        <w:pStyle w:val="Heading2"/>
        <w:spacing w:before="0"/>
      </w:pPr>
      <w:r>
        <w:t>Search A (reviews)</w:t>
      </w:r>
    </w:p>
    <w:p w14:paraId="6AA15FCE" w14:textId="77777777" w:rsidR="00A82ED9" w:rsidRDefault="00000000">
      <w:pPr>
        <w:spacing w:after="120"/>
        <w:jc w:val="both"/>
      </w:pPr>
      <w:r>
        <w:rPr>
          <w:rFonts w:eastAsia="Times New Roman" w:cs="Times New Roman"/>
        </w:rPr>
        <w:t>The query combines three blocks with AND: PV power terms, forecasting terms and ML terms.</w:t>
      </w:r>
    </w:p>
    <w:p w14:paraId="4BE564A9" w14:textId="77777777" w:rsidR="00A82ED9" w:rsidRDefault="00000000">
      <w:pPr>
        <w:spacing w:after="120"/>
      </w:pPr>
      <w:r>
        <w:rPr>
          <w:rFonts w:eastAsia="Times New Roman" w:cs="Times New Roman"/>
          <w:b/>
          <w:sz w:val="22"/>
        </w:rPr>
        <w:t xml:space="preserve">Block 1 (PV power): </w:t>
      </w:r>
      <w:r>
        <w:rPr>
          <w:rFonts w:eastAsia="Times New Roman" w:cs="Times New Roman"/>
          <w:sz w:val="22"/>
        </w:rPr>
        <w:t>( "PV power" OR "photovoltaic power" OR "photo-voltaic power" OR "solar power" OR "solar PV" OR "solar photovoltaic" OR "PV output" OR "photovoltaic output" OR "solar output" OR "PV generation" OR "photovoltaic generation" OR "solar generation" OR "solar energy generation" OR "PV production" OR "photovoltaic production" OR "solar energy production" OR "PV yield" OR "PV energy" OR "photovoltaic energy" OR "PV system" OR "photovoltaic system" OR "PV plant" OR "photovoltaic plant" )</w:t>
      </w:r>
    </w:p>
    <w:p w14:paraId="3A5386C7" w14:textId="77777777" w:rsidR="00A82ED9" w:rsidRDefault="00000000">
      <w:pPr>
        <w:spacing w:after="120"/>
      </w:pPr>
      <w:r>
        <w:rPr>
          <w:rFonts w:eastAsia="Times New Roman" w:cs="Times New Roman"/>
          <w:b/>
          <w:sz w:val="22"/>
        </w:rPr>
        <w:t xml:space="preserve">Block 2 (forecasting): </w:t>
      </w:r>
      <w:r>
        <w:rPr>
          <w:rFonts w:eastAsia="Times New Roman" w:cs="Times New Roman"/>
          <w:sz w:val="22"/>
        </w:rPr>
        <w:t>( forecast* OR predict* OR estimat* OR nowcast* )</w:t>
      </w:r>
    </w:p>
    <w:p w14:paraId="316662E6" w14:textId="77777777" w:rsidR="00A82ED9" w:rsidRDefault="00000000">
      <w:pPr>
        <w:spacing w:after="120"/>
      </w:pPr>
      <w:r>
        <w:rPr>
          <w:rFonts w:eastAsia="Times New Roman" w:cs="Times New Roman"/>
          <w:b/>
          <w:sz w:val="22"/>
        </w:rPr>
        <w:t xml:space="preserve">Block 3 (ML): </w:t>
      </w:r>
      <w:r>
        <w:rPr>
          <w:rFonts w:eastAsia="Times New Roman" w:cs="Times New Roman"/>
          <w:sz w:val="22"/>
        </w:rPr>
        <w:t>( "machine learning" OR "deep learning" OR "artificial intelligence" OR "neural network" OR "data-driven" OR "ensemble learning" OR "supervised learning" OR "ML-based" OR "AI-based" OR ML OR AI )</w:t>
      </w:r>
    </w:p>
    <w:p w14:paraId="3FECECE5" w14:textId="77777777" w:rsidR="00A82ED9" w:rsidRDefault="00000000">
      <w:pPr>
        <w:keepNext/>
        <w:spacing w:before="240" w:after="60"/>
        <w:jc w:val="center"/>
      </w:pPr>
      <w:r>
        <w:rPr>
          <w:rFonts w:eastAsia="Times New Roman" w:cs="Times New Roman"/>
          <w:b/>
        </w:rPr>
        <w:t>Table A1. Search A filters and remaining records</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192"/>
        <w:gridCol w:w="2736"/>
      </w:tblGrid>
      <w:tr w:rsidR="00A82ED9" w14:paraId="2FEA00B4" w14:textId="77777777">
        <w:tc>
          <w:tcPr>
            <w:tcW w:w="6192" w:type="dxa"/>
          </w:tcPr>
          <w:p w14:paraId="7F48D0C6" w14:textId="77777777" w:rsidR="00A82ED9" w:rsidRDefault="00000000">
            <w:r>
              <w:rPr>
                <w:rFonts w:eastAsia="Times New Roman" w:cs="Times New Roman"/>
                <w:b/>
                <w:sz w:val="18"/>
              </w:rPr>
              <w:t>Step</w:t>
            </w:r>
          </w:p>
        </w:tc>
        <w:tc>
          <w:tcPr>
            <w:tcW w:w="2736" w:type="dxa"/>
          </w:tcPr>
          <w:p w14:paraId="277E35FD" w14:textId="77777777" w:rsidR="00A82ED9" w:rsidRDefault="00000000">
            <w:r>
              <w:rPr>
                <w:rFonts w:eastAsia="Times New Roman" w:cs="Times New Roman"/>
                <w:b/>
                <w:sz w:val="18"/>
              </w:rPr>
              <w:t>Records remaining</w:t>
            </w:r>
          </w:p>
        </w:tc>
      </w:tr>
      <w:tr w:rsidR="00A82ED9" w14:paraId="519C6866" w14:textId="77777777">
        <w:tc>
          <w:tcPr>
            <w:tcW w:w="6192" w:type="dxa"/>
          </w:tcPr>
          <w:p w14:paraId="3F29D268" w14:textId="77777777" w:rsidR="00A82ED9" w:rsidRDefault="00000000">
            <w:r>
              <w:rPr>
                <w:rFonts w:eastAsia="Times New Roman" w:cs="Times New Roman"/>
                <w:sz w:val="18"/>
              </w:rPr>
              <w:t>Records identified by the query</w:t>
            </w:r>
          </w:p>
        </w:tc>
        <w:tc>
          <w:tcPr>
            <w:tcW w:w="2736" w:type="dxa"/>
          </w:tcPr>
          <w:p w14:paraId="4279B187" w14:textId="77777777" w:rsidR="00A82ED9" w:rsidRDefault="00000000">
            <w:r>
              <w:rPr>
                <w:rFonts w:eastAsia="Times New Roman" w:cs="Times New Roman"/>
                <w:sz w:val="18"/>
              </w:rPr>
              <w:t>13,982</w:t>
            </w:r>
          </w:p>
        </w:tc>
      </w:tr>
      <w:tr w:rsidR="00A82ED9" w14:paraId="7EE8F6A7" w14:textId="77777777">
        <w:tc>
          <w:tcPr>
            <w:tcW w:w="6192" w:type="dxa"/>
          </w:tcPr>
          <w:p w14:paraId="785E0185" w14:textId="77777777" w:rsidR="00A82ED9" w:rsidRDefault="00000000">
            <w:r>
              <w:rPr>
                <w:rFonts w:eastAsia="Times New Roman" w:cs="Times New Roman"/>
                <w:sz w:val="18"/>
              </w:rPr>
              <w:t>Publication years 2021-2026</w:t>
            </w:r>
          </w:p>
        </w:tc>
        <w:tc>
          <w:tcPr>
            <w:tcW w:w="2736" w:type="dxa"/>
          </w:tcPr>
          <w:p w14:paraId="496D3DCE" w14:textId="77777777" w:rsidR="00A82ED9" w:rsidRDefault="00000000">
            <w:r>
              <w:rPr>
                <w:rFonts w:eastAsia="Times New Roman" w:cs="Times New Roman"/>
                <w:sz w:val="18"/>
              </w:rPr>
              <w:t>11,270</w:t>
            </w:r>
          </w:p>
        </w:tc>
      </w:tr>
      <w:tr w:rsidR="00A82ED9" w14:paraId="7A1D447E" w14:textId="77777777">
        <w:tc>
          <w:tcPr>
            <w:tcW w:w="6192" w:type="dxa"/>
          </w:tcPr>
          <w:p w14:paraId="4A4B574F" w14:textId="77777777" w:rsidR="00A82ED9" w:rsidRDefault="00000000">
            <w:r>
              <w:rPr>
                <w:rFonts w:eastAsia="Times New Roman" w:cs="Times New Roman"/>
                <w:sz w:val="18"/>
              </w:rPr>
              <w:t>Document type: article, conference paper or review</w:t>
            </w:r>
          </w:p>
        </w:tc>
        <w:tc>
          <w:tcPr>
            <w:tcW w:w="2736" w:type="dxa"/>
          </w:tcPr>
          <w:p w14:paraId="4761483E" w14:textId="77777777" w:rsidR="00A82ED9" w:rsidRDefault="00000000">
            <w:r>
              <w:rPr>
                <w:rFonts w:eastAsia="Times New Roman" w:cs="Times New Roman"/>
                <w:sz w:val="18"/>
              </w:rPr>
              <w:t>10,426</w:t>
            </w:r>
          </w:p>
        </w:tc>
      </w:tr>
      <w:tr w:rsidR="00A82ED9" w14:paraId="0EC55C00" w14:textId="77777777">
        <w:tc>
          <w:tcPr>
            <w:tcW w:w="6192" w:type="dxa"/>
          </w:tcPr>
          <w:p w14:paraId="4FD98B09" w14:textId="77777777" w:rsidR="00A82ED9" w:rsidRDefault="00000000">
            <w:r>
              <w:rPr>
                <w:rFonts w:eastAsia="Times New Roman" w:cs="Times New Roman"/>
                <w:sz w:val="18"/>
              </w:rPr>
              <w:t>Language: English</w:t>
            </w:r>
          </w:p>
        </w:tc>
        <w:tc>
          <w:tcPr>
            <w:tcW w:w="2736" w:type="dxa"/>
          </w:tcPr>
          <w:p w14:paraId="67B7BC72" w14:textId="77777777" w:rsidR="00A82ED9" w:rsidRDefault="00000000">
            <w:r>
              <w:rPr>
                <w:rFonts w:eastAsia="Times New Roman" w:cs="Times New Roman"/>
                <w:sz w:val="18"/>
              </w:rPr>
              <w:t>10,040</w:t>
            </w:r>
          </w:p>
        </w:tc>
      </w:tr>
      <w:tr w:rsidR="00A82ED9" w14:paraId="3A2A147B" w14:textId="77777777">
        <w:tc>
          <w:tcPr>
            <w:tcW w:w="6192" w:type="dxa"/>
          </w:tcPr>
          <w:p w14:paraId="446725C5" w14:textId="77777777" w:rsidR="00A82ED9" w:rsidRDefault="00000000">
            <w:r>
              <w:rPr>
                <w:rFonts w:eastAsia="Times New Roman" w:cs="Times New Roman"/>
                <w:sz w:val="18"/>
              </w:rPr>
              <w:t>Publication stage: final</w:t>
            </w:r>
          </w:p>
        </w:tc>
        <w:tc>
          <w:tcPr>
            <w:tcW w:w="2736" w:type="dxa"/>
          </w:tcPr>
          <w:p w14:paraId="4420D221" w14:textId="77777777" w:rsidR="00A82ED9" w:rsidRDefault="00000000">
            <w:r>
              <w:rPr>
                <w:rFonts w:eastAsia="Times New Roman" w:cs="Times New Roman"/>
                <w:sz w:val="18"/>
              </w:rPr>
              <w:t>9,935</w:t>
            </w:r>
          </w:p>
        </w:tc>
      </w:tr>
      <w:tr w:rsidR="00A82ED9" w14:paraId="0C6BA52B" w14:textId="77777777">
        <w:tc>
          <w:tcPr>
            <w:tcW w:w="6192" w:type="dxa"/>
          </w:tcPr>
          <w:p w14:paraId="7B607A03" w14:textId="77777777" w:rsidR="00A82ED9" w:rsidRDefault="00000000">
            <w:r>
              <w:rPr>
                <w:rFonts w:eastAsia="Times New Roman" w:cs="Times New Roman"/>
                <w:sz w:val="18"/>
              </w:rPr>
              <w:t>Access: open access</w:t>
            </w:r>
          </w:p>
        </w:tc>
        <w:tc>
          <w:tcPr>
            <w:tcW w:w="2736" w:type="dxa"/>
          </w:tcPr>
          <w:p w14:paraId="3F35C24C" w14:textId="77777777" w:rsidR="00A82ED9" w:rsidRDefault="00000000">
            <w:r>
              <w:rPr>
                <w:rFonts w:eastAsia="Times New Roman" w:cs="Times New Roman"/>
                <w:sz w:val="18"/>
              </w:rPr>
              <w:t>4,067</w:t>
            </w:r>
          </w:p>
        </w:tc>
      </w:tr>
      <w:tr w:rsidR="00A82ED9" w14:paraId="2EA6375F" w14:textId="77777777">
        <w:tc>
          <w:tcPr>
            <w:tcW w:w="6192" w:type="dxa"/>
          </w:tcPr>
          <w:p w14:paraId="18AC2802" w14:textId="77777777" w:rsidR="00A82ED9" w:rsidRDefault="00000000">
            <w:r>
              <w:rPr>
                <w:rFonts w:eastAsia="Times New Roman" w:cs="Times New Roman"/>
                <w:sz w:val="18"/>
              </w:rPr>
              <w:t>Document type restricted to review (records screened)</w:t>
            </w:r>
          </w:p>
        </w:tc>
        <w:tc>
          <w:tcPr>
            <w:tcW w:w="2736" w:type="dxa"/>
          </w:tcPr>
          <w:p w14:paraId="1F878FD9" w14:textId="77777777" w:rsidR="00A82ED9" w:rsidRDefault="00000000">
            <w:r>
              <w:rPr>
                <w:rFonts w:eastAsia="Times New Roman" w:cs="Times New Roman"/>
                <w:sz w:val="18"/>
              </w:rPr>
              <w:t>235</w:t>
            </w:r>
          </w:p>
        </w:tc>
      </w:tr>
    </w:tbl>
    <w:p w14:paraId="39A7128D" w14:textId="77777777" w:rsidR="00A82ED9" w:rsidRDefault="00A82ED9">
      <w:pPr>
        <w:spacing w:after="120"/>
        <w:jc w:val="both"/>
      </w:pPr>
    </w:p>
    <w:p w14:paraId="597F794C" w14:textId="77777777" w:rsidR="00A82ED9" w:rsidRDefault="00000000">
      <w:pPr>
        <w:pStyle w:val="Heading2"/>
        <w:spacing w:before="0"/>
      </w:pPr>
      <w:r>
        <w:t>Search B (targeted search of primary studies)</w:t>
      </w:r>
    </w:p>
    <w:p w14:paraId="0A5D3CCB" w14:textId="77777777" w:rsidR="00A82ED9" w:rsidRDefault="00000000">
      <w:pPr>
        <w:spacing w:after="120"/>
        <w:jc w:val="both"/>
      </w:pPr>
      <w:r>
        <w:rPr>
          <w:rFonts w:eastAsia="Times New Roman" w:cs="Times New Roman"/>
        </w:rPr>
        <w:t>Search B adds three gap blocks to the Search A query. Query 1 requires all three blocks; Query 2 requires at least two of the three.</w:t>
      </w:r>
    </w:p>
    <w:p w14:paraId="35F1E59A" w14:textId="77777777" w:rsidR="00A82ED9" w:rsidRDefault="00000000">
      <w:pPr>
        <w:spacing w:after="120"/>
      </w:pPr>
      <w:r>
        <w:rPr>
          <w:rFonts w:eastAsia="Times New Roman" w:cs="Times New Roman"/>
          <w:b/>
          <w:sz w:val="22"/>
        </w:rPr>
        <w:t xml:space="preserve">Block S (leakage-safe split): </w:t>
      </w:r>
      <w:r>
        <w:rPr>
          <w:rFonts w:eastAsia="Times New Roman" w:cs="Times New Roman"/>
          <w:sz w:val="22"/>
        </w:rPr>
        <w:t>( "data leakage" OR "information leakage" OR "temporal leakage" OR "look-ahead" OR "chronological split" OR "chronological order" OR "temporal split" OR "time-ordered" OR "walk-forward" OR "rolling origin" OR "time series cross-validation" OR "blocked cross-validation" )</w:t>
      </w:r>
    </w:p>
    <w:p w14:paraId="1C022515" w14:textId="77777777" w:rsidR="00A82ED9" w:rsidRDefault="00000000">
      <w:pPr>
        <w:spacing w:after="120"/>
      </w:pPr>
      <w:r>
        <w:rPr>
          <w:rFonts w:eastAsia="Times New Roman" w:cs="Times New Roman"/>
          <w:b/>
          <w:sz w:val="22"/>
        </w:rPr>
        <w:t xml:space="preserve">Block M (multiple sites): </w:t>
      </w:r>
      <w:r>
        <w:rPr>
          <w:rFonts w:eastAsia="Times New Roman" w:cs="Times New Roman"/>
          <w:sz w:val="22"/>
        </w:rPr>
        <w:t>( "multi-site" OR "multisite" OR "multiple sites" OR "multiple plants" OR "several plants" OR "cross-site" OR "cross-location" OR "different locations" OR "different climates" OR "different regions" OR "unseen sites" OR "transfer learning" OR "transferability" )</w:t>
      </w:r>
    </w:p>
    <w:p w14:paraId="19554BD5" w14:textId="77777777" w:rsidR="00A82ED9" w:rsidRDefault="00000000">
      <w:pPr>
        <w:spacing w:after="120"/>
      </w:pPr>
      <w:r>
        <w:rPr>
          <w:rFonts w:eastAsia="Times New Roman" w:cs="Times New Roman"/>
          <w:b/>
          <w:sz w:val="22"/>
        </w:rPr>
        <w:t xml:space="preserve">Block B (persistence or skill baseline): </w:t>
      </w:r>
      <w:r>
        <w:rPr>
          <w:rFonts w:eastAsia="Times New Roman" w:cs="Times New Roman"/>
          <w:sz w:val="22"/>
        </w:rPr>
        <w:t>( persistence OR "skill score" OR "forecast skill" OR "naive forecast" OR "naive model" OR "naive baseline" )</w:t>
      </w:r>
    </w:p>
    <w:p w14:paraId="784ADC81" w14:textId="77777777" w:rsidR="00A82ED9" w:rsidRDefault="00000000">
      <w:pPr>
        <w:spacing w:after="120"/>
        <w:jc w:val="both"/>
      </w:pPr>
      <w:r>
        <w:rPr>
          <w:rFonts w:eastAsia="Times New Roman" w:cs="Times New Roman"/>
        </w:rPr>
        <w:t>Terms used in the queries: "Search A query" = Blocks 1, 2 and 3 joined by AND; S = Block S (leakage-safe split terms); M = Block M (multiple-site terms); B = Block B (persistence or skill-baseline terms).</w:t>
      </w:r>
    </w:p>
    <w:p w14:paraId="6AFA2E8E" w14:textId="77777777" w:rsidR="00A82ED9" w:rsidRDefault="00000000">
      <w:pPr>
        <w:spacing w:after="120"/>
      </w:pPr>
      <w:r>
        <w:rPr>
          <w:rFonts w:eastAsia="Times New Roman" w:cs="Times New Roman"/>
          <w:b/>
          <w:sz w:val="22"/>
        </w:rPr>
        <w:lastRenderedPageBreak/>
        <w:t xml:space="preserve">Query 1: </w:t>
      </w:r>
      <w:r>
        <w:rPr>
          <w:rFonts w:eastAsia="Times New Roman" w:cs="Times New Roman"/>
          <w:sz w:val="22"/>
        </w:rPr>
        <w:t>Search A query AND S AND M AND B (0 records).</w:t>
      </w:r>
    </w:p>
    <w:p w14:paraId="1AD8FACB" w14:textId="77777777" w:rsidR="00A82ED9" w:rsidRDefault="00000000">
      <w:pPr>
        <w:spacing w:after="120"/>
      </w:pPr>
      <w:r>
        <w:rPr>
          <w:rFonts w:eastAsia="Times New Roman" w:cs="Times New Roman"/>
          <w:b/>
          <w:sz w:val="22"/>
        </w:rPr>
        <w:t xml:space="preserve">Query 2: </w:t>
      </w:r>
      <w:r>
        <w:rPr>
          <w:rFonts w:eastAsia="Times New Roman" w:cs="Times New Roman"/>
          <w:sz w:val="22"/>
        </w:rPr>
        <w:t>Search A query AND ( ( S AND M ) OR ( S AND B ) OR ( M AND B ) ) (33 records).</w:t>
      </w:r>
    </w:p>
    <w:p w14:paraId="111A054E" w14:textId="77777777" w:rsidR="00A82ED9" w:rsidRDefault="00000000">
      <w:pPr>
        <w:keepNext/>
        <w:spacing w:before="240" w:after="60"/>
        <w:jc w:val="center"/>
      </w:pPr>
      <w:r>
        <w:rPr>
          <w:rFonts w:eastAsia="Times New Roman" w:cs="Times New Roman"/>
          <w:b/>
        </w:rPr>
        <w:t>Table A2. Search B (Query 2) filters and remaining records</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192"/>
        <w:gridCol w:w="2736"/>
      </w:tblGrid>
      <w:tr w:rsidR="00A82ED9" w14:paraId="6202700E" w14:textId="77777777">
        <w:tc>
          <w:tcPr>
            <w:tcW w:w="6192" w:type="dxa"/>
          </w:tcPr>
          <w:p w14:paraId="2E4A46B9" w14:textId="77777777" w:rsidR="00A82ED9" w:rsidRDefault="00000000">
            <w:r>
              <w:rPr>
                <w:rFonts w:eastAsia="Times New Roman" w:cs="Times New Roman"/>
                <w:b/>
                <w:sz w:val="18"/>
              </w:rPr>
              <w:t>Step</w:t>
            </w:r>
          </w:p>
        </w:tc>
        <w:tc>
          <w:tcPr>
            <w:tcW w:w="2736" w:type="dxa"/>
          </w:tcPr>
          <w:p w14:paraId="7287E253" w14:textId="77777777" w:rsidR="00A82ED9" w:rsidRDefault="00000000">
            <w:r>
              <w:rPr>
                <w:rFonts w:eastAsia="Times New Roman" w:cs="Times New Roman"/>
                <w:b/>
                <w:sz w:val="18"/>
              </w:rPr>
              <w:t>Records remaining</w:t>
            </w:r>
          </w:p>
        </w:tc>
      </w:tr>
      <w:tr w:rsidR="00A82ED9" w14:paraId="03B01036" w14:textId="77777777">
        <w:tc>
          <w:tcPr>
            <w:tcW w:w="6192" w:type="dxa"/>
          </w:tcPr>
          <w:p w14:paraId="1291A420" w14:textId="77777777" w:rsidR="00A82ED9" w:rsidRDefault="00000000">
            <w:r>
              <w:rPr>
                <w:rFonts w:eastAsia="Times New Roman" w:cs="Times New Roman"/>
                <w:sz w:val="18"/>
              </w:rPr>
              <w:t>Records identified by Query 2</w:t>
            </w:r>
          </w:p>
        </w:tc>
        <w:tc>
          <w:tcPr>
            <w:tcW w:w="2736" w:type="dxa"/>
          </w:tcPr>
          <w:p w14:paraId="78522DB2" w14:textId="77777777" w:rsidR="00A82ED9" w:rsidRDefault="00000000">
            <w:r>
              <w:rPr>
                <w:rFonts w:eastAsia="Times New Roman" w:cs="Times New Roman"/>
                <w:sz w:val="18"/>
              </w:rPr>
              <w:t>33</w:t>
            </w:r>
          </w:p>
        </w:tc>
      </w:tr>
      <w:tr w:rsidR="00A82ED9" w14:paraId="60966ECF" w14:textId="77777777">
        <w:tc>
          <w:tcPr>
            <w:tcW w:w="6192" w:type="dxa"/>
          </w:tcPr>
          <w:p w14:paraId="146A958D" w14:textId="77777777" w:rsidR="00A82ED9" w:rsidRDefault="00000000">
            <w:r>
              <w:rPr>
                <w:rFonts w:eastAsia="Times New Roman" w:cs="Times New Roman"/>
                <w:sz w:val="18"/>
              </w:rPr>
              <w:t>Publication years 2021-2026</w:t>
            </w:r>
          </w:p>
        </w:tc>
        <w:tc>
          <w:tcPr>
            <w:tcW w:w="2736" w:type="dxa"/>
          </w:tcPr>
          <w:p w14:paraId="57F802F6" w14:textId="77777777" w:rsidR="00A82ED9" w:rsidRDefault="00000000">
            <w:r>
              <w:rPr>
                <w:rFonts w:eastAsia="Times New Roman" w:cs="Times New Roman"/>
                <w:sz w:val="18"/>
              </w:rPr>
              <w:t>28</w:t>
            </w:r>
          </w:p>
        </w:tc>
      </w:tr>
      <w:tr w:rsidR="00A82ED9" w14:paraId="22B3D326" w14:textId="77777777">
        <w:tc>
          <w:tcPr>
            <w:tcW w:w="6192" w:type="dxa"/>
          </w:tcPr>
          <w:p w14:paraId="0625D411" w14:textId="77777777" w:rsidR="00A82ED9" w:rsidRDefault="00000000">
            <w:r>
              <w:rPr>
                <w:rFonts w:eastAsia="Times New Roman" w:cs="Times New Roman"/>
                <w:sz w:val="18"/>
              </w:rPr>
              <w:t>Document type: article or conference paper</w:t>
            </w:r>
          </w:p>
        </w:tc>
        <w:tc>
          <w:tcPr>
            <w:tcW w:w="2736" w:type="dxa"/>
          </w:tcPr>
          <w:p w14:paraId="744553FC" w14:textId="77777777" w:rsidR="00A82ED9" w:rsidRDefault="00000000">
            <w:r>
              <w:rPr>
                <w:rFonts w:eastAsia="Times New Roman" w:cs="Times New Roman"/>
                <w:sz w:val="18"/>
              </w:rPr>
              <w:t>27</w:t>
            </w:r>
          </w:p>
        </w:tc>
      </w:tr>
      <w:tr w:rsidR="00A82ED9" w14:paraId="0070217C" w14:textId="77777777">
        <w:tc>
          <w:tcPr>
            <w:tcW w:w="6192" w:type="dxa"/>
          </w:tcPr>
          <w:p w14:paraId="67B82228" w14:textId="77777777" w:rsidR="00A82ED9" w:rsidRDefault="00000000">
            <w:r>
              <w:rPr>
                <w:rFonts w:eastAsia="Times New Roman" w:cs="Times New Roman"/>
                <w:sz w:val="18"/>
              </w:rPr>
              <w:t>Language: English</w:t>
            </w:r>
          </w:p>
        </w:tc>
        <w:tc>
          <w:tcPr>
            <w:tcW w:w="2736" w:type="dxa"/>
          </w:tcPr>
          <w:p w14:paraId="1E035211" w14:textId="77777777" w:rsidR="00A82ED9" w:rsidRDefault="00000000">
            <w:r>
              <w:rPr>
                <w:rFonts w:eastAsia="Times New Roman" w:cs="Times New Roman"/>
                <w:sz w:val="18"/>
              </w:rPr>
              <w:t>27</w:t>
            </w:r>
          </w:p>
        </w:tc>
      </w:tr>
      <w:tr w:rsidR="00A82ED9" w14:paraId="41588FCE" w14:textId="77777777">
        <w:tc>
          <w:tcPr>
            <w:tcW w:w="6192" w:type="dxa"/>
          </w:tcPr>
          <w:p w14:paraId="68C13436" w14:textId="77777777" w:rsidR="00A82ED9" w:rsidRDefault="00000000">
            <w:r>
              <w:rPr>
                <w:rFonts w:eastAsia="Times New Roman" w:cs="Times New Roman"/>
                <w:sz w:val="18"/>
              </w:rPr>
              <w:t>Publication stage: final</w:t>
            </w:r>
          </w:p>
        </w:tc>
        <w:tc>
          <w:tcPr>
            <w:tcW w:w="2736" w:type="dxa"/>
          </w:tcPr>
          <w:p w14:paraId="56FCF53A" w14:textId="77777777" w:rsidR="00A82ED9" w:rsidRDefault="00000000">
            <w:r>
              <w:rPr>
                <w:rFonts w:eastAsia="Times New Roman" w:cs="Times New Roman"/>
                <w:sz w:val="18"/>
              </w:rPr>
              <w:t>27</w:t>
            </w:r>
          </w:p>
        </w:tc>
      </w:tr>
      <w:tr w:rsidR="00A82ED9" w14:paraId="32C149C5" w14:textId="77777777">
        <w:tc>
          <w:tcPr>
            <w:tcW w:w="6192" w:type="dxa"/>
          </w:tcPr>
          <w:p w14:paraId="7D91B497" w14:textId="77777777" w:rsidR="00A82ED9" w:rsidRDefault="00000000">
            <w:r>
              <w:rPr>
                <w:rFonts w:eastAsia="Times New Roman" w:cs="Times New Roman"/>
                <w:sz w:val="18"/>
              </w:rPr>
              <w:t>Access: open access</w:t>
            </w:r>
          </w:p>
        </w:tc>
        <w:tc>
          <w:tcPr>
            <w:tcW w:w="2736" w:type="dxa"/>
          </w:tcPr>
          <w:p w14:paraId="59C9EE21" w14:textId="77777777" w:rsidR="00A82ED9" w:rsidRDefault="00000000">
            <w:r>
              <w:rPr>
                <w:rFonts w:eastAsia="Times New Roman" w:cs="Times New Roman"/>
                <w:sz w:val="18"/>
              </w:rPr>
              <w:t>17</w:t>
            </w:r>
          </w:p>
        </w:tc>
      </w:tr>
    </w:tbl>
    <w:p w14:paraId="3C37E5FB" w14:textId="77777777" w:rsidR="00A82ED9" w:rsidRDefault="00A82ED9">
      <w:pPr>
        <w:spacing w:after="120"/>
        <w:jc w:val="both"/>
      </w:pPr>
    </w:p>
    <w:p w14:paraId="477E98BD" w14:textId="77777777" w:rsidR="00A82ED9" w:rsidRDefault="00000000">
      <w:pPr>
        <w:pStyle w:val="Heading2"/>
        <w:spacing w:before="0"/>
      </w:pPr>
      <w:r>
        <w:t>Eligibility criteria and screening</w:t>
      </w:r>
    </w:p>
    <w:p w14:paraId="5EB65A3C" w14:textId="77777777" w:rsidR="00A82ED9" w:rsidRDefault="00000000">
      <w:pPr>
        <w:spacing w:after="120"/>
        <w:jc w:val="both"/>
      </w:pPr>
      <w:r>
        <w:rPr>
          <w:rFonts w:eastAsia="Times New Roman" w:cs="Times New Roman"/>
        </w:rPr>
        <w:t>Each record was marked Include, Unsure or Exclude, first on the title and then on the abstract; records marked Include or Unsure went forward to full-text assessment.</w:t>
      </w:r>
    </w:p>
    <w:p w14:paraId="14B085E4" w14:textId="77777777" w:rsidR="00A82ED9" w:rsidRDefault="00000000">
      <w:pPr>
        <w:keepNext/>
        <w:spacing w:before="240" w:after="60"/>
        <w:jc w:val="center"/>
      </w:pPr>
      <w:r>
        <w:rPr>
          <w:rFonts w:eastAsia="Times New Roman" w:cs="Times New Roman"/>
          <w:b/>
        </w:rPr>
        <w:t>Table A3. Eligibility criteria</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40"/>
        <w:gridCol w:w="3744"/>
        <w:gridCol w:w="3744"/>
      </w:tblGrid>
      <w:tr w:rsidR="00A82ED9" w14:paraId="0E4B3153" w14:textId="77777777">
        <w:tc>
          <w:tcPr>
            <w:tcW w:w="1440" w:type="dxa"/>
          </w:tcPr>
          <w:p w14:paraId="530D4A5A" w14:textId="77777777" w:rsidR="00A82ED9" w:rsidRDefault="00A82ED9"/>
        </w:tc>
        <w:tc>
          <w:tcPr>
            <w:tcW w:w="3744" w:type="dxa"/>
          </w:tcPr>
          <w:p w14:paraId="3FEA4652" w14:textId="77777777" w:rsidR="00A82ED9" w:rsidRDefault="00000000">
            <w:r>
              <w:rPr>
                <w:rFonts w:eastAsia="Times New Roman" w:cs="Times New Roman"/>
                <w:b/>
                <w:sz w:val="18"/>
              </w:rPr>
              <w:t>Search A (reviews)</w:t>
            </w:r>
          </w:p>
        </w:tc>
        <w:tc>
          <w:tcPr>
            <w:tcW w:w="3744" w:type="dxa"/>
          </w:tcPr>
          <w:p w14:paraId="199899A6" w14:textId="77777777" w:rsidR="00A82ED9" w:rsidRDefault="00000000">
            <w:r>
              <w:rPr>
                <w:rFonts w:eastAsia="Times New Roman" w:cs="Times New Roman"/>
                <w:b/>
                <w:sz w:val="18"/>
              </w:rPr>
              <w:t>Search B (primary studies)</w:t>
            </w:r>
          </w:p>
        </w:tc>
      </w:tr>
      <w:tr w:rsidR="00A82ED9" w14:paraId="39BBD9FE" w14:textId="77777777">
        <w:tc>
          <w:tcPr>
            <w:tcW w:w="1440" w:type="dxa"/>
          </w:tcPr>
          <w:p w14:paraId="75B00395" w14:textId="77777777" w:rsidR="00A82ED9" w:rsidRDefault="00000000">
            <w:r>
              <w:rPr>
                <w:rFonts w:eastAsia="Times New Roman" w:cs="Times New Roman"/>
                <w:sz w:val="18"/>
              </w:rPr>
              <w:t>Include</w:t>
            </w:r>
          </w:p>
        </w:tc>
        <w:tc>
          <w:tcPr>
            <w:tcW w:w="3744" w:type="dxa"/>
          </w:tcPr>
          <w:p w14:paraId="7C866170" w14:textId="77777777" w:rsidR="00A82ED9" w:rsidRDefault="00000000">
            <w:r>
              <w:rPr>
                <w:rFonts w:eastAsia="Times New Roman" w:cs="Times New Roman"/>
                <w:sz w:val="18"/>
              </w:rPr>
              <w:t>1. Review or survey of ML/DL/AI methods</w:t>
            </w:r>
            <w:r>
              <w:rPr>
                <w:rFonts w:eastAsia="Times New Roman" w:cs="Times New Roman"/>
                <w:sz w:val="18"/>
              </w:rPr>
              <w:br/>
              <w:t>2. Main focus is PV power, energy or output forecasting or estimation</w:t>
            </w:r>
          </w:p>
        </w:tc>
        <w:tc>
          <w:tcPr>
            <w:tcW w:w="3744" w:type="dxa"/>
          </w:tcPr>
          <w:p w14:paraId="4A54FEB2" w14:textId="77777777" w:rsidR="00A82ED9" w:rsidRDefault="00000000">
            <w:r>
              <w:rPr>
                <w:rFonts w:eastAsia="Times New Roman" w:cs="Times New Roman"/>
                <w:sz w:val="18"/>
              </w:rPr>
              <w:t>1. Primary study (article or conference paper) using ML/DL/AI</w:t>
            </w:r>
            <w:r>
              <w:rPr>
                <w:rFonts w:eastAsia="Times New Roman" w:cs="Times New Roman"/>
                <w:sz w:val="18"/>
              </w:rPr>
              <w:br/>
              <w:t>2. Forecasts or estimates PV power, energy or output</w:t>
            </w:r>
            <w:r>
              <w:rPr>
                <w:rFonts w:eastAsia="Times New Roman" w:cs="Times New Roman"/>
                <w:sz w:val="18"/>
              </w:rPr>
              <w:br/>
              <w:t>3. Addresses at least two of: leakage-safe data split, multiple plants or sites, persistence or skill-score baseline</w:t>
            </w:r>
          </w:p>
        </w:tc>
      </w:tr>
      <w:tr w:rsidR="00A82ED9" w14:paraId="63A87961" w14:textId="77777777">
        <w:tc>
          <w:tcPr>
            <w:tcW w:w="1440" w:type="dxa"/>
          </w:tcPr>
          <w:p w14:paraId="76A6AB41" w14:textId="77777777" w:rsidR="00A82ED9" w:rsidRDefault="00000000">
            <w:r>
              <w:rPr>
                <w:rFonts w:eastAsia="Times New Roman" w:cs="Times New Roman"/>
                <w:sz w:val="18"/>
              </w:rPr>
              <w:t>Exclude</w:t>
            </w:r>
          </w:p>
        </w:tc>
        <w:tc>
          <w:tcPr>
            <w:tcW w:w="3744" w:type="dxa"/>
          </w:tcPr>
          <w:p w14:paraId="7304CF7A" w14:textId="77777777" w:rsidR="00A82ED9" w:rsidRDefault="00000000">
            <w:r>
              <w:rPr>
                <w:rFonts w:eastAsia="Times New Roman" w:cs="Times New Roman"/>
                <w:sz w:val="18"/>
              </w:rPr>
              <w:t>1. Main focus irradiance or weather only</w:t>
            </w:r>
            <w:r>
              <w:rPr>
                <w:rFonts w:eastAsia="Times New Roman" w:cs="Times New Roman"/>
                <w:sz w:val="18"/>
              </w:rPr>
              <w:br/>
              <w:t>2. CSP or solar thermal</w:t>
            </w:r>
            <w:r>
              <w:rPr>
                <w:rFonts w:eastAsia="Times New Roman" w:cs="Times New Roman"/>
                <w:sz w:val="18"/>
              </w:rPr>
              <w:br/>
              <w:t>3. Main focus fault detection, MPPT, degradation or sizing</w:t>
            </w:r>
            <w:r>
              <w:rPr>
                <w:rFonts w:eastAsia="Times New Roman" w:cs="Times New Roman"/>
                <w:sz w:val="18"/>
              </w:rPr>
              <w:br/>
              <w:t>4. General renewables or smart grid, PV forecasting only a minor part</w:t>
            </w:r>
            <w:r>
              <w:rPr>
                <w:rFonts w:eastAsia="Times New Roman" w:cs="Times New Roman"/>
                <w:sz w:val="18"/>
              </w:rPr>
              <w:br/>
              <w:t>5. Not a review (mislabelled primary study)</w:t>
            </w:r>
            <w:r>
              <w:rPr>
                <w:rFonts w:eastAsia="Times New Roman" w:cs="Times New Roman"/>
                <w:sz w:val="18"/>
              </w:rPr>
              <w:br/>
              <w:t>6. No full text</w:t>
            </w:r>
          </w:p>
        </w:tc>
        <w:tc>
          <w:tcPr>
            <w:tcW w:w="3744" w:type="dxa"/>
          </w:tcPr>
          <w:p w14:paraId="1A9866B2" w14:textId="77777777" w:rsidR="00A82ED9" w:rsidRDefault="00000000">
            <w:r>
              <w:rPr>
                <w:rFonts w:eastAsia="Times New Roman" w:cs="Times New Roman"/>
                <w:sz w:val="18"/>
              </w:rPr>
              <w:t>1. Review or survey</w:t>
            </w:r>
            <w:r>
              <w:rPr>
                <w:rFonts w:eastAsia="Times New Roman" w:cs="Times New Roman"/>
                <w:sz w:val="18"/>
              </w:rPr>
              <w:br/>
              <w:t>2. Main focus irradiance or weather only</w:t>
            </w:r>
            <w:r>
              <w:rPr>
                <w:rFonts w:eastAsia="Times New Roman" w:cs="Times New Roman"/>
                <w:sz w:val="18"/>
              </w:rPr>
              <w:br/>
              <w:t>3. CSP or solar thermal</w:t>
            </w:r>
            <w:r>
              <w:rPr>
                <w:rFonts w:eastAsia="Times New Roman" w:cs="Times New Roman"/>
                <w:sz w:val="18"/>
              </w:rPr>
              <w:br/>
              <w:t>4. Main focus fault detection, MPPT, degradation or sizing</w:t>
            </w:r>
            <w:r>
              <w:rPr>
                <w:rFonts w:eastAsia="Times New Roman" w:cs="Times New Roman"/>
                <w:sz w:val="18"/>
              </w:rPr>
              <w:br/>
              <w:t>5. Not ML</w:t>
            </w:r>
            <w:r>
              <w:rPr>
                <w:rFonts w:eastAsia="Times New Roman" w:cs="Times New Roman"/>
                <w:sz w:val="18"/>
              </w:rPr>
              <w:br/>
              <w:t>6. No full text</w:t>
            </w:r>
          </w:p>
        </w:tc>
      </w:tr>
    </w:tbl>
    <w:p w14:paraId="5145595A" w14:textId="77777777" w:rsidR="00A82ED9" w:rsidRDefault="00A82ED9">
      <w:pPr>
        <w:spacing w:after="120"/>
        <w:jc w:val="both"/>
      </w:pPr>
    </w:p>
    <w:p w14:paraId="6C81A6BD" w14:textId="77777777" w:rsidR="00A82ED9" w:rsidRDefault="00000000">
      <w:pPr>
        <w:pStyle w:val="Heading1"/>
        <w:pageBreakBefore/>
      </w:pPr>
      <w:r>
        <w:lastRenderedPageBreak/>
        <w:t>APPENDIX B: LIST OF ABBREVIATIONS</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40"/>
        <w:gridCol w:w="3024"/>
        <w:gridCol w:w="1440"/>
        <w:gridCol w:w="3024"/>
      </w:tblGrid>
      <w:tr w:rsidR="00A82ED9" w14:paraId="5886453B" w14:textId="77777777">
        <w:tc>
          <w:tcPr>
            <w:tcW w:w="1440" w:type="dxa"/>
          </w:tcPr>
          <w:p w14:paraId="44E680B8" w14:textId="77777777" w:rsidR="00A82ED9" w:rsidRDefault="00000000">
            <w:r>
              <w:rPr>
                <w:rFonts w:eastAsia="Times New Roman" w:cs="Times New Roman"/>
                <w:b/>
                <w:sz w:val="18"/>
              </w:rPr>
              <w:t>Abbreviation</w:t>
            </w:r>
          </w:p>
        </w:tc>
        <w:tc>
          <w:tcPr>
            <w:tcW w:w="3024" w:type="dxa"/>
          </w:tcPr>
          <w:p w14:paraId="59E4E796" w14:textId="77777777" w:rsidR="00A82ED9" w:rsidRDefault="00000000">
            <w:r>
              <w:rPr>
                <w:rFonts w:eastAsia="Times New Roman" w:cs="Times New Roman"/>
                <w:b/>
                <w:sz w:val="18"/>
              </w:rPr>
              <w:t>Meaning</w:t>
            </w:r>
          </w:p>
        </w:tc>
        <w:tc>
          <w:tcPr>
            <w:tcW w:w="1440" w:type="dxa"/>
          </w:tcPr>
          <w:p w14:paraId="3D95500A" w14:textId="77777777" w:rsidR="00A82ED9" w:rsidRDefault="00000000">
            <w:r>
              <w:rPr>
                <w:rFonts w:eastAsia="Times New Roman" w:cs="Times New Roman"/>
                <w:b/>
                <w:sz w:val="18"/>
              </w:rPr>
              <w:t>Abbreviation</w:t>
            </w:r>
          </w:p>
        </w:tc>
        <w:tc>
          <w:tcPr>
            <w:tcW w:w="3024" w:type="dxa"/>
          </w:tcPr>
          <w:p w14:paraId="242C74B7" w14:textId="77777777" w:rsidR="00A82ED9" w:rsidRDefault="00000000">
            <w:r>
              <w:rPr>
                <w:rFonts w:eastAsia="Times New Roman" w:cs="Times New Roman"/>
                <w:b/>
                <w:sz w:val="18"/>
              </w:rPr>
              <w:t>Meaning</w:t>
            </w:r>
          </w:p>
        </w:tc>
      </w:tr>
      <w:tr w:rsidR="00A82ED9" w14:paraId="1FE13C3C" w14:textId="77777777">
        <w:tc>
          <w:tcPr>
            <w:tcW w:w="1440" w:type="dxa"/>
          </w:tcPr>
          <w:p w14:paraId="321ABD7A" w14:textId="77777777" w:rsidR="00A82ED9" w:rsidRDefault="00000000">
            <w:r>
              <w:rPr>
                <w:rFonts w:eastAsia="Times New Roman" w:cs="Times New Roman"/>
                <w:b/>
                <w:sz w:val="18"/>
              </w:rPr>
              <w:t>AI</w:t>
            </w:r>
          </w:p>
        </w:tc>
        <w:tc>
          <w:tcPr>
            <w:tcW w:w="3024" w:type="dxa"/>
          </w:tcPr>
          <w:p w14:paraId="46E3D161" w14:textId="77777777" w:rsidR="00A82ED9" w:rsidRDefault="00000000">
            <w:r>
              <w:rPr>
                <w:rFonts w:eastAsia="Times New Roman" w:cs="Times New Roman"/>
                <w:sz w:val="18"/>
              </w:rPr>
              <w:t>Artificial intelligence</w:t>
            </w:r>
          </w:p>
        </w:tc>
        <w:tc>
          <w:tcPr>
            <w:tcW w:w="1440" w:type="dxa"/>
          </w:tcPr>
          <w:p w14:paraId="2CE44AD5" w14:textId="77777777" w:rsidR="00A82ED9" w:rsidRDefault="00000000">
            <w:r>
              <w:rPr>
                <w:rFonts w:eastAsia="Times New Roman" w:cs="Times New Roman"/>
                <w:b/>
                <w:sz w:val="18"/>
              </w:rPr>
              <w:t>NREL</w:t>
            </w:r>
          </w:p>
        </w:tc>
        <w:tc>
          <w:tcPr>
            <w:tcW w:w="3024" w:type="dxa"/>
          </w:tcPr>
          <w:p w14:paraId="4D17A9FD" w14:textId="77777777" w:rsidR="00A82ED9" w:rsidRDefault="00000000">
            <w:r>
              <w:rPr>
                <w:rFonts w:eastAsia="Times New Roman" w:cs="Times New Roman"/>
                <w:sz w:val="18"/>
              </w:rPr>
              <w:t>National Renewable Energy Laboratory</w:t>
            </w:r>
          </w:p>
        </w:tc>
      </w:tr>
      <w:tr w:rsidR="00A82ED9" w14:paraId="3517A26E" w14:textId="77777777">
        <w:tc>
          <w:tcPr>
            <w:tcW w:w="1440" w:type="dxa"/>
          </w:tcPr>
          <w:p w14:paraId="1ED07DCD" w14:textId="77777777" w:rsidR="00A82ED9" w:rsidRDefault="00000000">
            <w:r>
              <w:rPr>
                <w:rFonts w:eastAsia="Times New Roman" w:cs="Times New Roman"/>
                <w:b/>
                <w:sz w:val="18"/>
              </w:rPr>
              <w:t>BIPV</w:t>
            </w:r>
          </w:p>
        </w:tc>
        <w:tc>
          <w:tcPr>
            <w:tcW w:w="3024" w:type="dxa"/>
          </w:tcPr>
          <w:p w14:paraId="3F76D732" w14:textId="77777777" w:rsidR="00A82ED9" w:rsidRDefault="00000000">
            <w:r>
              <w:rPr>
                <w:rFonts w:eastAsia="Times New Roman" w:cs="Times New Roman"/>
                <w:sz w:val="18"/>
              </w:rPr>
              <w:t>Building-integrated photovoltaics</w:t>
            </w:r>
          </w:p>
        </w:tc>
        <w:tc>
          <w:tcPr>
            <w:tcW w:w="1440" w:type="dxa"/>
          </w:tcPr>
          <w:p w14:paraId="4D2A7C12" w14:textId="77777777" w:rsidR="00A82ED9" w:rsidRDefault="00000000">
            <w:r>
              <w:rPr>
                <w:rFonts w:eastAsia="Times New Roman" w:cs="Times New Roman"/>
                <w:b/>
                <w:sz w:val="18"/>
              </w:rPr>
              <w:t>NRMSE / nRMSE</w:t>
            </w:r>
          </w:p>
        </w:tc>
        <w:tc>
          <w:tcPr>
            <w:tcW w:w="3024" w:type="dxa"/>
          </w:tcPr>
          <w:p w14:paraId="71E68F62" w14:textId="77777777" w:rsidR="00A82ED9" w:rsidRDefault="00000000">
            <w:r>
              <w:rPr>
                <w:rFonts w:eastAsia="Times New Roman" w:cs="Times New Roman"/>
                <w:sz w:val="18"/>
              </w:rPr>
              <w:t>Normalised root mean square error</w:t>
            </w:r>
          </w:p>
        </w:tc>
      </w:tr>
      <w:tr w:rsidR="00A82ED9" w14:paraId="791355EB" w14:textId="77777777">
        <w:tc>
          <w:tcPr>
            <w:tcW w:w="1440" w:type="dxa"/>
          </w:tcPr>
          <w:p w14:paraId="66BF2B4D" w14:textId="77777777" w:rsidR="00A82ED9" w:rsidRDefault="00000000">
            <w:r>
              <w:rPr>
                <w:rFonts w:eastAsia="Times New Roman" w:cs="Times New Roman"/>
                <w:b/>
                <w:sz w:val="18"/>
              </w:rPr>
              <w:t>CNN</w:t>
            </w:r>
          </w:p>
        </w:tc>
        <w:tc>
          <w:tcPr>
            <w:tcW w:w="3024" w:type="dxa"/>
          </w:tcPr>
          <w:p w14:paraId="4EED24E7" w14:textId="77777777" w:rsidR="00A82ED9" w:rsidRDefault="00000000">
            <w:r>
              <w:rPr>
                <w:rFonts w:eastAsia="Times New Roman" w:cs="Times New Roman"/>
                <w:sz w:val="18"/>
              </w:rPr>
              <w:t>Convolutional neural network</w:t>
            </w:r>
          </w:p>
        </w:tc>
        <w:tc>
          <w:tcPr>
            <w:tcW w:w="1440" w:type="dxa"/>
          </w:tcPr>
          <w:p w14:paraId="7AAD9C63" w14:textId="77777777" w:rsidR="00A82ED9" w:rsidRDefault="00000000">
            <w:r>
              <w:rPr>
                <w:rFonts w:eastAsia="Times New Roman" w:cs="Times New Roman"/>
                <w:b/>
                <w:sz w:val="18"/>
              </w:rPr>
              <w:t>NSRDB</w:t>
            </w:r>
          </w:p>
        </w:tc>
        <w:tc>
          <w:tcPr>
            <w:tcW w:w="3024" w:type="dxa"/>
          </w:tcPr>
          <w:p w14:paraId="7155866F" w14:textId="77777777" w:rsidR="00A82ED9" w:rsidRDefault="00000000">
            <w:r>
              <w:rPr>
                <w:rFonts w:eastAsia="Times New Roman" w:cs="Times New Roman"/>
                <w:sz w:val="18"/>
              </w:rPr>
              <w:t>National Solar Radiation Database</w:t>
            </w:r>
          </w:p>
        </w:tc>
      </w:tr>
      <w:tr w:rsidR="00A82ED9" w14:paraId="7B1908B5" w14:textId="77777777">
        <w:tc>
          <w:tcPr>
            <w:tcW w:w="1440" w:type="dxa"/>
          </w:tcPr>
          <w:p w14:paraId="75D4137A" w14:textId="77777777" w:rsidR="00A82ED9" w:rsidRDefault="00000000">
            <w:r>
              <w:rPr>
                <w:rFonts w:eastAsia="Times New Roman" w:cs="Times New Roman"/>
                <w:b/>
                <w:sz w:val="18"/>
              </w:rPr>
              <w:t>CSP</w:t>
            </w:r>
          </w:p>
        </w:tc>
        <w:tc>
          <w:tcPr>
            <w:tcW w:w="3024" w:type="dxa"/>
          </w:tcPr>
          <w:p w14:paraId="63FC19F1" w14:textId="77777777" w:rsidR="00A82ED9" w:rsidRDefault="00000000">
            <w:r>
              <w:rPr>
                <w:rFonts w:eastAsia="Times New Roman" w:cs="Times New Roman"/>
                <w:sz w:val="18"/>
              </w:rPr>
              <w:t>Concentrated solar power</w:t>
            </w:r>
          </w:p>
        </w:tc>
        <w:tc>
          <w:tcPr>
            <w:tcW w:w="1440" w:type="dxa"/>
          </w:tcPr>
          <w:p w14:paraId="597C1EAC" w14:textId="77777777" w:rsidR="00A82ED9" w:rsidRDefault="00000000">
            <w:r>
              <w:rPr>
                <w:rFonts w:eastAsia="Times New Roman" w:cs="Times New Roman"/>
                <w:b/>
                <w:sz w:val="18"/>
              </w:rPr>
              <w:t>NWP</w:t>
            </w:r>
          </w:p>
        </w:tc>
        <w:tc>
          <w:tcPr>
            <w:tcW w:w="3024" w:type="dxa"/>
          </w:tcPr>
          <w:p w14:paraId="09B18A73" w14:textId="77777777" w:rsidR="00A82ED9" w:rsidRDefault="00000000">
            <w:r>
              <w:rPr>
                <w:rFonts w:eastAsia="Times New Roman" w:cs="Times New Roman"/>
                <w:sz w:val="18"/>
              </w:rPr>
              <w:t>Numerical weather prediction</w:t>
            </w:r>
          </w:p>
        </w:tc>
      </w:tr>
      <w:tr w:rsidR="00A82ED9" w14:paraId="39E0DED9" w14:textId="77777777">
        <w:tc>
          <w:tcPr>
            <w:tcW w:w="1440" w:type="dxa"/>
          </w:tcPr>
          <w:p w14:paraId="0A700B08" w14:textId="77777777" w:rsidR="00A82ED9" w:rsidRDefault="00000000">
            <w:r>
              <w:rPr>
                <w:rFonts w:eastAsia="Times New Roman" w:cs="Times New Roman"/>
                <w:b/>
                <w:sz w:val="18"/>
              </w:rPr>
              <w:t>DL</w:t>
            </w:r>
          </w:p>
        </w:tc>
        <w:tc>
          <w:tcPr>
            <w:tcW w:w="3024" w:type="dxa"/>
          </w:tcPr>
          <w:p w14:paraId="0763EE61" w14:textId="77777777" w:rsidR="00A82ED9" w:rsidRDefault="00000000">
            <w:r>
              <w:rPr>
                <w:rFonts w:eastAsia="Times New Roman" w:cs="Times New Roman"/>
                <w:sz w:val="18"/>
              </w:rPr>
              <w:t>Deep learning</w:t>
            </w:r>
          </w:p>
        </w:tc>
        <w:tc>
          <w:tcPr>
            <w:tcW w:w="1440" w:type="dxa"/>
          </w:tcPr>
          <w:p w14:paraId="1FBCA2C2" w14:textId="77777777" w:rsidR="00A82ED9" w:rsidRDefault="00000000">
            <w:r>
              <w:rPr>
                <w:rFonts w:eastAsia="Times New Roman" w:cs="Times New Roman"/>
                <w:b/>
                <w:sz w:val="18"/>
              </w:rPr>
              <w:t>PRISMA</w:t>
            </w:r>
          </w:p>
        </w:tc>
        <w:tc>
          <w:tcPr>
            <w:tcW w:w="3024" w:type="dxa"/>
          </w:tcPr>
          <w:p w14:paraId="22BCA3B3" w14:textId="77777777" w:rsidR="00A82ED9" w:rsidRDefault="00000000">
            <w:r>
              <w:rPr>
                <w:rFonts w:eastAsia="Times New Roman" w:cs="Times New Roman"/>
                <w:sz w:val="18"/>
              </w:rPr>
              <w:t>Preferred Reporting Items for Systematic Reviews and Meta-Analyses</w:t>
            </w:r>
          </w:p>
        </w:tc>
      </w:tr>
      <w:tr w:rsidR="00A82ED9" w14:paraId="6978E717" w14:textId="77777777">
        <w:tc>
          <w:tcPr>
            <w:tcW w:w="1440" w:type="dxa"/>
          </w:tcPr>
          <w:p w14:paraId="02D1F5FD" w14:textId="77777777" w:rsidR="00A82ED9" w:rsidRDefault="00000000">
            <w:r>
              <w:rPr>
                <w:rFonts w:eastAsia="Times New Roman" w:cs="Times New Roman"/>
                <w:b/>
                <w:sz w:val="18"/>
              </w:rPr>
              <w:t>ECMWF</w:t>
            </w:r>
          </w:p>
        </w:tc>
        <w:tc>
          <w:tcPr>
            <w:tcW w:w="3024" w:type="dxa"/>
          </w:tcPr>
          <w:p w14:paraId="4BD6A581" w14:textId="77777777" w:rsidR="00A82ED9" w:rsidRDefault="00000000">
            <w:r>
              <w:rPr>
                <w:rFonts w:eastAsia="Times New Roman" w:cs="Times New Roman"/>
                <w:sz w:val="18"/>
              </w:rPr>
              <w:t>European Centre for Medium-Range Weather Forecasts</w:t>
            </w:r>
          </w:p>
        </w:tc>
        <w:tc>
          <w:tcPr>
            <w:tcW w:w="1440" w:type="dxa"/>
          </w:tcPr>
          <w:p w14:paraId="0498215B" w14:textId="77777777" w:rsidR="00A82ED9" w:rsidRDefault="00000000">
            <w:r>
              <w:rPr>
                <w:rFonts w:eastAsia="Times New Roman" w:cs="Times New Roman"/>
                <w:b/>
                <w:sz w:val="18"/>
              </w:rPr>
              <w:t>PV</w:t>
            </w:r>
          </w:p>
        </w:tc>
        <w:tc>
          <w:tcPr>
            <w:tcW w:w="3024" w:type="dxa"/>
          </w:tcPr>
          <w:p w14:paraId="5B446238" w14:textId="77777777" w:rsidR="00A82ED9" w:rsidRDefault="00000000">
            <w:r>
              <w:rPr>
                <w:rFonts w:eastAsia="Times New Roman" w:cs="Times New Roman"/>
                <w:sz w:val="18"/>
              </w:rPr>
              <w:t>Photovoltaic</w:t>
            </w:r>
          </w:p>
        </w:tc>
      </w:tr>
      <w:tr w:rsidR="00A82ED9" w14:paraId="676E9EE5" w14:textId="77777777">
        <w:tc>
          <w:tcPr>
            <w:tcW w:w="1440" w:type="dxa"/>
          </w:tcPr>
          <w:p w14:paraId="5E465B02" w14:textId="77777777" w:rsidR="00A82ED9" w:rsidRDefault="00000000">
            <w:r>
              <w:rPr>
                <w:rFonts w:eastAsia="Times New Roman" w:cs="Times New Roman"/>
                <w:b/>
                <w:sz w:val="18"/>
              </w:rPr>
              <w:t>GHI</w:t>
            </w:r>
          </w:p>
        </w:tc>
        <w:tc>
          <w:tcPr>
            <w:tcW w:w="3024" w:type="dxa"/>
          </w:tcPr>
          <w:p w14:paraId="4C1E4D05" w14:textId="77777777" w:rsidR="00A82ED9" w:rsidRDefault="00000000">
            <w:r>
              <w:rPr>
                <w:rFonts w:eastAsia="Times New Roman" w:cs="Times New Roman"/>
                <w:sz w:val="18"/>
              </w:rPr>
              <w:t>Global horizontal irradiance</w:t>
            </w:r>
          </w:p>
        </w:tc>
        <w:tc>
          <w:tcPr>
            <w:tcW w:w="1440" w:type="dxa"/>
          </w:tcPr>
          <w:p w14:paraId="417D84DE" w14:textId="77777777" w:rsidR="00A82ED9" w:rsidRDefault="00000000">
            <w:r>
              <w:rPr>
                <w:rFonts w:eastAsia="Times New Roman" w:cs="Times New Roman"/>
                <w:b/>
                <w:sz w:val="18"/>
              </w:rPr>
              <w:t>RMSE</w:t>
            </w:r>
          </w:p>
        </w:tc>
        <w:tc>
          <w:tcPr>
            <w:tcW w:w="3024" w:type="dxa"/>
          </w:tcPr>
          <w:p w14:paraId="075F2081" w14:textId="77777777" w:rsidR="00A82ED9" w:rsidRDefault="00000000">
            <w:r>
              <w:rPr>
                <w:rFonts w:eastAsia="Times New Roman" w:cs="Times New Roman"/>
                <w:sz w:val="18"/>
              </w:rPr>
              <w:t>Root mean square error</w:t>
            </w:r>
          </w:p>
        </w:tc>
      </w:tr>
      <w:tr w:rsidR="00A82ED9" w14:paraId="423AC357" w14:textId="77777777">
        <w:tc>
          <w:tcPr>
            <w:tcW w:w="1440" w:type="dxa"/>
          </w:tcPr>
          <w:p w14:paraId="19D2B393" w14:textId="77777777" w:rsidR="00A82ED9" w:rsidRDefault="00000000">
            <w:r>
              <w:rPr>
                <w:rFonts w:eastAsia="Times New Roman" w:cs="Times New Roman"/>
                <w:b/>
                <w:sz w:val="18"/>
              </w:rPr>
              <w:t>GRU</w:t>
            </w:r>
          </w:p>
        </w:tc>
        <w:tc>
          <w:tcPr>
            <w:tcW w:w="3024" w:type="dxa"/>
          </w:tcPr>
          <w:p w14:paraId="433FD5F6" w14:textId="77777777" w:rsidR="00A82ED9" w:rsidRDefault="00000000">
            <w:r>
              <w:rPr>
                <w:rFonts w:eastAsia="Times New Roman" w:cs="Times New Roman"/>
                <w:sz w:val="18"/>
              </w:rPr>
              <w:t>Gated recurrent unit</w:t>
            </w:r>
          </w:p>
        </w:tc>
        <w:tc>
          <w:tcPr>
            <w:tcW w:w="1440" w:type="dxa"/>
          </w:tcPr>
          <w:p w14:paraId="030003C1" w14:textId="77777777" w:rsidR="00A82ED9" w:rsidRDefault="00000000">
            <w:r>
              <w:rPr>
                <w:rFonts w:eastAsia="Times New Roman" w:cs="Times New Roman"/>
                <w:b/>
                <w:sz w:val="18"/>
              </w:rPr>
              <w:t>SCADA</w:t>
            </w:r>
          </w:p>
        </w:tc>
        <w:tc>
          <w:tcPr>
            <w:tcW w:w="3024" w:type="dxa"/>
          </w:tcPr>
          <w:p w14:paraId="329CBE3C" w14:textId="77777777" w:rsidR="00A82ED9" w:rsidRDefault="00000000">
            <w:r>
              <w:rPr>
                <w:rFonts w:eastAsia="Times New Roman" w:cs="Times New Roman"/>
                <w:sz w:val="18"/>
              </w:rPr>
              <w:t>Supervisory control and data acquisition</w:t>
            </w:r>
          </w:p>
        </w:tc>
      </w:tr>
      <w:tr w:rsidR="00A82ED9" w14:paraId="1F156308" w14:textId="77777777">
        <w:tc>
          <w:tcPr>
            <w:tcW w:w="1440" w:type="dxa"/>
          </w:tcPr>
          <w:p w14:paraId="6364AC48" w14:textId="77777777" w:rsidR="00A82ED9" w:rsidRDefault="00000000">
            <w:r>
              <w:rPr>
                <w:rFonts w:eastAsia="Times New Roman" w:cs="Times New Roman"/>
                <w:b/>
                <w:sz w:val="18"/>
              </w:rPr>
              <w:t>LSTM</w:t>
            </w:r>
          </w:p>
        </w:tc>
        <w:tc>
          <w:tcPr>
            <w:tcW w:w="3024" w:type="dxa"/>
          </w:tcPr>
          <w:p w14:paraId="28323188" w14:textId="77777777" w:rsidR="00A82ED9" w:rsidRDefault="00000000">
            <w:r>
              <w:rPr>
                <w:rFonts w:eastAsia="Times New Roman" w:cs="Times New Roman"/>
                <w:sz w:val="18"/>
              </w:rPr>
              <w:t>Long short-term memory network</w:t>
            </w:r>
          </w:p>
        </w:tc>
        <w:tc>
          <w:tcPr>
            <w:tcW w:w="1440" w:type="dxa"/>
          </w:tcPr>
          <w:p w14:paraId="28A2ED0C" w14:textId="77777777" w:rsidR="00A82ED9" w:rsidRDefault="00000000">
            <w:r>
              <w:rPr>
                <w:rFonts w:eastAsia="Times New Roman" w:cs="Times New Roman"/>
                <w:b/>
                <w:sz w:val="18"/>
              </w:rPr>
              <w:t>SLR</w:t>
            </w:r>
          </w:p>
        </w:tc>
        <w:tc>
          <w:tcPr>
            <w:tcW w:w="3024" w:type="dxa"/>
          </w:tcPr>
          <w:p w14:paraId="0D6CB982" w14:textId="77777777" w:rsidR="00A82ED9" w:rsidRDefault="00000000">
            <w:r>
              <w:rPr>
                <w:rFonts w:eastAsia="Times New Roman" w:cs="Times New Roman"/>
                <w:sz w:val="18"/>
              </w:rPr>
              <w:t>Systematic literature review</w:t>
            </w:r>
          </w:p>
        </w:tc>
      </w:tr>
      <w:tr w:rsidR="00A82ED9" w14:paraId="4621187D" w14:textId="77777777">
        <w:tc>
          <w:tcPr>
            <w:tcW w:w="1440" w:type="dxa"/>
          </w:tcPr>
          <w:p w14:paraId="1284E33B" w14:textId="77777777" w:rsidR="00A82ED9" w:rsidRDefault="00000000">
            <w:r>
              <w:rPr>
                <w:rFonts w:eastAsia="Times New Roman" w:cs="Times New Roman"/>
                <w:b/>
                <w:sz w:val="18"/>
              </w:rPr>
              <w:t>MAE</w:t>
            </w:r>
          </w:p>
        </w:tc>
        <w:tc>
          <w:tcPr>
            <w:tcW w:w="3024" w:type="dxa"/>
          </w:tcPr>
          <w:p w14:paraId="0F0E0030" w14:textId="77777777" w:rsidR="00A82ED9" w:rsidRDefault="00000000">
            <w:r>
              <w:rPr>
                <w:rFonts w:eastAsia="Times New Roman" w:cs="Times New Roman"/>
                <w:sz w:val="18"/>
              </w:rPr>
              <w:t>Mean absolute error</w:t>
            </w:r>
          </w:p>
        </w:tc>
        <w:tc>
          <w:tcPr>
            <w:tcW w:w="1440" w:type="dxa"/>
          </w:tcPr>
          <w:p w14:paraId="2729FC4B" w14:textId="77777777" w:rsidR="00A82ED9" w:rsidRDefault="00000000">
            <w:r>
              <w:rPr>
                <w:rFonts w:eastAsia="Times New Roman" w:cs="Times New Roman"/>
                <w:b/>
                <w:sz w:val="18"/>
              </w:rPr>
              <w:t>UQ</w:t>
            </w:r>
          </w:p>
        </w:tc>
        <w:tc>
          <w:tcPr>
            <w:tcW w:w="3024" w:type="dxa"/>
          </w:tcPr>
          <w:p w14:paraId="10C08E55" w14:textId="77777777" w:rsidR="00A82ED9" w:rsidRDefault="00000000">
            <w:r>
              <w:rPr>
                <w:rFonts w:eastAsia="Times New Roman" w:cs="Times New Roman"/>
                <w:sz w:val="18"/>
              </w:rPr>
              <w:t>Uncertainty quantification</w:t>
            </w:r>
          </w:p>
        </w:tc>
      </w:tr>
      <w:tr w:rsidR="00A82ED9" w14:paraId="56655480" w14:textId="77777777">
        <w:tc>
          <w:tcPr>
            <w:tcW w:w="1440" w:type="dxa"/>
          </w:tcPr>
          <w:p w14:paraId="7EB5436E" w14:textId="77777777" w:rsidR="00A82ED9" w:rsidRDefault="00000000">
            <w:r>
              <w:rPr>
                <w:rFonts w:eastAsia="Times New Roman" w:cs="Times New Roman"/>
                <w:b/>
                <w:sz w:val="18"/>
              </w:rPr>
              <w:t>ML</w:t>
            </w:r>
          </w:p>
        </w:tc>
        <w:tc>
          <w:tcPr>
            <w:tcW w:w="3024" w:type="dxa"/>
          </w:tcPr>
          <w:p w14:paraId="0AE8D2DE" w14:textId="77777777" w:rsidR="00A82ED9" w:rsidRDefault="00000000">
            <w:r>
              <w:rPr>
                <w:rFonts w:eastAsia="Times New Roman" w:cs="Times New Roman"/>
                <w:sz w:val="18"/>
              </w:rPr>
              <w:t>Machine learning</w:t>
            </w:r>
          </w:p>
        </w:tc>
        <w:tc>
          <w:tcPr>
            <w:tcW w:w="1440" w:type="dxa"/>
          </w:tcPr>
          <w:p w14:paraId="20EE4486" w14:textId="77777777" w:rsidR="00A82ED9" w:rsidRDefault="00000000">
            <w:r>
              <w:rPr>
                <w:rFonts w:eastAsia="Times New Roman" w:cs="Times New Roman"/>
                <w:b/>
                <w:sz w:val="18"/>
              </w:rPr>
              <w:t>WoS</w:t>
            </w:r>
          </w:p>
        </w:tc>
        <w:tc>
          <w:tcPr>
            <w:tcW w:w="3024" w:type="dxa"/>
          </w:tcPr>
          <w:p w14:paraId="6FC79328" w14:textId="77777777" w:rsidR="00A82ED9" w:rsidRDefault="00000000">
            <w:r>
              <w:rPr>
                <w:rFonts w:eastAsia="Times New Roman" w:cs="Times New Roman"/>
                <w:sz w:val="18"/>
              </w:rPr>
              <w:t>Web of Science</w:t>
            </w:r>
          </w:p>
        </w:tc>
      </w:tr>
      <w:tr w:rsidR="00A82ED9" w14:paraId="2C79EEF1" w14:textId="77777777">
        <w:tc>
          <w:tcPr>
            <w:tcW w:w="1440" w:type="dxa"/>
          </w:tcPr>
          <w:p w14:paraId="08678CCB" w14:textId="77777777" w:rsidR="00A82ED9" w:rsidRDefault="00000000">
            <w:r>
              <w:rPr>
                <w:rFonts w:eastAsia="Times New Roman" w:cs="Times New Roman"/>
                <w:b/>
                <w:sz w:val="18"/>
              </w:rPr>
              <w:t>MLP</w:t>
            </w:r>
          </w:p>
        </w:tc>
        <w:tc>
          <w:tcPr>
            <w:tcW w:w="3024" w:type="dxa"/>
          </w:tcPr>
          <w:p w14:paraId="0790F681" w14:textId="77777777" w:rsidR="00A82ED9" w:rsidRDefault="00000000">
            <w:r>
              <w:rPr>
                <w:rFonts w:eastAsia="Times New Roman" w:cs="Times New Roman"/>
                <w:sz w:val="18"/>
              </w:rPr>
              <w:t>Multilayer perceptron</w:t>
            </w:r>
          </w:p>
        </w:tc>
        <w:tc>
          <w:tcPr>
            <w:tcW w:w="1440" w:type="dxa"/>
          </w:tcPr>
          <w:p w14:paraId="5F4D7386" w14:textId="77777777" w:rsidR="00A82ED9" w:rsidRDefault="00000000">
            <w:r>
              <w:rPr>
                <w:rFonts w:eastAsia="Times New Roman" w:cs="Times New Roman"/>
                <w:b/>
                <w:sz w:val="18"/>
              </w:rPr>
              <w:t>XAI</w:t>
            </w:r>
          </w:p>
        </w:tc>
        <w:tc>
          <w:tcPr>
            <w:tcW w:w="3024" w:type="dxa"/>
          </w:tcPr>
          <w:p w14:paraId="3955D284" w14:textId="77777777" w:rsidR="00A82ED9" w:rsidRDefault="00000000">
            <w:r>
              <w:rPr>
                <w:rFonts w:eastAsia="Times New Roman" w:cs="Times New Roman"/>
                <w:sz w:val="18"/>
              </w:rPr>
              <w:t>Explainable artificial intelligence</w:t>
            </w:r>
          </w:p>
        </w:tc>
      </w:tr>
      <w:tr w:rsidR="00A82ED9" w14:paraId="43254E02" w14:textId="77777777">
        <w:tc>
          <w:tcPr>
            <w:tcW w:w="1440" w:type="dxa"/>
          </w:tcPr>
          <w:p w14:paraId="5CD056FC" w14:textId="77777777" w:rsidR="00A82ED9" w:rsidRDefault="00000000">
            <w:r>
              <w:rPr>
                <w:rFonts w:eastAsia="Times New Roman" w:cs="Times New Roman"/>
                <w:b/>
                <w:sz w:val="18"/>
              </w:rPr>
              <w:t>MPPT</w:t>
            </w:r>
          </w:p>
        </w:tc>
        <w:tc>
          <w:tcPr>
            <w:tcW w:w="3024" w:type="dxa"/>
          </w:tcPr>
          <w:p w14:paraId="3FA5EDAB" w14:textId="77777777" w:rsidR="00A82ED9" w:rsidRDefault="00000000">
            <w:r>
              <w:rPr>
                <w:rFonts w:eastAsia="Times New Roman" w:cs="Times New Roman"/>
                <w:sz w:val="18"/>
              </w:rPr>
              <w:t>Maximum power point tracking</w:t>
            </w:r>
          </w:p>
        </w:tc>
        <w:tc>
          <w:tcPr>
            <w:tcW w:w="1440" w:type="dxa"/>
          </w:tcPr>
          <w:p w14:paraId="5B9B9714" w14:textId="77777777" w:rsidR="00A82ED9" w:rsidRDefault="00A82ED9"/>
        </w:tc>
        <w:tc>
          <w:tcPr>
            <w:tcW w:w="3024" w:type="dxa"/>
          </w:tcPr>
          <w:p w14:paraId="7AFFD1EC" w14:textId="77777777" w:rsidR="00A82ED9" w:rsidRDefault="00A82ED9"/>
        </w:tc>
      </w:tr>
    </w:tbl>
    <w:p w14:paraId="092E8590" w14:textId="77777777" w:rsidR="00B9437C" w:rsidRDefault="00B9437C"/>
    <w:sectPr w:rsidR="00B9437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971C2A"/>
    <w:multiLevelType w:val="multilevel"/>
    <w:tmpl w:val="51B88C1A"/>
    <w:lvl w:ilvl="0">
      <w:start w:val="1"/>
      <w:numFmt w:val="decimal"/>
      <w:suff w:val="space"/>
      <w:lvlText w:val="%1."/>
      <w:lvlJc w:val="left"/>
      <w:pPr>
        <w:ind w:left="0" w:firstLine="0"/>
      </w:pPr>
      <w:rPr>
        <w:rFonts w:ascii="Times New Roman" w:hAnsi="Times New Roman" w:cs="Times New Roman"/>
        <w:b/>
        <w:sz w:val="24"/>
      </w:rPr>
    </w:lvl>
    <w:lvl w:ilvl="1">
      <w:start w:val="1"/>
      <w:numFmt w:val="decimal"/>
      <w:suff w:val="space"/>
      <w:lvlText w:val="%1.%2"/>
      <w:lvlJc w:val="left"/>
      <w:pPr>
        <w:ind w:left="0" w:firstLine="0"/>
      </w:pPr>
      <w:rPr>
        <w:rFonts w:ascii="Times New Roman" w:hAnsi="Times New Roman" w:cs="Times New Roman"/>
        <w:b/>
        <w:sz w:val="2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1021ACC"/>
    <w:multiLevelType w:val="multilevel"/>
    <w:tmpl w:val="5EC65A48"/>
    <w:lvl w:ilvl="0">
      <w:start w:val="1"/>
      <w:numFmt w:val="decimal"/>
      <w:lvlText w:val="%1."/>
      <w:lvlJc w:val="left"/>
      <w:pPr>
        <w:ind w:left="360" w:hanging="360"/>
      </w:pPr>
      <w:rPr>
        <w:rFonts w:ascii="Times New Roman" w:hAnsi="Times New Roman" w:cs="Times New Roman"/>
        <w:sz w:val="24"/>
      </w:rPr>
    </w:lvl>
    <w:lvl w:ilvl="1">
      <w:start w:val="1"/>
      <w:numFmt w:val="lowerLetter"/>
      <w:lvlText w:val="%2."/>
      <w:lvlJc w:val="left"/>
      <w:pPr>
        <w:ind w:left="720" w:hanging="360"/>
      </w:pPr>
      <w:rPr>
        <w:rFonts w:ascii="Times New Roman" w:hAnsi="Times New Roman" w:cs="Times New Roman"/>
        <w:sz w:val="24"/>
      </w:rPr>
    </w:lvl>
    <w:lvl w:ilvl="2">
      <w:start w:val="1"/>
      <w:numFmt w:val="lowerRoman"/>
      <w:lvlText w:val="%3."/>
      <w:lvlJc w:val="left"/>
      <w:pPr>
        <w:ind w:left="1080" w:hanging="360"/>
      </w:pPr>
      <w:rPr>
        <w:rFonts w:ascii="Times New Roman" w:hAnsi="Times New Roman" w:cs="Times New Roman"/>
        <w:sz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53C0885"/>
    <w:multiLevelType w:val="multilevel"/>
    <w:tmpl w:val="F80CAB68"/>
    <w:lvl w:ilvl="0">
      <w:start w:val="1"/>
      <w:numFmt w:val="decimal"/>
      <w:lvlText w:val="[%1]"/>
      <w:lvlJc w:val="left"/>
      <w:pPr>
        <w:tabs>
          <w:tab w:val="num" w:pos="648"/>
        </w:tabs>
        <w:ind w:left="648" w:hanging="648"/>
      </w:pPr>
      <w:rPr>
        <w:rFonts w:ascii="Times New Roman" w:hAnsi="Times New Roman" w:cs="Times New Roman"/>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0922805">
    <w:abstractNumId w:val="8"/>
  </w:num>
  <w:num w:numId="2" w16cid:durableId="1427187929">
    <w:abstractNumId w:val="6"/>
  </w:num>
  <w:num w:numId="3" w16cid:durableId="1199973770">
    <w:abstractNumId w:val="5"/>
  </w:num>
  <w:num w:numId="4" w16cid:durableId="1078945921">
    <w:abstractNumId w:val="4"/>
  </w:num>
  <w:num w:numId="5" w16cid:durableId="2097356265">
    <w:abstractNumId w:val="7"/>
  </w:num>
  <w:num w:numId="6" w16cid:durableId="613362170">
    <w:abstractNumId w:val="3"/>
  </w:num>
  <w:num w:numId="7" w16cid:durableId="876812682">
    <w:abstractNumId w:val="2"/>
  </w:num>
  <w:num w:numId="8" w16cid:durableId="1274173045">
    <w:abstractNumId w:val="1"/>
  </w:num>
  <w:num w:numId="9" w16cid:durableId="746071453">
    <w:abstractNumId w:val="0"/>
  </w:num>
  <w:num w:numId="10" w16cid:durableId="1326711963">
    <w:abstractNumId w:val="7"/>
    <w:lvlOverride w:ilvl="0">
      <w:startOverride w:val="1"/>
    </w:lvlOverride>
  </w:num>
  <w:num w:numId="11" w16cid:durableId="1984891550">
    <w:abstractNumId w:val="7"/>
    <w:lvlOverride w:ilvl="0">
      <w:startOverride w:val="1"/>
    </w:lvlOverride>
  </w:num>
  <w:num w:numId="12" w16cid:durableId="2007782593">
    <w:abstractNumId w:val="9"/>
    <w:lvlOverride w:ilvl="0">
      <w:startOverride w:val="1"/>
    </w:lvlOverride>
  </w:num>
  <w:num w:numId="13" w16cid:durableId="1641153540">
    <w:abstractNumId w:val="10"/>
    <w:lvlOverride w:ilvl="0">
      <w:startOverride w:val="1"/>
    </w:lvlOverride>
  </w:num>
  <w:num w:numId="14" w16cid:durableId="624045049">
    <w:abstractNumId w:val="10"/>
    <w:lvlOverride w:ilvl="0">
      <w:startOverride w:val="1"/>
    </w:lvlOverride>
  </w:num>
  <w:num w:numId="15" w16cid:durableId="917251580">
    <w:abstractNumId w:val="10"/>
    <w:lvlOverride w:ilvl="0">
      <w:startOverride w:val="4"/>
    </w:lvlOverride>
  </w:num>
  <w:num w:numId="16" w16cid:durableId="744687240">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D48"/>
    <w:rsid w:val="00860236"/>
    <w:rsid w:val="00870D9B"/>
    <w:rsid w:val="00A82ED9"/>
    <w:rsid w:val="00AA1D8D"/>
    <w:rsid w:val="00B47730"/>
    <w:rsid w:val="00B6405C"/>
    <w:rsid w:val="00B9437C"/>
    <w:rsid w:val="00CB0664"/>
    <w:rsid w:val="00FC693F"/>
    <w:rsid w:val="00FE19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90B3A"/>
  <w14:defaultImageDpi w14:val="300"/>
  <w15:docId w15:val="{7A1B971C-DFCB-4522-96D2-F57453B6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rFonts w:eastAsia="Times New Roman" w:cs="Times New Roman"/>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eastAsia="Times New Roman" w:cs="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11021</Words>
  <Characters>62825</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Niranjan Kolpe</cp:lastModifiedBy>
  <cp:revision>4</cp:revision>
  <dcterms:created xsi:type="dcterms:W3CDTF">2013-12-23T23:15:00Z</dcterms:created>
  <dcterms:modified xsi:type="dcterms:W3CDTF">2026-10-19T09:25:00Z</dcterms:modified>
  <cp:category/>
</cp:coreProperties>
</file>