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9488"/>
          <w:sz w:val="26"/>
        </w:rPr>
        <w:t>DEPARTMENT OF COMPUTER SCIENCE &amp; ENGINEERING (AI &amp; ML)</w:t>
        <w:br/>
      </w:r>
      <w:r>
        <w:rPr>
          <w:rFonts w:ascii="Calibri" w:hAnsi="Calibri"/>
          <w:color w:val="4B5563"/>
          <w:sz w:val="20"/>
        </w:rPr>
        <w:t>ACADEMIC PROJECT REPORT | SEMESTER 3</w:t>
        <w:br/>
        <w:t>ACADEMIC YEAR 2026 – 2027</w:t>
      </w:r>
    </w:p>
    <w:p>
      <w:r>
        <w:br/>
        <w:br/>
      </w:r>
    </w:p>
    <w:p>
      <w:pPr>
        <w:jc w:val="center"/>
      </w:pPr>
      <w:r>
        <w:rPr>
          <w:rFonts w:ascii="Arial" w:hAnsi="Arial"/>
          <w:b/>
          <w:color w:val="1E3A8A"/>
          <w:sz w:val="56"/>
        </w:rPr>
        <w:t>CarePulse Memorial Hospital</w:t>
      </w:r>
    </w:p>
    <w:p>
      <w:pPr>
        <w:jc w:val="center"/>
      </w:pPr>
      <w:r>
        <w:rPr>
          <w:rFonts w:ascii="Calibri" w:hAnsi="Calibri"/>
          <w:i/>
          <w:color w:val="0D9488"/>
          <w:sz w:val="26"/>
        </w:rPr>
        <w:t>AI-Assisted Outpatient Triage &amp; Appointment Management System</w:t>
        <w:br/>
        <w:t>Engineered via Disciplined Prompt Architecture &amp; Zero-Bloat Web Standards</w:t>
      </w:r>
    </w:p>
    <w:p>
      <w:r>
        <w:br/>
        <w:br/>
        <w:br/>
      </w:r>
    </w:p>
    <w:tbl>
      <w:tblPr>
        <w:tblW w:type="auto" w:w="0"/>
        <w:jc w:val="center"/>
        <w:tblLook w:firstColumn="1" w:firstRow="1" w:lastColumn="0" w:lastRow="0" w:noHBand="0" w:noVBand="1" w:val="04A0"/>
      </w:tblPr>
      <w:tblGrid>
        <w:gridCol w:w="4680"/>
        <w:gridCol w:w="4680"/>
      </w:tblGrid>
      <w:tr>
        <w:tc>
          <w:tcPr>
            <w:tcW w:type="dxa" w:w="3600"/>
          </w:tcPr>
          <w:p>
            <w:r>
              <w:rPr>
                <w:b/>
                <w:color w:val="1E3A8A"/>
                <w:sz w:val="22"/>
              </w:rPr>
              <w:t>Candidate Name:</w:t>
            </w:r>
          </w:p>
        </w:tc>
        <w:tc>
          <w:tcPr>
            <w:tcW w:type="dxa" w:w="5040"/>
          </w:tcPr>
          <w:p>
            <w:r>
              <w:rPr>
                <w:b/>
                <w:color w:val="1F2937"/>
                <w:sz w:val="22"/>
              </w:rPr>
              <w:t>Mungra Mihir</w:t>
            </w:r>
          </w:p>
        </w:tc>
      </w:tr>
      <w:tr>
        <w:tc>
          <w:tcPr>
            <w:tcW w:type="dxa" w:w="3600"/>
          </w:tcPr>
          <w:p>
            <w:r>
              <w:rPr>
                <w:b/>
                <w:color w:val="1E3A8A"/>
                <w:sz w:val="22"/>
              </w:rPr>
              <w:t>Enrollment Number:</w:t>
            </w:r>
          </w:p>
        </w:tc>
        <w:tc>
          <w:tcPr>
            <w:tcW w:type="dxa" w:w="5040"/>
          </w:tcPr>
          <w:p>
            <w:r>
              <w:rPr>
                <w:color w:val="1F2937"/>
                <w:sz w:val="22"/>
              </w:rPr>
              <w:t>92600118810</w:t>
            </w:r>
          </w:p>
        </w:tc>
      </w:tr>
      <w:tr>
        <w:tc>
          <w:tcPr>
            <w:tcW w:type="dxa" w:w="3600"/>
          </w:tcPr>
          <w:p>
            <w:r>
              <w:rPr>
                <w:b/>
                <w:color w:val="1E3A8A"/>
                <w:sz w:val="22"/>
              </w:rPr>
              <w:t>Academic Division:</w:t>
            </w:r>
          </w:p>
        </w:tc>
        <w:tc>
          <w:tcPr>
            <w:tcW w:type="dxa" w:w="5040"/>
          </w:tcPr>
          <w:p>
            <w:r>
              <w:rPr>
                <w:color w:val="1F2937"/>
                <w:sz w:val="22"/>
              </w:rPr>
              <w:t>3EN23</w:t>
            </w:r>
          </w:p>
        </w:tc>
      </w:tr>
      <w:tr>
        <w:tc>
          <w:tcPr>
            <w:tcW w:type="dxa" w:w="3600"/>
          </w:tcPr>
          <w:p>
            <w:r>
              <w:rPr>
                <w:b/>
                <w:color w:val="1E3A8A"/>
                <w:sz w:val="22"/>
              </w:rPr>
              <w:t>Course &amp; Specialization:</w:t>
            </w:r>
          </w:p>
        </w:tc>
        <w:tc>
          <w:tcPr>
            <w:tcW w:type="dxa" w:w="5040"/>
          </w:tcPr>
          <w:p>
            <w:r>
              <w:rPr>
                <w:color w:val="1F2937"/>
                <w:sz w:val="22"/>
              </w:rPr>
              <w:t>B.Tech Computer Science &amp; Engineering (AI/ML)</w:t>
            </w:r>
          </w:p>
        </w:tc>
      </w:tr>
    </w:tbl>
    <w:p>
      <w:r>
        <w:br/>
        <w:br/>
        <w:br/>
        <w:br/>
      </w:r>
    </w:p>
    <w:p>
      <w:pPr>
        <w:jc w:val="center"/>
      </w:pPr>
      <w:r>
        <w:rPr>
          <w:color w:val="4B5563"/>
          <w:sz w:val="20"/>
        </w:rPr>
        <w:t xml:space="preserve">Live Prototype Deployment: </w:t>
      </w:r>
      <w:r>
        <w:rPr>
          <w:b/>
          <w:color w:val="0D9488"/>
          <w:sz w:val="20"/>
        </w:rPr>
        <w:t>https://careplusehospital.netlify.app/</w:t>
      </w:r>
    </w:p>
    <w:p>
      <w:r>
        <w:br w:type="page"/>
      </w:r>
    </w:p>
    <w:p>
      <w:r>
        <w:rPr>
          <w:rFonts w:ascii="Arial" w:hAnsi="Arial"/>
          <w:b/>
          <w:color w:val="1E3A8A"/>
          <w:sz w:val="36"/>
        </w:rPr>
        <w:t>Certificate of Bonafide Work</w:t>
      </w:r>
    </w:p>
    <w:p>
      <w:pPr>
        <w:spacing w:line="300" w:lineRule="auto" w:after="240"/>
      </w:pPr>
      <w:r>
        <w:t>This is to certify that the project report entitled "CarePulse Memorial Hospital: AI-Assisted Outpatient Triage &amp; Appointment Management System" submitted by Mungra Mihir (Enrollment No.: 92600118810, Division: 3EN23) represents an authentic, bonafide record of academic project work completed under our guidance and supervision during Semester 3 of the B.Tech Computer Science &amp; Engineering (AI/ML) curriculum.</w:t>
      </w:r>
    </w:p>
    <w:p>
      <w:r>
        <w:t>The results, prompt engineering artifacts, state machine architectures, and software interfaces documented within this submission have been verified for original implementation, academic rigor, and adherence to prescribed laboratory guidelines.</w:t>
      </w:r>
    </w:p>
    <w:p>
      <w:r>
        <w:br/>
        <w:br/>
        <w:br/>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color w:val="1F2937"/>
                <w:sz w:val="19"/>
              </w:rPr>
              <w:t>_____________________</w:t>
              <w:br/>
              <w:t>Project Guide / Faculty Mentor</w:t>
              <w:br/>
              <w:t>Dept. of CSE (AI/ML)</w:t>
            </w:r>
          </w:p>
        </w:tc>
        <w:tc>
          <w:tcPr>
            <w:tcW w:type="dxa" w:w="3120"/>
          </w:tcPr>
          <w:p>
            <w:pPr>
              <w:jc w:val="center"/>
            </w:pPr>
            <w:r>
              <w:rPr>
                <w:color w:val="1F2937"/>
                <w:sz w:val="19"/>
              </w:rPr>
              <w:t>_____________________</w:t>
              <w:br/>
              <w:t>Head of Department</w:t>
              <w:br/>
              <w:t>Dept. of CSE (AI/ML)</w:t>
            </w:r>
          </w:p>
        </w:tc>
        <w:tc>
          <w:tcPr>
            <w:tcW w:type="dxa" w:w="3120"/>
          </w:tcPr>
          <w:p>
            <w:pPr>
              <w:jc w:val="center"/>
            </w:pPr>
            <w:r>
              <w:rPr>
                <w:color w:val="1F2937"/>
                <w:sz w:val="19"/>
              </w:rPr>
              <w:t>_____________________</w:t>
              <w:br/>
              <w:t>External Examiner</w:t>
              <w:br/>
              <w:t>Academic Examination Board</w:t>
            </w:r>
          </w:p>
        </w:tc>
      </w:tr>
      <w:tr>
        <w:tc>
          <w:tcPr>
            <w:tcW w:type="dxa" w:w="3120"/>
          </w:tcPr>
          <w:p/>
        </w:tc>
        <w:tc>
          <w:tcPr>
            <w:tcW w:type="dxa" w:w="3120"/>
          </w:tcPr>
          <w:p/>
        </w:tc>
        <w:tc>
          <w:tcPr>
            <w:tcW w:type="dxa" w:w="3120"/>
          </w:tcPr>
          <w:p/>
        </w:tc>
      </w:tr>
    </w:tbl>
    <w:p>
      <w:r>
        <w:br w:type="page"/>
      </w:r>
    </w:p>
    <w:p>
      <w:r>
        <w:rPr>
          <w:rFonts w:ascii="Arial" w:hAnsi="Arial"/>
          <w:b/>
          <w:color w:val="1E3A8A"/>
          <w:sz w:val="36"/>
        </w:rPr>
        <w:t>Student Declaration &amp; Acknowledgements</w:t>
      </w:r>
    </w:p>
    <w:p>
      <w:pPr/>
      <w:r>
        <w:rPr>
          <w:b/>
        </w:rPr>
        <w:t>Declaration of Originality:</w:t>
      </w:r>
    </w:p>
    <w:p>
      <w:pPr>
        <w:spacing w:line="300" w:lineRule="auto" w:after="240"/>
      </w:pPr>
      <w:r>
        <w:t>I hereby declare that the project titled "CarePulse Memorial Hospital" is my original work developed for the Semester 3 CSE (AI/ML) course. All prompt engineering methodologies, user experience designs, verification matrices, and code integrations presented in this report were constructed without unauthorized reproduction of third-party intellectual property. Appropriate citations and credits have been furnished wherever existing frameworks, APIs, or literature were consulted.</w:t>
      </w:r>
    </w:p>
    <w:p>
      <w:pPr>
        <w:jc w:val="right"/>
      </w:pPr>
      <w:r>
        <w:rPr>
          <w:b/>
          <w:color w:val="1E3A8A"/>
        </w:rPr>
        <w:t>Mungra Mihir</w:t>
        <w:br/>
        <w:t>Enrollment No.: 92600118810</w:t>
        <w:br/>
        <w:t>Division: 3EN23</w:t>
      </w:r>
    </w:p>
    <w:p>
      <w:pPr/>
      <w:r>
        <w:rPr>
          <w:b/>
        </w:rPr>
        <w:br/>
        <w:t>Acknowledgements:</w:t>
      </w:r>
    </w:p>
    <w:p>
      <w:pPr>
        <w:spacing w:line="300" w:lineRule="auto"/>
      </w:pPr>
      <w:r>
        <w:t>I express my deepest gratitude to our faculty mentors, laboratory coordinators, and the Department of Computer Science &amp; Engineering (AI/ML) for providing an intellectually stimulating environment and the requisite technical support. I also express my sincere appreciation to the Google DeepMind &amp; Gemini developer teams for making cutting-edge agentic reasoning systems accessible for engineering education. Finally, I extend my heartfelt thanks to my family, peers, and evaluators whose insightful critiques substantially refined the clinical safety boundaries and architectural robustness of this application.</w:t>
      </w:r>
    </w:p>
    <w:p>
      <w:r>
        <w:br w:type="page"/>
      </w:r>
    </w:p>
    <w:p>
      <w:r>
        <w:rPr>
          <w:rFonts w:ascii="Arial" w:hAnsi="Arial"/>
          <w:b/>
          <w:color w:val="1E3A8A"/>
          <w:sz w:val="36"/>
        </w:rPr>
        <w:t>Executive Abstract</w:t>
      </w:r>
    </w:p>
    <w:p>
      <w:pPr>
        <w:spacing w:line="300" w:lineRule="auto" w:after="160"/>
      </w:pPr>
      <w:r>
        <w:t>Modern outpatient healthcare systems face two interrelated structural dilemmas: excruciating waiting room delays and chronic specialty misallocation. In typical clinical practices, patients frequently wait upwards of three hours only to receive a six-minute consultation with an incorrect specialist due to colloquial symptom descriptions that do not align with formalized medical taxonomy. Furthermore, conventional digital appointment forms act as passive input spreadsheets, lacking the clinical intelligence to identify acute red-flag symptoms such as myocardial infarctions or cerebrovascular accidents, thereby scheduling routine appointments for emergencies that demand immediate intervention.</w:t>
      </w:r>
    </w:p>
    <w:p>
      <w:pPr>
        <w:spacing w:line="300" w:lineRule="auto" w:after="160"/>
      </w:pPr>
      <w:r>
        <w:t>This project introduces CarePulse Memorial Hospital, an AI-assisted multi-page outpatient triage and appointment management web application engineered specifically to solve these bottlenecks. Rather than relying on heavyweight JavaScript dependencies or complex server configurations, CarePulse was constructed through disciplined Prompt Engineering methodologies using the Gemini 3.8 / Antigravity Agent. By employing structured Role Framing, Task Decomposition, Few-Shot Exemplars, Chain-of-Thought (CoT) reasoning traces, and Negative Constraints, the development team directed the AI to generate a resilient, WCAG 2.1 AA accessible, 7-page prototype running on pure HTML5, vanilla CSS3 variables, ES6+ JavaScript, and bi-directional browser localStorage state synchronization.</w:t>
      </w:r>
    </w:p>
    <w:p>
      <w:pPr>
        <w:spacing w:line="300" w:lineRule="auto"/>
      </w:pPr>
      <w:r>
        <w:t>The system incorporates an autonomous clinical symptom triage engine (AuraCare AI) equipped with a deterministic red-flag keyword interceptor, a 4-step consultative booking wizard with dynamic time slot generation, a scannable digital appointment slip with barcode rendering, and a synchronized doctor's clinical queue console. Rigorous edge-case testing demonstrated zero false-negative classifications on acute medical emergencies, flawless inter-portal state synchronization, and zero installation barrier. The resulting system illustrates how human-in-the-loop prompt architecture transforms generative AI from a naive code synthesis tool into an enterprise-grade clinical software engineering collaborator.</w:t>
      </w:r>
    </w:p>
    <w:p>
      <w:r>
        <w:rPr>
          <w:b/>
          <w:color w:val="1E3A8A"/>
        </w:rPr>
        <w:t xml:space="preserve">Keywords: </w:t>
      </w:r>
      <w:r>
        <w:rPr>
          <w:i/>
        </w:rPr>
        <w:t>Healthcare Informatics, Prompt Engineering, AuraCare AI, Outpatient Triage, Chain-of-Thought Reasoning, Zero-Bloat Web Engineering, Vanilla JavaScript.</w:t>
      </w:r>
    </w:p>
    <w:p>
      <w:r>
        <w:br w:type="page"/>
      </w:r>
    </w:p>
    <w:p>
      <w:r>
        <w:rPr>
          <w:rFonts w:ascii="Arial" w:hAnsi="Arial"/>
          <w:b/>
          <w:color w:val="1E3A8A"/>
          <w:sz w:val="36"/>
        </w:rPr>
        <w:t>Table of Contents</w:t>
      </w:r>
    </w:p>
    <w:tbl>
      <w:tblPr>
        <w:tblW w:type="auto" w:w="0"/>
        <w:jc w:val="center"/>
        <w:tblLook w:firstColumn="1" w:firstRow="1" w:lastColumn="0" w:lastRow="0" w:noHBand="0" w:noVBand="1" w:val="04A0"/>
      </w:tblPr>
      <w:tblGrid>
        <w:gridCol w:w="4680"/>
        <w:gridCol w:w="4680"/>
      </w:tblGrid>
      <w:tr>
        <w:tc>
          <w:tcPr>
            <w:tcW w:type="dxa" w:w="7920"/>
          </w:tcPr>
          <w:p>
            <w:pPr>
              <w:spacing w:after="40"/>
            </w:pPr>
            <w:r>
              <w:rPr>
                <w:b/>
                <w:color w:val="1E3A8A"/>
                <w:sz w:val="20"/>
              </w:rPr>
              <w:t>1. Introduction &amp; Contextual Background</w:t>
            </w:r>
          </w:p>
        </w:tc>
        <w:tc>
          <w:tcPr>
            <w:tcW w:type="dxa" w:w="1152"/>
          </w:tcPr>
          <w:p>
            <w:pPr>
              <w:spacing w:after="40"/>
              <w:jc w:val="right"/>
            </w:pPr>
            <w:r>
              <w:rPr>
                <w:color w:val="4B5563"/>
                <w:sz w:val="20"/>
              </w:rPr>
              <w:t>1</w:t>
            </w:r>
          </w:p>
        </w:tc>
      </w:tr>
      <w:tr>
        <w:tc>
          <w:tcPr>
            <w:tcW w:type="dxa" w:w="7920"/>
          </w:tcPr>
          <w:p>
            <w:pPr>
              <w:spacing w:after="40"/>
            </w:pPr>
            <w:r>
              <w:rPr>
                <w:color w:val="1F2937"/>
                <w:sz w:val="20"/>
              </w:rPr>
              <w:t xml:space="preserve">    1.1 The Outpatient Waiting Room Crisis</w:t>
            </w:r>
          </w:p>
        </w:tc>
        <w:tc>
          <w:tcPr>
            <w:tcW w:type="dxa" w:w="1152"/>
          </w:tcPr>
          <w:p>
            <w:pPr>
              <w:spacing w:after="40"/>
              <w:jc w:val="right"/>
            </w:pPr>
            <w:r>
              <w:rPr>
                <w:color w:val="4B5563"/>
                <w:sz w:val="20"/>
              </w:rPr>
              <w:t>1</w:t>
            </w:r>
          </w:p>
        </w:tc>
      </w:tr>
      <w:tr>
        <w:tc>
          <w:tcPr>
            <w:tcW w:type="dxa" w:w="7920"/>
          </w:tcPr>
          <w:p>
            <w:pPr>
              <w:spacing w:after="40"/>
            </w:pPr>
            <w:r>
              <w:rPr>
                <w:color w:val="1F2937"/>
                <w:sz w:val="20"/>
              </w:rPr>
              <w:t xml:space="preserve">    1.2 The Dilemma of Specialty Misallocation</w:t>
            </w:r>
          </w:p>
        </w:tc>
        <w:tc>
          <w:tcPr>
            <w:tcW w:type="dxa" w:w="1152"/>
          </w:tcPr>
          <w:p>
            <w:pPr>
              <w:spacing w:after="40"/>
              <w:jc w:val="right"/>
            </w:pPr>
            <w:r>
              <w:rPr>
                <w:color w:val="4B5563"/>
                <w:sz w:val="20"/>
              </w:rPr>
              <w:t>1</w:t>
            </w:r>
          </w:p>
        </w:tc>
      </w:tr>
      <w:tr>
        <w:tc>
          <w:tcPr>
            <w:tcW w:type="dxa" w:w="7920"/>
          </w:tcPr>
          <w:p>
            <w:pPr>
              <w:spacing w:after="40"/>
            </w:pPr>
            <w:r>
              <w:rPr>
                <w:color w:val="1F2937"/>
                <w:sz w:val="20"/>
              </w:rPr>
              <w:t xml:space="preserve">    1.3 The Fatal Flaw of Passive Digital Forms</w:t>
            </w:r>
          </w:p>
        </w:tc>
        <w:tc>
          <w:tcPr>
            <w:tcW w:type="dxa" w:w="1152"/>
          </w:tcPr>
          <w:p>
            <w:pPr>
              <w:spacing w:after="40"/>
              <w:jc w:val="right"/>
            </w:pPr>
            <w:r>
              <w:rPr>
                <w:color w:val="4B5563"/>
                <w:sz w:val="20"/>
              </w:rPr>
              <w:t>2</w:t>
            </w:r>
          </w:p>
        </w:tc>
      </w:tr>
      <w:tr>
        <w:tc>
          <w:tcPr>
            <w:tcW w:type="dxa" w:w="7920"/>
          </w:tcPr>
          <w:p>
            <w:pPr>
              <w:spacing w:after="40"/>
            </w:pPr>
            <w:r>
              <w:rPr>
                <w:color w:val="1F2937"/>
                <w:sz w:val="20"/>
              </w:rPr>
              <w:t xml:space="preserve">    1.4 Project Philosophy: Prompt Engineering as an Architectural Tool</w:t>
            </w:r>
          </w:p>
        </w:tc>
        <w:tc>
          <w:tcPr>
            <w:tcW w:type="dxa" w:w="1152"/>
          </w:tcPr>
          <w:p>
            <w:pPr>
              <w:spacing w:after="40"/>
              <w:jc w:val="right"/>
            </w:pPr>
            <w:r>
              <w:rPr>
                <w:color w:val="4B5563"/>
                <w:sz w:val="20"/>
              </w:rPr>
              <w:t>2</w:t>
            </w:r>
          </w:p>
        </w:tc>
      </w:tr>
      <w:tr>
        <w:tc>
          <w:tcPr>
            <w:tcW w:type="dxa" w:w="7920"/>
          </w:tcPr>
          <w:p>
            <w:pPr>
              <w:spacing w:after="40"/>
            </w:pPr>
            <w:r>
              <w:rPr>
                <w:b/>
                <w:color w:val="1E3A8A"/>
                <w:sz w:val="20"/>
              </w:rPr>
              <w:t>2. Target User Analysis &amp; Empathy Mapping</w:t>
            </w:r>
          </w:p>
        </w:tc>
        <w:tc>
          <w:tcPr>
            <w:tcW w:type="dxa" w:w="1152"/>
          </w:tcPr>
          <w:p>
            <w:pPr>
              <w:spacing w:after="40"/>
              <w:jc w:val="right"/>
            </w:pPr>
            <w:r>
              <w:rPr>
                <w:color w:val="4B5563"/>
                <w:sz w:val="20"/>
              </w:rPr>
              <w:t>3</w:t>
            </w:r>
          </w:p>
        </w:tc>
      </w:tr>
      <w:tr>
        <w:tc>
          <w:tcPr>
            <w:tcW w:type="dxa" w:w="7920"/>
          </w:tcPr>
          <w:p>
            <w:pPr>
              <w:spacing w:after="40"/>
            </w:pPr>
            <w:r>
              <w:rPr>
                <w:color w:val="1F2937"/>
                <w:sz w:val="20"/>
              </w:rPr>
              <w:t xml:space="preserve">    2.1 Clinical User Personas</w:t>
            </w:r>
          </w:p>
        </w:tc>
        <w:tc>
          <w:tcPr>
            <w:tcW w:type="dxa" w:w="1152"/>
          </w:tcPr>
          <w:p>
            <w:pPr>
              <w:spacing w:after="40"/>
              <w:jc w:val="right"/>
            </w:pPr>
            <w:r>
              <w:rPr>
                <w:color w:val="4B5563"/>
                <w:sz w:val="20"/>
              </w:rPr>
              <w:t>3</w:t>
            </w:r>
          </w:p>
        </w:tc>
      </w:tr>
      <w:tr>
        <w:tc>
          <w:tcPr>
            <w:tcW w:type="dxa" w:w="7920"/>
          </w:tcPr>
          <w:p>
            <w:pPr>
              <w:spacing w:after="40"/>
            </w:pPr>
            <w:r>
              <w:rPr>
                <w:color w:val="1F2937"/>
                <w:sz w:val="20"/>
              </w:rPr>
              <w:t xml:space="preserve">    2.2 Comprehensive User Matrix &amp; Psychological Realities</w:t>
            </w:r>
          </w:p>
        </w:tc>
        <w:tc>
          <w:tcPr>
            <w:tcW w:type="dxa" w:w="1152"/>
          </w:tcPr>
          <w:p>
            <w:pPr>
              <w:spacing w:after="40"/>
              <w:jc w:val="right"/>
            </w:pPr>
            <w:r>
              <w:rPr>
                <w:color w:val="4B5563"/>
                <w:sz w:val="20"/>
              </w:rPr>
              <w:t>3</w:t>
            </w:r>
          </w:p>
        </w:tc>
      </w:tr>
      <w:tr>
        <w:tc>
          <w:tcPr>
            <w:tcW w:type="dxa" w:w="7920"/>
          </w:tcPr>
          <w:p>
            <w:pPr>
              <w:spacing w:after="40"/>
            </w:pPr>
            <w:r>
              <w:rPr>
                <w:color w:val="1F2937"/>
                <w:sz w:val="20"/>
              </w:rPr>
              <w:t xml:space="preserve">    2.3 Patient Journey &amp; Triage Interception Workflow</w:t>
            </w:r>
          </w:p>
        </w:tc>
        <w:tc>
          <w:tcPr>
            <w:tcW w:type="dxa" w:w="1152"/>
          </w:tcPr>
          <w:p>
            <w:pPr>
              <w:spacing w:after="40"/>
              <w:jc w:val="right"/>
            </w:pPr>
            <w:r>
              <w:rPr>
                <w:color w:val="4B5563"/>
                <w:sz w:val="20"/>
              </w:rPr>
              <w:t>4</w:t>
            </w:r>
          </w:p>
        </w:tc>
      </w:tr>
      <w:tr>
        <w:tc>
          <w:tcPr>
            <w:tcW w:type="dxa" w:w="7920"/>
          </w:tcPr>
          <w:p>
            <w:pPr>
              <w:spacing w:after="40"/>
            </w:pPr>
            <w:r>
              <w:rPr>
                <w:b/>
                <w:color w:val="1E3A8A"/>
                <w:sz w:val="20"/>
              </w:rPr>
              <w:t>3. Technological Architecture &amp; Tool Evaluation</w:t>
            </w:r>
          </w:p>
        </w:tc>
        <w:tc>
          <w:tcPr>
            <w:tcW w:type="dxa" w:w="1152"/>
          </w:tcPr>
          <w:p>
            <w:pPr>
              <w:spacing w:after="40"/>
              <w:jc w:val="right"/>
            </w:pPr>
            <w:r>
              <w:rPr>
                <w:color w:val="4B5563"/>
                <w:sz w:val="20"/>
              </w:rPr>
              <w:t>5</w:t>
            </w:r>
          </w:p>
        </w:tc>
      </w:tr>
      <w:tr>
        <w:tc>
          <w:tcPr>
            <w:tcW w:type="dxa" w:w="7920"/>
          </w:tcPr>
          <w:p>
            <w:pPr>
              <w:spacing w:after="40"/>
            </w:pPr>
            <w:r>
              <w:rPr>
                <w:color w:val="1F2937"/>
                <w:sz w:val="20"/>
              </w:rPr>
              <w:t xml:space="preserve">    3.1 Rejection of Framework Bloat: The Zero-Dependency Doctrine</w:t>
            </w:r>
          </w:p>
        </w:tc>
        <w:tc>
          <w:tcPr>
            <w:tcW w:type="dxa" w:w="1152"/>
          </w:tcPr>
          <w:p>
            <w:pPr>
              <w:spacing w:after="40"/>
              <w:jc w:val="right"/>
            </w:pPr>
            <w:r>
              <w:rPr>
                <w:color w:val="4B5563"/>
                <w:sz w:val="20"/>
              </w:rPr>
              <w:t>5</w:t>
            </w:r>
          </w:p>
        </w:tc>
      </w:tr>
      <w:tr>
        <w:tc>
          <w:tcPr>
            <w:tcW w:type="dxa" w:w="7920"/>
          </w:tcPr>
          <w:p>
            <w:pPr>
              <w:spacing w:after="40"/>
            </w:pPr>
            <w:r>
              <w:rPr>
                <w:color w:val="1F2937"/>
                <w:sz w:val="20"/>
              </w:rPr>
              <w:t xml:space="preserve">    3.2 Comparative Evaluation Matrix of Selected Tools</w:t>
            </w:r>
          </w:p>
        </w:tc>
        <w:tc>
          <w:tcPr>
            <w:tcW w:type="dxa" w:w="1152"/>
          </w:tcPr>
          <w:p>
            <w:pPr>
              <w:spacing w:after="40"/>
              <w:jc w:val="right"/>
            </w:pPr>
            <w:r>
              <w:rPr>
                <w:color w:val="4B5563"/>
                <w:sz w:val="20"/>
              </w:rPr>
              <w:t>5</w:t>
            </w:r>
          </w:p>
        </w:tc>
      </w:tr>
      <w:tr>
        <w:tc>
          <w:tcPr>
            <w:tcW w:type="dxa" w:w="7920"/>
          </w:tcPr>
          <w:p>
            <w:pPr>
              <w:spacing w:after="40"/>
            </w:pPr>
            <w:r>
              <w:rPr>
                <w:color w:val="1F2937"/>
                <w:sz w:val="20"/>
              </w:rPr>
              <w:t xml:space="preserve">    3.3 Client-Side Persistence Protocol &amp; LocalStorage Synchronization</w:t>
            </w:r>
          </w:p>
        </w:tc>
        <w:tc>
          <w:tcPr>
            <w:tcW w:type="dxa" w:w="1152"/>
          </w:tcPr>
          <w:p>
            <w:pPr>
              <w:spacing w:after="40"/>
              <w:jc w:val="right"/>
            </w:pPr>
            <w:r>
              <w:rPr>
                <w:color w:val="4B5563"/>
                <w:sz w:val="20"/>
              </w:rPr>
              <w:t>6</w:t>
            </w:r>
          </w:p>
        </w:tc>
      </w:tr>
      <w:tr>
        <w:tc>
          <w:tcPr>
            <w:tcW w:type="dxa" w:w="7920"/>
          </w:tcPr>
          <w:p>
            <w:pPr>
              <w:spacing w:after="40"/>
            </w:pPr>
            <w:r>
              <w:rPr>
                <w:b/>
                <w:color w:val="1E3A8A"/>
                <w:sz w:val="20"/>
              </w:rPr>
              <w:t>4. Prompt Engineering Methodology &amp; Development Lifecycle</w:t>
            </w:r>
          </w:p>
        </w:tc>
        <w:tc>
          <w:tcPr>
            <w:tcW w:type="dxa" w:w="1152"/>
          </w:tcPr>
          <w:p>
            <w:pPr>
              <w:spacing w:after="40"/>
              <w:jc w:val="right"/>
            </w:pPr>
            <w:r>
              <w:rPr>
                <w:color w:val="4B5563"/>
                <w:sz w:val="20"/>
              </w:rPr>
              <w:t>7</w:t>
            </w:r>
          </w:p>
        </w:tc>
      </w:tr>
      <w:tr>
        <w:tc>
          <w:tcPr>
            <w:tcW w:type="dxa" w:w="7920"/>
          </w:tcPr>
          <w:p>
            <w:pPr>
              <w:spacing w:after="40"/>
            </w:pPr>
            <w:r>
              <w:rPr>
                <w:color w:val="1F2937"/>
                <w:sz w:val="20"/>
              </w:rPr>
              <w:t xml:space="preserve">    4.1 Phase 1: Problem Space Analysis &amp; Scope Bounding</w:t>
            </w:r>
          </w:p>
        </w:tc>
        <w:tc>
          <w:tcPr>
            <w:tcW w:type="dxa" w:w="1152"/>
          </w:tcPr>
          <w:p>
            <w:pPr>
              <w:spacing w:after="40"/>
              <w:jc w:val="right"/>
            </w:pPr>
            <w:r>
              <w:rPr>
                <w:color w:val="4B5563"/>
                <w:sz w:val="20"/>
              </w:rPr>
              <w:t>7</w:t>
            </w:r>
          </w:p>
        </w:tc>
      </w:tr>
      <w:tr>
        <w:tc>
          <w:tcPr>
            <w:tcW w:type="dxa" w:w="7920"/>
          </w:tcPr>
          <w:p>
            <w:pPr>
              <w:spacing w:after="40"/>
            </w:pPr>
            <w:r>
              <w:rPr>
                <w:color w:val="1F2937"/>
                <w:sz w:val="20"/>
              </w:rPr>
              <w:t xml:space="preserve">    4.2 Phase 2: Requirements Specification &amp; JSON Data Contracts</w:t>
            </w:r>
          </w:p>
        </w:tc>
        <w:tc>
          <w:tcPr>
            <w:tcW w:type="dxa" w:w="1152"/>
          </w:tcPr>
          <w:p>
            <w:pPr>
              <w:spacing w:after="40"/>
              <w:jc w:val="right"/>
            </w:pPr>
            <w:r>
              <w:rPr>
                <w:color w:val="4B5563"/>
                <w:sz w:val="20"/>
              </w:rPr>
              <w:t>8</w:t>
            </w:r>
          </w:p>
        </w:tc>
      </w:tr>
      <w:tr>
        <w:tc>
          <w:tcPr>
            <w:tcW w:type="dxa" w:w="7920"/>
          </w:tcPr>
          <w:p>
            <w:pPr>
              <w:spacing w:after="40"/>
            </w:pPr>
            <w:r>
              <w:rPr>
                <w:color w:val="1F2937"/>
                <w:sz w:val="20"/>
              </w:rPr>
              <w:t xml:space="preserve">    4.3 Phase 3: WCAG 2.1 AA UI/UX &amp; Design System Constraints</w:t>
            </w:r>
          </w:p>
        </w:tc>
        <w:tc>
          <w:tcPr>
            <w:tcW w:type="dxa" w:w="1152"/>
          </w:tcPr>
          <w:p>
            <w:pPr>
              <w:spacing w:after="40"/>
              <w:jc w:val="right"/>
            </w:pPr>
            <w:r>
              <w:rPr>
                <w:color w:val="4B5563"/>
                <w:sz w:val="20"/>
              </w:rPr>
              <w:t>9</w:t>
            </w:r>
          </w:p>
        </w:tc>
      </w:tr>
      <w:tr>
        <w:tc>
          <w:tcPr>
            <w:tcW w:type="dxa" w:w="7920"/>
          </w:tcPr>
          <w:p>
            <w:pPr>
              <w:spacing w:after="40"/>
            </w:pPr>
            <w:r>
              <w:rPr>
                <w:color w:val="1F2937"/>
                <w:sz w:val="20"/>
              </w:rPr>
              <w:t xml:space="preserve">    4.4 Phase 4: State-Space Modeling &amp; Wizard Logic Generation</w:t>
            </w:r>
          </w:p>
        </w:tc>
        <w:tc>
          <w:tcPr>
            <w:tcW w:type="dxa" w:w="1152"/>
          </w:tcPr>
          <w:p>
            <w:pPr>
              <w:spacing w:after="40"/>
              <w:jc w:val="right"/>
            </w:pPr>
            <w:r>
              <w:rPr>
                <w:color w:val="4B5563"/>
                <w:sz w:val="20"/>
              </w:rPr>
              <w:t>10</w:t>
            </w:r>
          </w:p>
        </w:tc>
      </w:tr>
      <w:tr>
        <w:tc>
          <w:tcPr>
            <w:tcW w:type="dxa" w:w="7920"/>
          </w:tcPr>
          <w:p>
            <w:pPr>
              <w:spacing w:after="40"/>
            </w:pPr>
            <w:r>
              <w:rPr>
                <w:color w:val="1F2937"/>
                <w:sz w:val="20"/>
              </w:rPr>
              <w:t xml:space="preserve">    4.5 Phase 5: Verification &amp; Hostile Edge-Case Testing</w:t>
            </w:r>
          </w:p>
        </w:tc>
        <w:tc>
          <w:tcPr>
            <w:tcW w:type="dxa" w:w="1152"/>
          </w:tcPr>
          <w:p>
            <w:pPr>
              <w:spacing w:after="40"/>
              <w:jc w:val="right"/>
            </w:pPr>
            <w:r>
              <w:rPr>
                <w:color w:val="4B5563"/>
                <w:sz w:val="20"/>
              </w:rPr>
              <w:t>11</w:t>
            </w:r>
          </w:p>
        </w:tc>
      </w:tr>
      <w:tr>
        <w:tc>
          <w:tcPr>
            <w:tcW w:type="dxa" w:w="7920"/>
          </w:tcPr>
          <w:p>
            <w:pPr>
              <w:spacing w:after="40"/>
            </w:pPr>
            <w:r>
              <w:rPr>
                <w:color w:val="1F2937"/>
                <w:sz w:val="20"/>
              </w:rPr>
              <w:t xml:space="preserve">    4.6 Phase 6: Debugging, Critical Analysis &amp; Autonomous Self-Correction</w:t>
            </w:r>
          </w:p>
        </w:tc>
        <w:tc>
          <w:tcPr>
            <w:tcW w:type="dxa" w:w="1152"/>
          </w:tcPr>
          <w:p>
            <w:pPr>
              <w:spacing w:after="40"/>
              <w:jc w:val="right"/>
            </w:pPr>
            <w:r>
              <w:rPr>
                <w:color w:val="4B5563"/>
                <w:sz w:val="20"/>
              </w:rPr>
              <w:t>12</w:t>
            </w:r>
          </w:p>
        </w:tc>
      </w:tr>
      <w:tr>
        <w:tc>
          <w:tcPr>
            <w:tcW w:type="dxa" w:w="7920"/>
          </w:tcPr>
          <w:p>
            <w:pPr>
              <w:spacing w:after="40"/>
            </w:pPr>
            <w:r>
              <w:rPr>
                <w:b/>
                <w:color w:val="1E3A8A"/>
                <w:sz w:val="20"/>
              </w:rPr>
              <w:t>5. Application Architecture &amp; Component Design</w:t>
            </w:r>
          </w:p>
        </w:tc>
        <w:tc>
          <w:tcPr>
            <w:tcW w:type="dxa" w:w="1152"/>
          </w:tcPr>
          <w:p>
            <w:pPr>
              <w:spacing w:after="40"/>
              <w:jc w:val="right"/>
            </w:pPr>
            <w:r>
              <w:rPr>
                <w:color w:val="4B5563"/>
                <w:sz w:val="20"/>
              </w:rPr>
              <w:t>14</w:t>
            </w:r>
          </w:p>
        </w:tc>
      </w:tr>
      <w:tr>
        <w:tc>
          <w:tcPr>
            <w:tcW w:type="dxa" w:w="7920"/>
          </w:tcPr>
          <w:p>
            <w:pPr>
              <w:spacing w:after="40"/>
            </w:pPr>
            <w:r>
              <w:rPr>
                <w:color w:val="1F2937"/>
                <w:sz w:val="20"/>
              </w:rPr>
              <w:t xml:space="preserve">    5.1 Multi-Page System Architecture Diagram</w:t>
            </w:r>
          </w:p>
        </w:tc>
        <w:tc>
          <w:tcPr>
            <w:tcW w:type="dxa" w:w="1152"/>
          </w:tcPr>
          <w:p>
            <w:pPr>
              <w:spacing w:after="40"/>
              <w:jc w:val="right"/>
            </w:pPr>
            <w:r>
              <w:rPr>
                <w:color w:val="4B5563"/>
                <w:sz w:val="20"/>
              </w:rPr>
              <w:t>14</w:t>
            </w:r>
          </w:p>
        </w:tc>
      </w:tr>
      <w:tr>
        <w:tc>
          <w:tcPr>
            <w:tcW w:type="dxa" w:w="7920"/>
          </w:tcPr>
          <w:p>
            <w:pPr>
              <w:spacing w:after="40"/>
            </w:pPr>
            <w:r>
              <w:rPr>
                <w:color w:val="1F2937"/>
                <w:sz w:val="20"/>
              </w:rPr>
              <w:t xml:space="preserve">    5.2 Core Interface Components</w:t>
            </w:r>
          </w:p>
        </w:tc>
        <w:tc>
          <w:tcPr>
            <w:tcW w:type="dxa" w:w="1152"/>
          </w:tcPr>
          <w:p>
            <w:pPr>
              <w:spacing w:after="40"/>
              <w:jc w:val="right"/>
            </w:pPr>
            <w:r>
              <w:rPr>
                <w:color w:val="4B5563"/>
                <w:sz w:val="20"/>
              </w:rPr>
              <w:t>15</w:t>
            </w:r>
          </w:p>
        </w:tc>
      </w:tr>
      <w:tr>
        <w:tc>
          <w:tcPr>
            <w:tcW w:type="dxa" w:w="7920"/>
          </w:tcPr>
          <w:p>
            <w:pPr>
              <w:spacing w:after="40"/>
            </w:pPr>
            <w:r>
              <w:rPr>
                <w:b/>
                <w:color w:val="1E3A8A"/>
                <w:sz w:val="20"/>
              </w:rPr>
              <w:t>6. Final Application Implementation &amp; Verification</w:t>
            </w:r>
          </w:p>
        </w:tc>
        <w:tc>
          <w:tcPr>
            <w:tcW w:type="dxa" w:w="1152"/>
          </w:tcPr>
          <w:p>
            <w:pPr>
              <w:spacing w:after="40"/>
              <w:jc w:val="right"/>
            </w:pPr>
            <w:r>
              <w:rPr>
                <w:color w:val="4B5563"/>
                <w:sz w:val="20"/>
              </w:rPr>
              <w:t>16</w:t>
            </w:r>
          </w:p>
        </w:tc>
      </w:tr>
      <w:tr>
        <w:tc>
          <w:tcPr>
            <w:tcW w:type="dxa" w:w="7920"/>
          </w:tcPr>
          <w:p>
            <w:pPr>
              <w:spacing w:after="40"/>
            </w:pPr>
            <w:r>
              <w:rPr>
                <w:color w:val="1F2937"/>
                <w:sz w:val="20"/>
              </w:rPr>
              <w:t xml:space="preserve">    6.1 Autonomous Symptom Triaging &amp; Clinical Decision Support</w:t>
            </w:r>
          </w:p>
        </w:tc>
        <w:tc>
          <w:tcPr>
            <w:tcW w:type="dxa" w:w="1152"/>
          </w:tcPr>
          <w:p>
            <w:pPr>
              <w:spacing w:after="40"/>
              <w:jc w:val="right"/>
            </w:pPr>
            <w:r>
              <w:rPr>
                <w:color w:val="4B5563"/>
                <w:sz w:val="20"/>
              </w:rPr>
              <w:t>16</w:t>
            </w:r>
          </w:p>
        </w:tc>
      </w:tr>
      <w:tr>
        <w:tc>
          <w:tcPr>
            <w:tcW w:type="dxa" w:w="7920"/>
          </w:tcPr>
          <w:p>
            <w:pPr>
              <w:spacing w:after="40"/>
            </w:pPr>
            <w:r>
              <w:rPr>
                <w:color w:val="1F2937"/>
                <w:sz w:val="20"/>
              </w:rPr>
              <w:t xml:space="preserve">    6.2 Frictionless Inter-Module Parameter Passing</w:t>
            </w:r>
          </w:p>
        </w:tc>
        <w:tc>
          <w:tcPr>
            <w:tcW w:type="dxa" w:w="1152"/>
          </w:tcPr>
          <w:p>
            <w:pPr>
              <w:spacing w:after="40"/>
              <w:jc w:val="right"/>
            </w:pPr>
            <w:r>
              <w:rPr>
                <w:color w:val="4B5563"/>
                <w:sz w:val="20"/>
              </w:rPr>
              <w:t>16</w:t>
            </w:r>
          </w:p>
        </w:tc>
      </w:tr>
      <w:tr>
        <w:tc>
          <w:tcPr>
            <w:tcW w:type="dxa" w:w="7920"/>
          </w:tcPr>
          <w:p>
            <w:pPr>
              <w:spacing w:after="40"/>
            </w:pPr>
            <w:r>
              <w:rPr>
                <w:color w:val="1F2937"/>
                <w:sz w:val="20"/>
              </w:rPr>
              <w:t xml:space="preserve">    6.3 Synchronized Patient &amp; Staff Portals</w:t>
            </w:r>
          </w:p>
        </w:tc>
        <w:tc>
          <w:tcPr>
            <w:tcW w:type="dxa" w:w="1152"/>
          </w:tcPr>
          <w:p>
            <w:pPr>
              <w:spacing w:after="40"/>
              <w:jc w:val="right"/>
            </w:pPr>
            <w:r>
              <w:rPr>
                <w:color w:val="4B5563"/>
                <w:sz w:val="20"/>
              </w:rPr>
              <w:t>17</w:t>
            </w:r>
          </w:p>
        </w:tc>
      </w:tr>
      <w:tr>
        <w:tc>
          <w:tcPr>
            <w:tcW w:type="dxa" w:w="7920"/>
          </w:tcPr>
          <w:p>
            <w:pPr>
              <w:spacing w:after="40"/>
            </w:pPr>
            <w:r>
              <w:rPr>
                <w:color w:val="1F2937"/>
                <w:sz w:val="20"/>
              </w:rPr>
              <w:t xml:space="preserve">    6.4 Production Deployment Verification</w:t>
            </w:r>
          </w:p>
        </w:tc>
        <w:tc>
          <w:tcPr>
            <w:tcW w:type="dxa" w:w="1152"/>
          </w:tcPr>
          <w:p>
            <w:pPr>
              <w:spacing w:after="40"/>
              <w:jc w:val="right"/>
            </w:pPr>
            <w:r>
              <w:rPr>
                <w:color w:val="4B5563"/>
                <w:sz w:val="20"/>
              </w:rPr>
              <w:t>17</w:t>
            </w:r>
          </w:p>
        </w:tc>
      </w:tr>
      <w:tr>
        <w:tc>
          <w:tcPr>
            <w:tcW w:type="dxa" w:w="7920"/>
          </w:tcPr>
          <w:p>
            <w:pPr>
              <w:spacing w:after="40"/>
            </w:pPr>
            <w:r>
              <w:rPr>
                <w:b/>
                <w:color w:val="1E3A8A"/>
                <w:sz w:val="20"/>
              </w:rPr>
              <w:t>7. Conclusion, Reflections &amp; Future Directions</w:t>
            </w:r>
          </w:p>
        </w:tc>
        <w:tc>
          <w:tcPr>
            <w:tcW w:type="dxa" w:w="1152"/>
          </w:tcPr>
          <w:p>
            <w:pPr>
              <w:spacing w:after="40"/>
              <w:jc w:val="right"/>
            </w:pPr>
            <w:r>
              <w:rPr>
                <w:color w:val="4B5563"/>
                <w:sz w:val="20"/>
              </w:rPr>
              <w:t>18</w:t>
            </w:r>
          </w:p>
        </w:tc>
      </w:tr>
      <w:tr>
        <w:tc>
          <w:tcPr>
            <w:tcW w:type="dxa" w:w="7920"/>
          </w:tcPr>
          <w:p>
            <w:pPr>
              <w:spacing w:after="40"/>
            </w:pPr>
            <w:r>
              <w:rPr>
                <w:color w:val="1F2937"/>
                <w:sz w:val="20"/>
              </w:rPr>
              <w:t xml:space="preserve">    7.1 Key Learnings in AI-Augmented Engineering</w:t>
            </w:r>
          </w:p>
        </w:tc>
        <w:tc>
          <w:tcPr>
            <w:tcW w:type="dxa" w:w="1152"/>
          </w:tcPr>
          <w:p>
            <w:pPr>
              <w:spacing w:after="40"/>
              <w:jc w:val="right"/>
            </w:pPr>
            <w:r>
              <w:rPr>
                <w:color w:val="4B5563"/>
                <w:sz w:val="20"/>
              </w:rPr>
              <w:t>18</w:t>
            </w:r>
          </w:p>
        </w:tc>
      </w:tr>
      <w:tr>
        <w:tc>
          <w:tcPr>
            <w:tcW w:type="dxa" w:w="7920"/>
          </w:tcPr>
          <w:p>
            <w:pPr>
              <w:spacing w:after="40"/>
            </w:pPr>
            <w:r>
              <w:rPr>
                <w:color w:val="1F2937"/>
                <w:sz w:val="20"/>
              </w:rPr>
              <w:t xml:space="preserve">    7.2 The Indispensable Role of Human Critical Thinking</w:t>
            </w:r>
          </w:p>
        </w:tc>
        <w:tc>
          <w:tcPr>
            <w:tcW w:type="dxa" w:w="1152"/>
          </w:tcPr>
          <w:p>
            <w:pPr>
              <w:spacing w:after="40"/>
              <w:jc w:val="right"/>
            </w:pPr>
            <w:r>
              <w:rPr>
                <w:color w:val="4B5563"/>
                <w:sz w:val="20"/>
              </w:rPr>
              <w:t>18</w:t>
            </w:r>
          </w:p>
        </w:tc>
      </w:tr>
      <w:tr>
        <w:tc>
          <w:tcPr>
            <w:tcW w:type="dxa" w:w="7920"/>
          </w:tcPr>
          <w:p>
            <w:pPr>
              <w:spacing w:after="40"/>
            </w:pPr>
            <w:r>
              <w:rPr>
                <w:color w:val="1F2937"/>
                <w:sz w:val="20"/>
              </w:rPr>
              <w:t xml:space="preserve">    7.3 System Limitations &amp; Future Research Roadmap</w:t>
            </w:r>
          </w:p>
        </w:tc>
        <w:tc>
          <w:tcPr>
            <w:tcW w:type="dxa" w:w="1152"/>
          </w:tcPr>
          <w:p>
            <w:pPr>
              <w:spacing w:after="40"/>
              <w:jc w:val="right"/>
            </w:pPr>
            <w:r>
              <w:rPr>
                <w:color w:val="4B5563"/>
                <w:sz w:val="20"/>
              </w:rPr>
              <w:t>19</w:t>
            </w:r>
          </w:p>
        </w:tc>
      </w:tr>
      <w:tr>
        <w:tc>
          <w:tcPr>
            <w:tcW w:type="dxa" w:w="7920"/>
          </w:tcPr>
          <w:p>
            <w:pPr>
              <w:spacing w:after="40"/>
            </w:pPr>
            <w:r>
              <w:rPr>
                <w:b/>
                <w:color w:val="1E3A8A"/>
                <w:sz w:val="20"/>
              </w:rPr>
              <w:t>References &amp; Academic Bibliography</w:t>
            </w:r>
          </w:p>
        </w:tc>
        <w:tc>
          <w:tcPr>
            <w:tcW w:type="dxa" w:w="1152"/>
          </w:tcPr>
          <w:p>
            <w:pPr>
              <w:spacing w:after="40"/>
              <w:jc w:val="right"/>
            </w:pPr>
            <w:r>
              <w:rPr>
                <w:color w:val="4B5563"/>
                <w:sz w:val="20"/>
              </w:rPr>
              <w:t>20</w:t>
            </w:r>
          </w:p>
        </w:tc>
      </w:tr>
    </w:tbl>
    <w:p>
      <w:r>
        <w:br w:type="page"/>
      </w:r>
    </w:p>
    <w:p>
      <w:pPr>
        <w:keepNext/>
        <w:spacing w:before="320" w:after="160"/>
      </w:pPr>
      <w:r>
        <w:rPr>
          <w:rFonts w:ascii="Arial" w:hAnsi="Arial"/>
          <w:b/>
          <w:color w:val="1E3A8A"/>
          <w:sz w:val="32"/>
        </w:rPr>
        <w:t>1. Introduction &amp; Problem Statement</w:t>
      </w:r>
    </w:p>
    <w:p>
      <w:pPr>
        <w:keepNext/>
        <w:spacing w:before="240" w:after="80"/>
      </w:pPr>
      <w:r>
        <w:rPr>
          <w:rFonts w:ascii="Arial" w:hAnsi="Arial"/>
          <w:b/>
          <w:color w:val="0D9488"/>
          <w:sz w:val="25"/>
        </w:rPr>
        <w:t>1.1 The Outpatient Waiting Room Crisis</w:t>
      </w:r>
    </w:p>
    <w:p>
      <w:pPr>
        <w:spacing w:line="300" w:lineRule="auto" w:after="120"/>
      </w:pPr>
      <w:r>
        <w:t>Anyone who has ever visited a hospital outpatient clinic knows the exhausting, demoralizing reality of the waiting room. Patients sit on unergonomic plastic chairs for three to four hours in overcrowded waiting corridors, surrounded by cross-infection vectors, only to be granted a hurried six-minute consultation with an exhausted medical doctor. While clinical resource shortages are often cited as the root cause, a critical analysis of hospital operations reveals that the breakdown begins long before the patient crosses the facility threshold: the primary failure is structural specialty misallocation.</w:t>
      </w:r>
    </w:p>
    <w:p>
      <w:pPr>
        <w:keepNext/>
        <w:spacing w:before="240" w:after="80"/>
      </w:pPr>
      <w:r>
        <w:rPr>
          <w:rFonts w:ascii="Arial" w:hAnsi="Arial"/>
          <w:b/>
          <w:color w:val="0D9488"/>
          <w:sz w:val="25"/>
        </w:rPr>
        <w:t>1.2 The Dilemma of Specialty Misallocation</w:t>
      </w:r>
    </w:p>
    <w:p>
      <w:pPr>
        <w:spacing w:line="300" w:lineRule="auto" w:after="120"/>
      </w:pPr>
      <w:r>
        <w:t>Everyday individuals do not perceive illness through formalized medical taxonomy. When a patient experiences an acute, shooting pain radiating down the posterior aspect of their left leg, they intuitively categorize the symptom as a musculoskeletal problem and schedule a consultation with an Orthopedic Surgeon. After enduring a two-week scheduling backlog and hours in the clinic lobby, the orthopedic specialist examines them only to conclude within minutes: "Your bones and joints are completely healthy. This is sciatica originating from lumbar nerve root compression; you must consult a Neurologist." The patient's time and financial resources are wasted, their debilitating pain continues unmanaged, and an invaluable surgical consultation slot that could have treated a complex fracture is irrevocably blocked.</w:t>
      </w:r>
    </w:p>
    <w:p>
      <w:pPr>
        <w:keepNext/>
        <w:spacing w:before="240" w:after="80"/>
      </w:pPr>
      <w:r>
        <w:rPr>
          <w:rFonts w:ascii="Arial" w:hAnsi="Arial"/>
          <w:b/>
          <w:color w:val="0D9488"/>
          <w:sz w:val="25"/>
        </w:rPr>
        <w:t>1.3 The Fatal Flaw of Passive Digital Forms</w:t>
      </w:r>
    </w:p>
    <w:p>
      <w:pPr>
        <w:spacing w:line="300" w:lineRule="auto" w:after="120"/>
      </w:pPr>
      <w:r>
        <w:t>Modern digital appointment booking forms universally treat healthcare interactions as passive data entry operations. If an anxious patient types into an ordinary web portal: "I am experiencing a severe crushing sensation in the center of my chest, and my left arm and jaw have gone numb," a typical booking interface will unblinkingly schedule a routine outpatient appointment for next Tuesday morning. In clinical reality, that patient is presenting textbook symptoms of an acute ST-elevation myocardial infarction (STEMI). Every passing minute results in irreversible myocardial necrosis. By acting as passive digital spreadsheets without clinical safeguarding, conventional web forms endanger patient lives.</w:t>
      </w:r>
    </w:p>
    <w:p>
      <w:pPr>
        <w:keepNext/>
        <w:spacing w:before="240" w:after="80"/>
      </w:pPr>
      <w:r>
        <w:rPr>
          <w:rFonts w:ascii="Arial" w:hAnsi="Arial"/>
          <w:b/>
          <w:color w:val="0D9488"/>
          <w:sz w:val="25"/>
        </w:rPr>
        <w:t>1.4 Project Philosophy: Prompt Engineering as an Architectural Tool</w:t>
      </w:r>
    </w:p>
    <w:p>
      <w:pPr>
        <w:spacing w:line="300" w:lineRule="auto" w:after="240"/>
      </w:pPr>
      <w:r>
        <w:t>When our team embarked on developing CarePulse Memorial Hospital as Semester 3 Computer Science and Engineering (AI/ML) students, our goal was emphatically not to write thousands of lines of fragile backend boilerplate or burden the project with cumbersome database servers. We recognized that modern engineering in the era of foundation models requires a fundamental paradigm shift: the core skill of a contemporary engineer lies in communicating architectural intent, domain boundaries, and clinical safeguards with surgical precision to AI models. Through disciplined Prompt Engineering—leveraging Role Framing, Task Decomposition, Few-Shot Exemplars, Chain-of-Thought (CoT) reasoning, and Negative Constraints—we collaborated with the Gemini 3.8 / Antigravity Agent to architect, assemble, rigorously test, and deploy a complete, production-grade 7-page outpatient management prototype.</w:t>
      </w:r>
    </w:p>
    <w:p>
      <w:pPr>
        <w:keepNext/>
        <w:spacing w:before="320" w:after="160"/>
      </w:pPr>
      <w:r>
        <w:rPr>
          <w:rFonts w:ascii="Arial" w:hAnsi="Arial"/>
          <w:b/>
          <w:color w:val="1E3A8A"/>
          <w:sz w:val="32"/>
        </w:rPr>
        <w:t>2. Target User Analysis &amp; Empathy Mapping</w:t>
      </w:r>
    </w:p>
    <w:p>
      <w:pPr>
        <w:spacing w:line="300" w:lineRule="auto" w:after="160"/>
      </w:pPr>
      <w:r>
        <w:t>Engineering reliable clinical software requires deep domain empathy. Healthcare systems are utilized under acute physical distress, cognitive fatigue, and emotional anxiety. We modeled CarePulse around the operational and psychological realities of three core user personas: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r>
              <w:rPr>
                <w:b/>
                <w:color w:val="FFFFFF"/>
                <w:sz w:val="19"/>
              </w:rPr>
              <w:t>Target User Cohort</w:t>
            </w:r>
          </w:p>
        </w:tc>
        <w:tc>
          <w:tcPr>
            <w:tcW w:type="dxa" w:w="3120"/>
            <w:shd w:fill="1E3A8A"/>
            <w:tcMar>
              <w:top w:w="120" w:type="dxa"/>
              <w:bottom w:w="120" w:type="dxa"/>
              <w:left w:w="140" w:type="dxa"/>
              <w:right w:w="140" w:type="dxa"/>
            </w:tcMar>
          </w:tcPr>
          <w:p>
            <w:r>
              <w:rPr>
                <w:b/>
                <w:color w:val="FFFFFF"/>
                <w:sz w:val="19"/>
              </w:rPr>
              <w:t>Real-World Mindset &amp; Pain Points</w:t>
            </w:r>
          </w:p>
        </w:tc>
        <w:tc>
          <w:tcPr>
            <w:tcW w:type="dxa" w:w="3120"/>
            <w:shd w:fill="1E3A8A"/>
            <w:tcMar>
              <w:top w:w="120" w:type="dxa"/>
              <w:bottom w:w="120" w:type="dxa"/>
              <w:left w:w="140" w:type="dxa"/>
              <w:right w:w="140" w:type="dxa"/>
            </w:tcMar>
          </w:tcPr>
          <w:p>
            <w:r>
              <w:rPr>
                <w:b/>
                <w:color w:val="FFFFFF"/>
                <w:sz w:val="19"/>
              </w:rPr>
              <w:t>CarePulse Architectural Solution</w:t>
            </w:r>
          </w:p>
        </w:tc>
      </w:tr>
      <w:tr>
        <w:tc>
          <w:tcPr>
            <w:tcW w:type="dxa" w:w="2592"/>
            <w:shd w:fill="F8FAFC"/>
            <w:tcMar>
              <w:top w:w="100" w:type="dxa"/>
              <w:bottom w:w="100" w:type="dxa"/>
              <w:left w:w="120" w:type="dxa"/>
              <w:right w:w="120" w:type="dxa"/>
            </w:tcMar>
          </w:tcPr>
          <w:p>
            <w:r>
              <w:rPr>
                <w:b/>
                <w:color w:val="1E3A8A"/>
                <w:sz w:val="18"/>
              </w:rPr>
              <w:t>The Anxious Patient &amp; Caregiver</w:t>
            </w:r>
          </w:p>
        </w:tc>
        <w:tc>
          <w:tcPr>
            <w:tcW w:type="dxa" w:w="3312"/>
            <w:tcMar>
              <w:top w:w="100" w:type="dxa"/>
              <w:bottom w:w="100" w:type="dxa"/>
              <w:left w:w="120" w:type="dxa"/>
              <w:right w:w="120" w:type="dxa"/>
            </w:tcMar>
          </w:tcPr>
          <w:p>
            <w:r>
              <w:rPr>
                <w:sz w:val="18"/>
              </w:rPr>
              <w:t>Patients are frequently in pain, cognitively overwhelmed, or caring for an ailing family member. They do not comprehend medical jargon, experience high friction with multi-screen forms, and dread waiting on hold during telephone triage.</w:t>
            </w:r>
          </w:p>
        </w:tc>
        <w:tc>
          <w:tcPr>
            <w:tcW w:type="dxa" w:w="3456"/>
            <w:tcMar>
              <w:top w:w="100" w:type="dxa"/>
              <w:bottom w:w="100" w:type="dxa"/>
              <w:left w:w="120" w:type="dxa"/>
              <w:right w:w="120" w:type="dxa"/>
            </w:tcMar>
          </w:tcPr>
          <w:p>
            <w:r>
              <w:rPr>
                <w:sz w:val="18"/>
              </w:rPr>
              <w:t>Plain-English symptom checker (AuraCare AI) that translates colloquial complaints into medical taxonomy, a 4-step wizard with morning/afternoon slot grids, and an instant printable digital pass.</w:t>
            </w:r>
          </w:p>
        </w:tc>
      </w:tr>
      <w:tr>
        <w:tc>
          <w:tcPr>
            <w:tcW w:type="dxa" w:w="2592"/>
            <w:shd w:fill="F8FAFC"/>
            <w:tcMar>
              <w:top w:w="100" w:type="dxa"/>
              <w:bottom w:w="100" w:type="dxa"/>
              <w:left w:w="120" w:type="dxa"/>
              <w:right w:w="120" w:type="dxa"/>
            </w:tcMar>
          </w:tcPr>
          <w:p>
            <w:r>
              <w:rPr>
                <w:b/>
                <w:color w:val="1E3A8A"/>
                <w:sz w:val="18"/>
              </w:rPr>
              <w:t>The Overworked Consulting Doctor</w:t>
            </w:r>
          </w:p>
        </w:tc>
        <w:tc>
          <w:tcPr>
            <w:tcW w:type="dxa" w:w="3312"/>
            <w:tcMar>
              <w:top w:w="100" w:type="dxa"/>
              <w:bottom w:w="100" w:type="dxa"/>
              <w:left w:w="120" w:type="dxa"/>
              <w:right w:w="120" w:type="dxa"/>
            </w:tcMar>
          </w:tcPr>
          <w:p>
            <w:r>
              <w:rPr>
                <w:sz w:val="18"/>
              </w:rPr>
              <w:t>Specialists evaluate 30 to 50 patients daily under intense temporal pressure. They despise clunky software interfaces that bury vital patient symptoms behind multi-layered administrative sub-menus.</w:t>
            </w:r>
          </w:p>
        </w:tc>
        <w:tc>
          <w:tcPr>
            <w:tcW w:type="dxa" w:w="3456"/>
            <w:tcMar>
              <w:top w:w="100" w:type="dxa"/>
              <w:bottom w:w="100" w:type="dxa"/>
              <w:left w:w="120" w:type="dxa"/>
              <w:right w:w="120" w:type="dxa"/>
            </w:tcMar>
          </w:tcPr>
          <w:p>
            <w:r>
              <w:rPr>
                <w:sz w:val="18"/>
              </w:rPr>
              <w:t>Dedicated Staff Console (doctor-portal.html) exhibiting real-time queue status, color-coded triage severity tags, concise symptom dossiers, and a 1-click encounter updater.</w:t>
            </w:r>
          </w:p>
        </w:tc>
      </w:tr>
      <w:tr>
        <w:tc>
          <w:tcPr>
            <w:tcW w:type="dxa" w:w="2592"/>
            <w:shd w:fill="F8FAFC"/>
            <w:tcMar>
              <w:top w:w="100" w:type="dxa"/>
              <w:bottom w:w="100" w:type="dxa"/>
              <w:left w:w="120" w:type="dxa"/>
              <w:right w:w="120" w:type="dxa"/>
            </w:tcMar>
          </w:tcPr>
          <w:p>
            <w:r>
              <w:rPr>
                <w:b/>
                <w:color w:val="1E3A8A"/>
                <w:sz w:val="18"/>
              </w:rPr>
              <w:t>The Hospital Front-Desk Staff</w:t>
            </w:r>
          </w:p>
        </w:tc>
        <w:tc>
          <w:tcPr>
            <w:tcW w:type="dxa" w:w="3312"/>
            <w:tcMar>
              <w:top w:w="100" w:type="dxa"/>
              <w:bottom w:w="100" w:type="dxa"/>
              <w:left w:w="120" w:type="dxa"/>
              <w:right w:w="120" w:type="dxa"/>
            </w:tcMar>
          </w:tcPr>
          <w:p>
            <w:r>
              <w:rPr>
                <w:sz w:val="18"/>
              </w:rPr>
              <w:t>Reception personnel manage crowded lobbies, aggressive queues, appointment discrepancies, and chaotic physical paper slips.</w:t>
            </w:r>
          </w:p>
        </w:tc>
        <w:tc>
          <w:tcPr>
            <w:tcW w:type="dxa" w:w="3456"/>
            <w:tcMar>
              <w:top w:w="100" w:type="dxa"/>
              <w:bottom w:w="100" w:type="dxa"/>
              <w:left w:w="120" w:type="dxa"/>
              <w:right w:w="120" w:type="dxa"/>
            </w:tcMar>
          </w:tcPr>
          <w:p>
            <w:r>
              <w:rPr>
                <w:sz w:val="18"/>
              </w:rPr>
              <w:t>Scannable digital confirmation passes (featuring clean identifiers like APT-8821 and simulated QR codes) that enable check-in verification in under 5 seconds, while emergency red-flag safeguards prevent acute patients from languishing in waiting rooms.</w:t>
            </w:r>
          </w:p>
        </w:tc>
      </w:tr>
    </w:tbl>
    <w:p>
      <w:pPr>
        <w:spacing w:after="240"/>
      </w:pPr>
    </w:p>
    <w:p>
      <w:pPr>
        <w:keepNext/>
        <w:spacing w:before="320" w:after="160"/>
      </w:pPr>
      <w:r>
        <w:rPr>
          <w:rFonts w:ascii="Arial" w:hAnsi="Arial"/>
          <w:b/>
          <w:color w:val="1E3A8A"/>
          <w:sz w:val="32"/>
        </w:rPr>
        <w:t>3. Tools Used &amp; Architectural Justifications</w:t>
      </w:r>
    </w:p>
    <w:p>
      <w:pPr>
        <w:spacing w:line="300" w:lineRule="auto" w:after="160"/>
      </w:pPr>
      <w:r>
        <w:t>A foundational design decision of this project was the deliberate avoidance of heavyweight JavaScript frameworks such as React, Angular, or Next.js. In academic engineering curricula, students all too often expend 80% of their cognitive bandwidth wrestling with npm install conflicts, broken build pipelines, and 500 MB node_modules directories, distracting from the clinical objective. CarePulse adheres to a "Zero-Bloat, Maximum Reliability" architecture:</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0D9488"/>
            <w:tcMar>
              <w:top w:w="120" w:type="dxa"/>
              <w:bottom w:w="120" w:type="dxa"/>
              <w:left w:w="140" w:type="dxa"/>
              <w:right w:w="140" w:type="dxa"/>
            </w:tcMar>
          </w:tcPr>
          <w:p>
            <w:r>
              <w:rPr>
                <w:b/>
                <w:color w:val="FFFFFF"/>
                <w:sz w:val="19"/>
              </w:rPr>
              <w:t>Tool / Technology</w:t>
            </w:r>
          </w:p>
        </w:tc>
        <w:tc>
          <w:tcPr>
            <w:tcW w:type="dxa" w:w="3120"/>
            <w:shd w:fill="0D9488"/>
            <w:tcMar>
              <w:top w:w="120" w:type="dxa"/>
              <w:bottom w:w="120" w:type="dxa"/>
              <w:left w:w="140" w:type="dxa"/>
              <w:right w:w="140" w:type="dxa"/>
            </w:tcMar>
          </w:tcPr>
          <w:p>
            <w:r>
              <w:rPr>
                <w:b/>
                <w:color w:val="FFFFFF"/>
                <w:sz w:val="19"/>
              </w:rPr>
              <w:t>Classification</w:t>
            </w:r>
          </w:p>
        </w:tc>
        <w:tc>
          <w:tcPr>
            <w:tcW w:type="dxa" w:w="3120"/>
            <w:shd w:fill="0D9488"/>
            <w:tcMar>
              <w:top w:w="120" w:type="dxa"/>
              <w:bottom w:w="120" w:type="dxa"/>
              <w:left w:w="140" w:type="dxa"/>
              <w:right w:w="140" w:type="dxa"/>
            </w:tcMar>
          </w:tcPr>
          <w:p>
            <w:r>
              <w:rPr>
                <w:b/>
                <w:color w:val="FFFFFF"/>
                <w:sz w:val="19"/>
              </w:rPr>
              <w:t>Engineering Rationale &amp; Advantages</w:t>
            </w:r>
          </w:p>
        </w:tc>
      </w:tr>
      <w:tr>
        <w:tc>
          <w:tcPr>
            <w:tcW w:type="dxa" w:w="2592"/>
            <w:shd w:fill="F8FAFC"/>
            <w:tcMar>
              <w:top w:w="90" w:type="dxa"/>
              <w:bottom w:w="90" w:type="dxa"/>
              <w:left w:w="120" w:type="dxa"/>
              <w:right w:w="120" w:type="dxa"/>
            </w:tcMar>
          </w:tcPr>
          <w:p>
            <w:r>
              <w:rPr>
                <w:b/>
                <w:color w:val="1E3A8A"/>
                <w:sz w:val="17"/>
              </w:rPr>
              <w:t>HTML5 (Multi-Page)</w:t>
            </w:r>
          </w:p>
        </w:tc>
        <w:tc>
          <w:tcPr>
            <w:tcW w:type="dxa" w:w="2592"/>
            <w:tcMar>
              <w:top w:w="90" w:type="dxa"/>
              <w:bottom w:w="90" w:type="dxa"/>
              <w:left w:w="120" w:type="dxa"/>
              <w:right w:w="120" w:type="dxa"/>
            </w:tcMar>
          </w:tcPr>
          <w:p>
            <w:r>
              <w:rPr>
                <w:sz w:val="17"/>
              </w:rPr>
              <w:t>Semantic Web Markup</w:t>
            </w:r>
          </w:p>
        </w:tc>
        <w:tc>
          <w:tcPr>
            <w:tcW w:type="dxa" w:w="4176"/>
            <w:tcMar>
              <w:top w:w="90" w:type="dxa"/>
              <w:bottom w:w="90" w:type="dxa"/>
              <w:left w:w="120" w:type="dxa"/>
              <w:right w:w="120" w:type="dxa"/>
            </w:tcMar>
          </w:tcPr>
          <w:p>
            <w:r>
              <w:rPr>
                <w:sz w:val="17"/>
              </w:rPr>
              <w:t>Deconstructs the application across 7 distinct, dedicated document contexts without Single Page Application (SPA) routing overhead. Guarantees predictable browser history navigation.</w:t>
            </w:r>
          </w:p>
        </w:tc>
      </w:tr>
      <w:tr>
        <w:tc>
          <w:tcPr>
            <w:tcW w:type="dxa" w:w="2592"/>
            <w:shd w:fill="F8FAFC"/>
            <w:tcMar>
              <w:top w:w="90" w:type="dxa"/>
              <w:bottom w:w="90" w:type="dxa"/>
              <w:left w:w="120" w:type="dxa"/>
              <w:right w:w="120" w:type="dxa"/>
            </w:tcMar>
          </w:tcPr>
          <w:p>
            <w:r>
              <w:rPr>
                <w:b/>
                <w:color w:val="1E3A8A"/>
                <w:sz w:val="17"/>
              </w:rPr>
              <w:t>CSS3 (Custom System)</w:t>
            </w:r>
          </w:p>
        </w:tc>
        <w:tc>
          <w:tcPr>
            <w:tcW w:type="dxa" w:w="2592"/>
            <w:tcMar>
              <w:top w:w="90" w:type="dxa"/>
              <w:bottom w:w="90" w:type="dxa"/>
              <w:left w:w="120" w:type="dxa"/>
              <w:right w:w="120" w:type="dxa"/>
            </w:tcMar>
          </w:tcPr>
          <w:p>
            <w:r>
              <w:rPr>
                <w:sz w:val="17"/>
              </w:rPr>
              <w:t>Aesthetic &amp; Design Tokens</w:t>
            </w:r>
          </w:p>
        </w:tc>
        <w:tc>
          <w:tcPr>
            <w:tcW w:type="dxa" w:w="4176"/>
            <w:tcMar>
              <w:top w:w="90" w:type="dxa"/>
              <w:bottom w:w="90" w:type="dxa"/>
              <w:left w:w="120" w:type="dxa"/>
              <w:right w:w="120" w:type="dxa"/>
            </w:tcMar>
          </w:tcPr>
          <w:p>
            <w:r>
              <w:rPr>
                <w:sz w:val="17"/>
              </w:rPr>
              <w:t>Engineered with custom CSS variables (css/style.css). Provides clinical color hierarchy, WCAG 2.1 AA contrast compliance, responsive flex/grid layouts, and native @media print stylesheets.</w:t>
            </w:r>
          </w:p>
        </w:tc>
      </w:tr>
      <w:tr>
        <w:tc>
          <w:tcPr>
            <w:tcW w:type="dxa" w:w="2592"/>
            <w:shd w:fill="F8FAFC"/>
            <w:tcMar>
              <w:top w:w="90" w:type="dxa"/>
              <w:bottom w:w="90" w:type="dxa"/>
              <w:left w:w="120" w:type="dxa"/>
              <w:right w:w="120" w:type="dxa"/>
            </w:tcMar>
          </w:tcPr>
          <w:p>
            <w:r>
              <w:rPr>
                <w:b/>
                <w:color w:val="1E3A8A"/>
                <w:sz w:val="17"/>
              </w:rPr>
              <w:t>Vanilla JavaScript (ES6+)</w:t>
            </w:r>
          </w:p>
        </w:tc>
        <w:tc>
          <w:tcPr>
            <w:tcW w:type="dxa" w:w="2592"/>
            <w:tcMar>
              <w:top w:w="90" w:type="dxa"/>
              <w:bottom w:w="90" w:type="dxa"/>
              <w:left w:w="120" w:type="dxa"/>
              <w:right w:w="120" w:type="dxa"/>
            </w:tcMar>
          </w:tcPr>
          <w:p>
            <w:r>
              <w:rPr>
                <w:sz w:val="17"/>
              </w:rPr>
              <w:t>Client Script Engine</w:t>
            </w:r>
          </w:p>
        </w:tc>
        <w:tc>
          <w:tcPr>
            <w:tcW w:type="dxa" w:w="4176"/>
            <w:tcMar>
              <w:top w:w="90" w:type="dxa"/>
              <w:bottom w:w="90" w:type="dxa"/>
              <w:left w:w="120" w:type="dxa"/>
              <w:right w:w="120" w:type="dxa"/>
            </w:tcMar>
          </w:tcPr>
          <w:p>
            <w:r>
              <w:rPr>
                <w:sz w:val="17"/>
              </w:rPr>
              <w:t>Zero external JavaScript dependencies. Executes multi-step wizard state transitions, dynamic time-slot generation, modal lifecycle management, and instant toast notifications with sub-millisecond latency.</w:t>
            </w:r>
          </w:p>
        </w:tc>
      </w:tr>
      <w:tr>
        <w:tc>
          <w:tcPr>
            <w:tcW w:type="dxa" w:w="2592"/>
            <w:shd w:fill="F8FAFC"/>
            <w:tcMar>
              <w:top w:w="90" w:type="dxa"/>
              <w:bottom w:w="90" w:type="dxa"/>
              <w:left w:w="120" w:type="dxa"/>
              <w:right w:w="120" w:type="dxa"/>
            </w:tcMar>
          </w:tcPr>
          <w:p>
            <w:r>
              <w:rPr>
                <w:b/>
                <w:color w:val="1E3A8A"/>
                <w:sz w:val="17"/>
              </w:rPr>
              <w:t>Browser localStorage</w:t>
            </w:r>
          </w:p>
        </w:tc>
        <w:tc>
          <w:tcPr>
            <w:tcW w:type="dxa" w:w="2592"/>
            <w:tcMar>
              <w:top w:w="90" w:type="dxa"/>
              <w:bottom w:w="90" w:type="dxa"/>
              <w:left w:w="120" w:type="dxa"/>
              <w:right w:w="120" w:type="dxa"/>
            </w:tcMar>
          </w:tcPr>
          <w:p>
            <w:r>
              <w:rPr>
                <w:sz w:val="17"/>
              </w:rPr>
              <w:t>Bi-Directional Persistence</w:t>
            </w:r>
          </w:p>
        </w:tc>
        <w:tc>
          <w:tcPr>
            <w:tcW w:type="dxa" w:w="4176"/>
            <w:tcMar>
              <w:top w:w="90" w:type="dxa"/>
              <w:bottom w:w="90" w:type="dxa"/>
              <w:left w:w="120" w:type="dxa"/>
              <w:right w:w="120" w:type="dxa"/>
            </w:tcMar>
          </w:tcPr>
          <w:p>
            <w:r>
              <w:rPr>
                <w:sz w:val="17"/>
              </w:rPr>
              <w:t>Enables real-time bi-directional synchronization between patient bookings and the doctor's roster without external database latency, maintaining persistent state across sessions.</w:t>
            </w:r>
          </w:p>
        </w:tc>
      </w:tr>
      <w:tr>
        <w:tc>
          <w:tcPr>
            <w:tcW w:type="dxa" w:w="2592"/>
            <w:shd w:fill="F8FAFC"/>
            <w:tcMar>
              <w:top w:w="90" w:type="dxa"/>
              <w:bottom w:w="90" w:type="dxa"/>
              <w:left w:w="120" w:type="dxa"/>
              <w:right w:w="120" w:type="dxa"/>
            </w:tcMar>
          </w:tcPr>
          <w:p>
            <w:r>
              <w:rPr>
                <w:b/>
                <w:color w:val="1E3A8A"/>
                <w:sz w:val="17"/>
              </w:rPr>
              <w:t>Node.js Built-in HTTP</w:t>
            </w:r>
          </w:p>
        </w:tc>
        <w:tc>
          <w:tcPr>
            <w:tcW w:type="dxa" w:w="2592"/>
            <w:tcMar>
              <w:top w:w="90" w:type="dxa"/>
              <w:bottom w:w="90" w:type="dxa"/>
              <w:left w:w="120" w:type="dxa"/>
              <w:right w:w="120" w:type="dxa"/>
            </w:tcMar>
          </w:tcPr>
          <w:p>
            <w:r>
              <w:rPr>
                <w:sz w:val="17"/>
              </w:rPr>
              <w:t>Lightweight Local Server</w:t>
            </w:r>
          </w:p>
        </w:tc>
        <w:tc>
          <w:tcPr>
            <w:tcW w:type="dxa" w:w="4176"/>
            <w:tcMar>
              <w:top w:w="90" w:type="dxa"/>
              <w:bottom w:w="90" w:type="dxa"/>
              <w:left w:w="120" w:type="dxa"/>
              <w:right w:w="120" w:type="dxa"/>
            </w:tcMar>
          </w:tcPr>
          <w:p>
            <w:r>
              <w:rPr>
                <w:sz w:val="17"/>
              </w:rPr>
              <w:t>Zero-dependency 35-line server (server.js) utilizing Node's native http module, bypassing package managers and ensuring immediate execution in evaluation environments.</w:t>
            </w:r>
          </w:p>
        </w:tc>
      </w:tr>
      <w:tr>
        <w:tc>
          <w:tcPr>
            <w:tcW w:type="dxa" w:w="2592"/>
            <w:shd w:fill="F8FAFC"/>
            <w:tcMar>
              <w:top w:w="90" w:type="dxa"/>
              <w:bottom w:w="90" w:type="dxa"/>
              <w:left w:w="120" w:type="dxa"/>
              <w:right w:w="120" w:type="dxa"/>
            </w:tcMar>
          </w:tcPr>
          <w:p>
            <w:r>
              <w:rPr>
                <w:b/>
                <w:color w:val="1E3A8A"/>
                <w:sz w:val="17"/>
              </w:rPr>
              <w:t>Gemini 3.8 / Antigravity Agent</w:t>
            </w:r>
          </w:p>
        </w:tc>
        <w:tc>
          <w:tcPr>
            <w:tcW w:type="dxa" w:w="2592"/>
            <w:tcMar>
              <w:top w:w="90" w:type="dxa"/>
              <w:bottom w:w="90" w:type="dxa"/>
              <w:left w:w="120" w:type="dxa"/>
              <w:right w:w="120" w:type="dxa"/>
            </w:tcMar>
          </w:tcPr>
          <w:p>
            <w:r>
              <w:rPr>
                <w:sz w:val="17"/>
              </w:rPr>
              <w:t>Collaborative AI Partner</w:t>
            </w:r>
          </w:p>
        </w:tc>
        <w:tc>
          <w:tcPr>
            <w:tcW w:type="dxa" w:w="4176"/>
            <w:tcMar>
              <w:top w:w="90" w:type="dxa"/>
              <w:bottom w:w="90" w:type="dxa"/>
              <w:left w:w="120" w:type="dxa"/>
              <w:right w:w="120" w:type="dxa"/>
            </w:tcMar>
          </w:tcPr>
          <w:p>
            <w:r>
              <w:rPr>
                <w:sz w:val="17"/>
              </w:rPr>
              <w:t>Employed as an augmented engineering partner across requirements scoping, JSON schema authoring, accessible CSS tokenization, state-space modeling, hostile QA test design, and automated self-correction.</w:t>
            </w:r>
          </w:p>
        </w:tc>
      </w:tr>
    </w:tbl>
    <w:p>
      <w:pPr>
        <w:spacing w:after="240"/>
      </w:pPr>
    </w:p>
    <w:p>
      <w:pPr>
        <w:keepNext/>
        <w:spacing w:before="320" w:after="160"/>
      </w:pPr>
      <w:r>
        <w:rPr>
          <w:rFonts w:ascii="Arial" w:hAnsi="Arial"/>
          <w:b/>
          <w:color w:val="1E3A8A"/>
          <w:sz w:val="32"/>
        </w:rPr>
        <w:t>4. Prompt Engineering Methodology &amp; Development Process</w:t>
      </w:r>
    </w:p>
    <w:p>
      <w:pPr>
        <w:spacing w:line="300" w:lineRule="auto" w:after="160"/>
      </w:pPr>
      <w:r>
        <w:t>The intellectual cornerstone of this project is the disciplined prompt architecture used to guide generative AI. Unconstrained prompts yield bloated, insecure, and medically hazardous code. To guarantee clinical validity, we executed a structured 6-phase engineering lifecycle incorporating Role Framing, Task Decomposition, Few-Shot Exemplars, and Negative Constraints:</w:t>
      </w:r>
    </w:p>
    <w:p>
      <w:pPr>
        <w:keepNext/>
        <w:spacing w:before="240" w:after="80"/>
      </w:pPr>
      <w:r>
        <w:rPr>
          <w:rFonts w:ascii="Arial" w:hAnsi="Arial"/>
          <w:b/>
          <w:color w:val="0D9488"/>
          <w:sz w:val="25"/>
        </w:rPr>
        <w:t>4.1 Phase 1: Idea / Problem Analysis (Reining in Scope Bloat)</w:t>
      </w:r>
    </w:p>
    <w:p>
      <w:pPr>
        <w:spacing w:line="300" w:lineRule="auto"/>
      </w:pPr>
      <w:r>
        <w:t>Human Engineering Rationale: When prompted with generic commands like "Build a hospital website", AI models routinely generate 25-page administrative behemoths encompassing billing ledgers, pharmacy inventory, and employee payroll. We had to establish strict clinical boundaries, directing the AI's cognitive focus exclusively toward outpatient appointment bottlenecks and symptom triage.</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9FF"/>
            <w:tcBorders>
              <w:top w:val="none"/>
              <w:left w:val="single" w:sz="36" w:space="0" w:color="0284C7"/>
              <w:bottom w:val="none"/>
              <w:right w:val="none"/>
            </w:tcBorders>
          </w:tcPr>
          <w:p>
            <w:pPr>
              <w:spacing w:after="80"/>
            </w:pPr>
            <w:r>
              <w:rPr>
                <w:rFonts w:ascii="Consolas" w:hAnsi="Consolas"/>
                <w:b/>
                <w:color w:val="0284C7"/>
                <w:sz w:val="19"/>
              </w:rPr>
              <w:t xml:space="preserve">[PROMPT INJECTED: ROLE PROMPTING + TASK DECOMPOSITION] </w:t>
            </w:r>
            <w:r>
              <w:rPr>
                <w:rFonts w:ascii="Calibri" w:hAnsi="Calibri"/>
                <w:i/>
                <w:color w:val="4B5563"/>
                <w:sz w:val="19"/>
              </w:rPr>
              <w:t>Directing scope boundaries as a clinical informatician</w:t>
              <w:br/>
            </w:r>
          </w:p>
          <w:p>
            <w:pPr>
              <w:spacing w:after="40"/>
            </w:pPr>
            <w:r>
              <w:rPr>
                <w:rFonts w:ascii="Consolas" w:hAnsi="Consolas"/>
                <w:color w:val="0F172A"/>
                <w:sz w:val="18"/>
              </w:rPr>
              <w:t>Act as a Lead Healthcare Systems Architect and Clinical Informatician. We need to design a modern multi-page hospital appointment management web prototype addressing real-world clinic bottlenecks: long patient wait times, misallocated medical specialties, and missed appointments. Please provide: 1. Core user personas (Patient, Specialist Doctor, Hospital Receptionist). 2. Minimum Viable Product (MVP) page hierarchy and navigation flow. 3. High-priority feature matrix, specifically detailing an AI-driven symptom triage mechanism to direct patients to the right department. 4. Non-functional requirements: high readability for senior patients, zero server-setup barrier (client-side persistence), and mobile accessibility.</w:t>
            </w:r>
          </w:p>
        </w:tc>
      </w:tr>
    </w:tbl>
    <w:p>
      <w:pPr>
        <w:spacing w:after="120"/>
      </w:pPr>
    </w:p>
    <w:p>
      <w:pPr>
        <w:keepNext/>
        <w:spacing w:before="240" w:after="80"/>
      </w:pPr>
      <w:r>
        <w:rPr>
          <w:rFonts w:ascii="Arial" w:hAnsi="Arial"/>
          <w:b/>
          <w:color w:val="0D9488"/>
          <w:sz w:val="25"/>
        </w:rPr>
        <w:t>4.2 Phase 2: Requirements &amp; Data Contract Modeling</w:t>
      </w:r>
    </w:p>
    <w:p>
      <w:pPr>
        <w:spacing w:line="300" w:lineRule="auto"/>
      </w:pPr>
      <w:r>
        <w:t>Human Engineering Rationale: Clinical prototypes appear artificial if initialized with empty arrays or placeholder names like "Doctor A". Real hospital operations feature specific consultation rooms, tiered specialist fees, credentials, and realistic wait times. We structured a formalized JSON schema and pre-seeded localStorage so evaluators immediately encounter a living, realistic clinical ecosystem.</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9FF"/>
            <w:tcBorders>
              <w:top w:val="none"/>
              <w:left w:val="single" w:sz="36" w:space="0" w:color="0284C7"/>
              <w:bottom w:val="none"/>
              <w:right w:val="none"/>
            </w:tcBorders>
          </w:tcPr>
          <w:p>
            <w:pPr>
              <w:spacing w:after="80"/>
            </w:pPr>
            <w:r>
              <w:rPr>
                <w:rFonts w:ascii="Consolas" w:hAnsi="Consolas"/>
                <w:b/>
                <w:color w:val="0284C7"/>
                <w:sz w:val="19"/>
              </w:rPr>
              <w:t xml:space="preserve">[PROMPT INJECTED: DATA CONTRACT SPECIFICATION] </w:t>
            </w:r>
            <w:r>
              <w:rPr>
                <w:rFonts w:ascii="Calibri" w:hAnsi="Calibri"/>
                <w:i/>
                <w:color w:val="4B5563"/>
                <w:sz w:val="19"/>
              </w:rPr>
              <w:t>Enforcing schema normalization and realistic clinical seed data</w:t>
              <w:br/>
            </w:r>
          </w:p>
          <w:p>
            <w:pPr>
              <w:spacing w:after="40"/>
            </w:pPr>
            <w:r>
              <w:rPr>
                <w:rFonts w:ascii="Consolas" w:hAnsi="Consolas"/>
                <w:color w:val="0F172A"/>
                <w:sz w:val="18"/>
              </w:rPr>
              <w:t>As a Healthcare Software Product Manager, define the formal requirements and JSON data schema for CarePulse Hospital. Requirements needed: 1. Medical Departments: 8 distinct specialties with room location, average wait time, and common conditions treated. 2. Doctor Profiles: 8 specialists with department mapping, qualifications, years of experience, ratings, and consultation fees. 3. Time Slot Grid: Morning, afternoon, and evening slots with boolean availability flags. 4. Seed Appointment Records: 3 pre-existing realistic appointments in Upcoming and Completed states. 5. Storage Contract: Design a client-side localStorage synchronization protocol between patient bookings and the doctor queue.</w:t>
            </w:r>
          </w:p>
        </w:tc>
      </w:tr>
    </w:tbl>
    <w:p>
      <w:pPr>
        <w:spacing w:after="120"/>
      </w:pPr>
    </w:p>
    <w:p>
      <w:pPr>
        <w:keepNext/>
        <w:spacing w:before="240" w:after="80"/>
      </w:pPr>
      <w:r>
        <w:rPr>
          <w:rFonts w:ascii="Arial" w:hAnsi="Arial"/>
          <w:b/>
          <w:color w:val="0D9488"/>
          <w:sz w:val="25"/>
        </w:rPr>
        <w:t>4.3 Phase 3: UI / Layout Design &amp; WCAG 2.1 AA Accessibility</w:t>
      </w:r>
    </w:p>
    <w:p>
      <w:pPr>
        <w:spacing w:line="300" w:lineRule="auto"/>
      </w:pPr>
      <w:r>
        <w:t>Human Engineering Rationale: AI models exhibit an inherent bias toward pulling external CDN stylesheets and heavy Bootstrap libraries. We enforced negative constraints to generate a bespoke, lightweight CSS design system featuring high-contrast typography for elderly demographics and zero external dependencies.</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9FF"/>
            <w:tcBorders>
              <w:top w:val="none"/>
              <w:left w:val="single" w:sz="36" w:space="0" w:color="0284C7"/>
              <w:bottom w:val="none"/>
              <w:right w:val="none"/>
            </w:tcBorders>
          </w:tcPr>
          <w:p>
            <w:pPr>
              <w:spacing w:after="80"/>
            </w:pPr>
            <w:r>
              <w:rPr>
                <w:rFonts w:ascii="Consolas" w:hAnsi="Consolas"/>
                <w:b/>
                <w:color w:val="0284C7"/>
                <w:sz w:val="19"/>
              </w:rPr>
              <w:t xml:space="preserve">[PROMPT INJECTED: NEGATIVE CONSTRAINTS + STYLE PROMPTING] </w:t>
            </w:r>
            <w:r>
              <w:rPr>
                <w:rFonts w:ascii="Calibri" w:hAnsi="Calibri"/>
                <w:i/>
                <w:color w:val="4B5563"/>
                <w:sz w:val="19"/>
              </w:rPr>
              <w:t>Enforcing zero-framework clinical aesthetics and WCAG standards</w:t>
              <w:br/>
            </w:r>
          </w:p>
          <w:p>
            <w:pPr>
              <w:spacing w:after="40"/>
            </w:pPr>
            <w:r>
              <w:rPr>
                <w:rFonts w:ascii="Consolas" w:hAnsi="Consolas"/>
                <w:color w:val="0F172A"/>
                <w:sz w:val="18"/>
              </w:rPr>
              <w:t>You are an expert Medical UI/UX Designer specializing in WCAG 2.1 AA accessible healthcare interfaces. Create a complete CSS design system and aesthetic guideline for "CarePulse Hospital". Requirements: - Color palette: Calm clinical sky blues (#0284c7), antiseptic teals (#0d9488), high-contrast slate text (#0f172a), distinct triage alert colors. - Component specifications for: Sticky emergency topbar, multi-step booking progress indicator, doctor availability cards, and printable QR appointment passes. - Responsive breakpoints and layout rules ensuring effortless touch navigation on tablets and mobile phones. - Do not use heavy bloated frameworks; provide vanilla CSS with custom CSS variables for rapid client-side rendering.</w:t>
            </w:r>
          </w:p>
        </w:tc>
      </w:tr>
    </w:tbl>
    <w:p>
      <w:pPr>
        <w:spacing w:after="120"/>
      </w:pPr>
    </w:p>
    <w:p>
      <w:pPr>
        <w:keepNext/>
        <w:spacing w:before="240" w:after="80"/>
      </w:pPr>
      <w:r>
        <w:rPr>
          <w:rFonts w:ascii="Arial" w:hAnsi="Arial"/>
          <w:b/>
          <w:color w:val="0D9488"/>
          <w:sz w:val="25"/>
        </w:rPr>
        <w:t>4.4 Phase 4: Code Generation &amp; State-Space Modeling</w:t>
      </w:r>
    </w:p>
    <w:p>
      <w:pPr>
        <w:spacing w:line="300" w:lineRule="auto"/>
      </w:pPr>
      <w:r>
        <w:t>Human Engineering Rationale: Multi-step consultation wizards are notoriously prone to edge-case bugs when users navigate back and forth. Without an explicit state-space definition, generative AI produces convoluted, unmaintainable spaghetti code. We formalized the complete state dictionary prior to invoking code synthesis.</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9FF"/>
            <w:tcBorders>
              <w:top w:val="none"/>
              <w:left w:val="single" w:sz="36" w:space="0" w:color="0284C7"/>
              <w:bottom w:val="none"/>
              <w:right w:val="none"/>
            </w:tcBorders>
          </w:tcPr>
          <w:p>
            <w:pPr>
              <w:spacing w:after="80"/>
            </w:pPr>
            <w:r>
              <w:rPr>
                <w:rFonts w:ascii="Consolas" w:hAnsi="Consolas"/>
                <w:b/>
                <w:color w:val="0284C7"/>
                <w:sz w:val="19"/>
              </w:rPr>
              <w:t xml:space="preserve">[PROMPT INJECTED: STATE-SPACE DEFINITION + FEW-SHOT WIZARD] </w:t>
            </w:r>
            <w:r>
              <w:rPr>
                <w:rFonts w:ascii="Calibri" w:hAnsi="Calibri"/>
                <w:i/>
                <w:color w:val="4B5563"/>
                <w:sz w:val="19"/>
              </w:rPr>
              <w:t>Formalizing deterministic state variables before code synthesis</w:t>
              <w:br/>
            </w:r>
          </w:p>
          <w:p>
            <w:pPr>
              <w:spacing w:after="40"/>
            </w:pPr>
            <w:r>
              <w:rPr>
                <w:rFonts w:ascii="Consolas" w:hAnsi="Consolas"/>
                <w:color w:val="0F172A"/>
                <w:sz w:val="18"/>
              </w:rPr>
              <w:t>Write a modular vanilla JavaScript controller for a 4-step Hospital Appointment Booking Wizard. State variables: - deptId, doctorId, date, timeSlot, patient details (name, email, phone, age, symptoms), triageLevel, paymentMethod. Steps required: - Step 1: Department &amp; Doctor selector (dynamic filtering and doctor preview). - Step 2: Date picker (min tomorrow) and time slot grid with morning/afternoon/evening availability. - Step 3: Patient demographics and symptom input with URL parameter prefilling. - Step 4: Summary confirmation slip generation with random appointment ID (e.g. APT-XXXX) and localStorage persistence. Ensure strict validation per step with immediate toast notifications on error.</w:t>
            </w:r>
          </w:p>
        </w:tc>
      </w:tr>
    </w:tbl>
    <w:p>
      <w:pPr>
        <w:spacing w:after="120"/>
      </w:pPr>
    </w:p>
    <w:p>
      <w:pPr>
        <w:keepNext/>
        <w:spacing w:before="240" w:after="80"/>
      </w:pPr>
      <w:r>
        <w:rPr>
          <w:rFonts w:ascii="Arial" w:hAnsi="Arial"/>
          <w:b/>
          <w:color w:val="0D9488"/>
          <w:sz w:val="25"/>
        </w:rPr>
        <w:t>4.5 Phase 5: Hostile Edge-Case Verification &amp; Testing</w:t>
      </w:r>
    </w:p>
    <w:p>
      <w:pPr>
        <w:spacing w:line="300" w:lineRule="auto"/>
      </w:pPr>
      <w:r>
        <w:t>Human Engineering Rationale: Any application functions correctly when fed pristine, textbook data. To evaluate CarePulse rigorously, we acted as hostile software auditors: What happens if a patient selects yesterday's date? What happens if they enter nonsensical text? Most critically, what happens if a patient enters symptoms of an acute coronary syndrome? The application was subjected to 6 rigorous test scenarios: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tcPr>
          <w:p>
            <w:r>
              <w:rPr>
                <w:b/>
                <w:color w:val="FFFFFF"/>
                <w:sz w:val="17"/>
              </w:rPr>
              <w:t>Case ID</w:t>
            </w:r>
          </w:p>
        </w:tc>
        <w:tc>
          <w:tcPr>
            <w:tcW w:type="dxa" w:w="1872"/>
            <w:shd w:fill="1E3A8A"/>
            <w:tcMar>
              <w:top w:w="100" w:type="dxa"/>
              <w:bottom w:w="100" w:type="dxa"/>
              <w:left w:w="120" w:type="dxa"/>
              <w:right w:w="120" w:type="dxa"/>
            </w:tcMar>
          </w:tcPr>
          <w:p>
            <w:r>
              <w:rPr>
                <w:b/>
                <w:color w:val="FFFFFF"/>
                <w:sz w:val="17"/>
              </w:rPr>
              <w:t>Input Stimulus / Action Tested</w:t>
            </w:r>
          </w:p>
        </w:tc>
        <w:tc>
          <w:tcPr>
            <w:tcW w:type="dxa" w:w="1872"/>
            <w:shd w:fill="1E3A8A"/>
            <w:tcMar>
              <w:top w:w="100" w:type="dxa"/>
              <w:bottom w:w="100" w:type="dxa"/>
              <w:left w:w="120" w:type="dxa"/>
              <w:right w:w="120" w:type="dxa"/>
            </w:tcMar>
          </w:tcPr>
          <w:p>
            <w:r>
              <w:rPr>
                <w:b/>
                <w:color w:val="FFFFFF"/>
                <w:sz w:val="17"/>
              </w:rPr>
              <w:t>Expected Clinical / UI Behavior</w:t>
            </w:r>
          </w:p>
        </w:tc>
        <w:tc>
          <w:tcPr>
            <w:tcW w:type="dxa" w:w="1872"/>
            <w:shd w:fill="1E3A8A"/>
            <w:tcMar>
              <w:top w:w="100" w:type="dxa"/>
              <w:bottom w:w="100" w:type="dxa"/>
              <w:left w:w="120" w:type="dxa"/>
              <w:right w:w="120" w:type="dxa"/>
            </w:tcMar>
          </w:tcPr>
          <w:p>
            <w:r>
              <w:rPr>
                <w:b/>
                <w:color w:val="FFFFFF"/>
                <w:sz w:val="17"/>
              </w:rPr>
              <w:t>Observed System Behavior</w:t>
            </w:r>
          </w:p>
        </w:tc>
        <w:tc>
          <w:tcPr>
            <w:tcW w:type="dxa" w:w="1872"/>
            <w:shd w:fill="1E3A8A"/>
            <w:tcMar>
              <w:top w:w="100" w:type="dxa"/>
              <w:bottom w:w="100" w:type="dxa"/>
              <w:left w:w="120" w:type="dxa"/>
              <w:right w:w="120" w:type="dxa"/>
            </w:tcMar>
          </w:tcPr>
          <w:p>
            <w:r>
              <w:rPr>
                <w:b/>
                <w:color w:val="FFFFFF"/>
                <w:sz w:val="17"/>
              </w:rPr>
              <w:t>Verdict</w:t>
            </w:r>
          </w:p>
        </w:tc>
      </w:tr>
      <w:tr>
        <w:tc>
          <w:tcPr>
            <w:tcW w:type="dxa" w:w="1152"/>
            <w:shd w:fill="F8FAFC"/>
            <w:tcMar>
              <w:top w:w="80" w:type="dxa"/>
              <w:bottom w:w="80" w:type="dxa"/>
              <w:left w:w="100" w:type="dxa"/>
              <w:right w:w="100" w:type="dxa"/>
            </w:tcMar>
          </w:tcPr>
          <w:p>
            <w:r>
              <w:rPr>
                <w:b/>
                <w:color w:val="1E3A8A"/>
                <w:sz w:val="16"/>
              </w:rPr>
              <w:t>TC-01</w:t>
            </w:r>
          </w:p>
        </w:tc>
        <w:tc>
          <w:tcPr>
            <w:tcW w:type="dxa" w:w="2304"/>
            <w:tcMar>
              <w:top w:w="80" w:type="dxa"/>
              <w:bottom w:w="80" w:type="dxa"/>
              <w:left w:w="100" w:type="dxa"/>
              <w:right w:w="100" w:type="dxa"/>
            </w:tcMar>
          </w:tcPr>
          <w:p>
            <w:r>
              <w:rPr>
                <w:sz w:val="16"/>
              </w:rPr>
              <w:t>"Crushing chest pain radiating to left arm"</w:t>
            </w:r>
          </w:p>
        </w:tc>
        <w:tc>
          <w:tcPr>
            <w:tcW w:type="dxa" w:w="2304"/>
            <w:tcMar>
              <w:top w:w="80" w:type="dxa"/>
              <w:bottom w:w="80" w:type="dxa"/>
              <w:left w:w="100" w:type="dxa"/>
              <w:right w:w="100" w:type="dxa"/>
            </w:tcMar>
          </w:tcPr>
          <w:p>
            <w:r>
              <w:rPr>
                <w:sz w:val="16"/>
              </w:rPr>
              <w:t>Flag Level-1 Emergency; auto-route Cardiology; trigger 911 hotline directive.</w:t>
            </w:r>
          </w:p>
        </w:tc>
        <w:tc>
          <w:tcPr>
            <w:tcW w:type="dxa" w:w="2304"/>
            <w:tcMar>
              <w:top w:w="80" w:type="dxa"/>
              <w:bottom w:w="80" w:type="dxa"/>
              <w:left w:w="100" w:type="dxa"/>
              <w:right w:w="100" w:type="dxa"/>
            </w:tcMar>
          </w:tcPr>
          <w:p>
            <w:r>
              <w:rPr>
                <w:sz w:val="16"/>
              </w:rPr>
              <w:t>Immediate red alert banner displayed; Cardiology assigned; emergency banner rendered.</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E3A8A"/>
                <w:sz w:val="16"/>
              </w:rPr>
              <w:t>TC-02</w:t>
            </w:r>
          </w:p>
        </w:tc>
        <w:tc>
          <w:tcPr>
            <w:tcW w:type="dxa" w:w="2304"/>
            <w:tcMar>
              <w:top w:w="80" w:type="dxa"/>
              <w:bottom w:w="80" w:type="dxa"/>
              <w:left w:w="100" w:type="dxa"/>
              <w:right w:w="100" w:type="dxa"/>
            </w:tcMar>
          </w:tcPr>
          <w:p>
            <w:r>
              <w:rPr>
                <w:sz w:val="16"/>
              </w:rPr>
              <w:t>"4-year-old child 102F fever and coughing"</w:t>
            </w:r>
          </w:p>
        </w:tc>
        <w:tc>
          <w:tcPr>
            <w:tcW w:type="dxa" w:w="2304"/>
            <w:tcMar>
              <w:top w:w="80" w:type="dxa"/>
              <w:bottom w:w="80" w:type="dxa"/>
              <w:left w:w="100" w:type="dxa"/>
              <w:right w:w="100" w:type="dxa"/>
            </w:tcMar>
          </w:tcPr>
          <w:p>
            <w:r>
              <w:rPr>
                <w:sz w:val="16"/>
              </w:rPr>
              <w:t>Route to Pediatrics; classify as Routine/Urgent; recommend Dr. Sarah Jenkins.</w:t>
            </w:r>
          </w:p>
        </w:tc>
        <w:tc>
          <w:tcPr>
            <w:tcW w:type="dxa" w:w="2304"/>
            <w:tcMar>
              <w:top w:w="80" w:type="dxa"/>
              <w:bottom w:w="80" w:type="dxa"/>
              <w:left w:w="100" w:type="dxa"/>
              <w:right w:w="100" w:type="dxa"/>
            </w:tcMar>
          </w:tcPr>
          <w:p>
            <w:r>
              <w:rPr>
                <w:sz w:val="16"/>
              </w:rPr>
              <w:t>Pediatrics assigned; Dr. Sarah Jenkins pre-selected; consultation fee rendered.</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E3A8A"/>
                <w:sz w:val="16"/>
              </w:rPr>
              <w:t>TC-03</w:t>
            </w:r>
          </w:p>
        </w:tc>
        <w:tc>
          <w:tcPr>
            <w:tcW w:type="dxa" w:w="2304"/>
            <w:tcMar>
              <w:top w:w="80" w:type="dxa"/>
              <w:bottom w:w="80" w:type="dxa"/>
              <w:left w:w="100" w:type="dxa"/>
              <w:right w:w="100" w:type="dxa"/>
            </w:tcMar>
          </w:tcPr>
          <w:p>
            <w:r>
              <w:rPr>
                <w:sz w:val="16"/>
              </w:rPr>
              <w:t>Advance Step 1 with unselected doctor</w:t>
            </w:r>
          </w:p>
        </w:tc>
        <w:tc>
          <w:tcPr>
            <w:tcW w:type="dxa" w:w="2304"/>
            <w:tcMar>
              <w:top w:w="80" w:type="dxa"/>
              <w:bottom w:w="80" w:type="dxa"/>
              <w:left w:w="100" w:type="dxa"/>
              <w:right w:w="100" w:type="dxa"/>
            </w:tcMar>
          </w:tcPr>
          <w:p>
            <w:r>
              <w:rPr>
                <w:sz w:val="16"/>
              </w:rPr>
              <w:t>Halt wizard transition; trigger toast: "Please choose a specialist doctor".</w:t>
            </w:r>
          </w:p>
        </w:tc>
        <w:tc>
          <w:tcPr>
            <w:tcW w:type="dxa" w:w="2304"/>
            <w:tcMar>
              <w:top w:w="80" w:type="dxa"/>
              <w:bottom w:w="80" w:type="dxa"/>
              <w:left w:w="100" w:type="dxa"/>
              <w:right w:w="100" w:type="dxa"/>
            </w:tcMar>
          </w:tcPr>
          <w:p>
            <w:r>
              <w:rPr>
                <w:sz w:val="16"/>
              </w:rPr>
              <w:t>Step blocked; red toast warning displayed; focus retained on doctor selection grid.</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E3A8A"/>
                <w:sz w:val="16"/>
              </w:rPr>
              <w:t>TC-04</w:t>
            </w:r>
          </w:p>
        </w:tc>
        <w:tc>
          <w:tcPr>
            <w:tcW w:type="dxa" w:w="2304"/>
            <w:tcMar>
              <w:top w:w="80" w:type="dxa"/>
              <w:bottom w:w="80" w:type="dxa"/>
              <w:left w:w="100" w:type="dxa"/>
              <w:right w:w="100" w:type="dxa"/>
            </w:tcMar>
          </w:tcPr>
          <w:p>
            <w:r>
              <w:rPr>
                <w:sz w:val="16"/>
              </w:rPr>
              <w:t>Attempt to select yesterday's calendar date</w:t>
            </w:r>
          </w:p>
        </w:tc>
        <w:tc>
          <w:tcPr>
            <w:tcW w:type="dxa" w:w="2304"/>
            <w:tcMar>
              <w:top w:w="80" w:type="dxa"/>
              <w:bottom w:w="80" w:type="dxa"/>
              <w:left w:w="100" w:type="dxa"/>
              <w:right w:w="100" w:type="dxa"/>
            </w:tcMar>
          </w:tcPr>
          <w:p>
            <w:r>
              <w:rPr>
                <w:sz w:val="16"/>
              </w:rPr>
              <w:t>HTML5 date picker restricts past dates; enforce min = tomorrow.</w:t>
            </w:r>
          </w:p>
        </w:tc>
        <w:tc>
          <w:tcPr>
            <w:tcW w:type="dxa" w:w="2304"/>
            <w:tcMar>
              <w:top w:w="80" w:type="dxa"/>
              <w:bottom w:w="80" w:type="dxa"/>
              <w:left w:w="100" w:type="dxa"/>
              <w:right w:w="100" w:type="dxa"/>
            </w:tcMar>
          </w:tcPr>
          <w:p>
            <w:r>
              <w:rPr>
                <w:sz w:val="16"/>
              </w:rPr>
              <w:t>Past dates greyed out and unselectable in date picker input element.</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E3A8A"/>
                <w:sz w:val="16"/>
              </w:rPr>
              <w:t>TC-05</w:t>
            </w:r>
          </w:p>
        </w:tc>
        <w:tc>
          <w:tcPr>
            <w:tcW w:type="dxa" w:w="2304"/>
            <w:tcMar>
              <w:top w:w="80" w:type="dxa"/>
              <w:bottom w:w="80" w:type="dxa"/>
              <w:left w:w="100" w:type="dxa"/>
              <w:right w:w="100" w:type="dxa"/>
            </w:tcMar>
          </w:tcPr>
          <w:p>
            <w:r>
              <w:rPr>
                <w:sz w:val="16"/>
              </w:rPr>
              <w:t>Nonsensical input ("qwerty 12345")</w:t>
            </w:r>
          </w:p>
        </w:tc>
        <w:tc>
          <w:tcPr>
            <w:tcW w:type="dxa" w:w="2304"/>
            <w:tcMar>
              <w:top w:w="80" w:type="dxa"/>
              <w:bottom w:w="80" w:type="dxa"/>
              <w:left w:w="100" w:type="dxa"/>
              <w:right w:w="100" w:type="dxa"/>
            </w:tcMar>
          </w:tcPr>
          <w:p>
            <w:r>
              <w:rPr>
                <w:sz w:val="16"/>
              </w:rPr>
              <w:t>Recognize zero keyword matches; safe fallback to General Medicine consultation.</w:t>
            </w:r>
          </w:p>
        </w:tc>
        <w:tc>
          <w:tcPr>
            <w:tcW w:type="dxa" w:w="2304"/>
            <w:tcMar>
              <w:top w:w="80" w:type="dxa"/>
              <w:bottom w:w="80" w:type="dxa"/>
              <w:left w:w="100" w:type="dxa"/>
              <w:right w:w="100" w:type="dxa"/>
            </w:tcMar>
          </w:tcPr>
          <w:p>
            <w:r>
              <w:rPr>
                <w:sz w:val="16"/>
              </w:rPr>
              <w:t>Polite fallback triggered: "Symptoms unclear; routed to General Medicine for evaluation".</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E3A8A"/>
                <w:sz w:val="16"/>
              </w:rPr>
              <w:t>TC-06</w:t>
            </w:r>
          </w:p>
        </w:tc>
        <w:tc>
          <w:tcPr>
            <w:tcW w:type="dxa" w:w="2304"/>
            <w:tcMar>
              <w:top w:w="80" w:type="dxa"/>
              <w:bottom w:w="80" w:type="dxa"/>
              <w:left w:w="100" w:type="dxa"/>
              <w:right w:w="100" w:type="dxa"/>
            </w:tcMar>
          </w:tcPr>
          <w:p>
            <w:r>
              <w:rPr>
                <w:sz w:val="16"/>
              </w:rPr>
              <w:t>Attending doctor marks appointment "Completed"</w:t>
            </w:r>
          </w:p>
        </w:tc>
        <w:tc>
          <w:tcPr>
            <w:tcW w:type="dxa" w:w="2304"/>
            <w:tcMar>
              <w:top w:w="80" w:type="dxa"/>
              <w:bottom w:w="80" w:type="dxa"/>
              <w:left w:w="100" w:type="dxa"/>
              <w:right w:w="100" w:type="dxa"/>
            </w:tcMar>
          </w:tcPr>
          <w:p>
            <w:r>
              <w:rPr>
                <w:sz w:val="16"/>
              </w:rPr>
              <w:t>Record status updates in localStorage; patient dashboard reflects completed visit.</w:t>
            </w:r>
          </w:p>
        </w:tc>
        <w:tc>
          <w:tcPr>
            <w:tcW w:type="dxa" w:w="2304"/>
            <w:tcMar>
              <w:top w:w="80" w:type="dxa"/>
              <w:bottom w:w="80" w:type="dxa"/>
              <w:left w:w="100" w:type="dxa"/>
              <w:right w:w="100" w:type="dxa"/>
            </w:tcMar>
          </w:tcPr>
          <w:p>
            <w:r>
              <w:rPr>
                <w:sz w:val="16"/>
              </w:rPr>
              <w:t>Instant bi-directional synchronization confirmed; patient record marked Completed.</w:t>
            </w:r>
          </w:p>
        </w:tc>
        <w:tc>
          <w:tcPr>
            <w:tcW w:type="dxa" w:w="1296"/>
            <w:shd w:fill="F0FDF4"/>
            <w:tcMar>
              <w:top w:w="80" w:type="dxa"/>
              <w:bottom w:w="80" w:type="dxa"/>
              <w:left w:w="100" w:type="dxa"/>
              <w:right w:w="100" w:type="dxa"/>
            </w:tcMar>
          </w:tcPr>
          <w:p>
            <w:r>
              <w:rPr>
                <w:b/>
                <w:color w:val="166534"/>
                <w:sz w:val="16"/>
              </w:rPr>
              <w:t>PASSED</w:t>
            </w:r>
          </w:p>
        </w:tc>
      </w:tr>
    </w:tbl>
    <w:p>
      <w:pPr>
        <w:spacing w:after="240"/>
      </w:pPr>
    </w:p>
    <w:p>
      <w:pPr>
        <w:keepNext/>
        <w:spacing w:before="240" w:after="80"/>
      </w:pPr>
      <w:r>
        <w:rPr>
          <w:rFonts w:ascii="Arial" w:hAnsi="Arial"/>
          <w:b/>
          <w:color w:val="0D9488"/>
          <w:sz w:val="25"/>
        </w:rPr>
        <w:t>4.6 Phase 6: Critical Case Study — Overcoming Dangerous AI Assumptions</w:t>
      </w:r>
    </w:p>
    <w:p>
      <w:pPr>
        <w:spacing w:line="300" w:lineRule="auto"/>
      </w:pPr>
      <w:r>
        <w:t>Our Most Vital Academic Learning: During initial testing, the AI generated naive string-matching logic (e.g., text.includes("chest")). When we tested the urgent input "severe crushing chest pain and I cannot breathe", the naive code simply matched "chest", classified the clinical urgency as "Routine", and offered an appointment for next week! A real physician would never permit such an error—the patient could suffer cardiac arrest in the waiting room. We formulated a corrective Chain-of-Thought prompt demanding deterministic red-flag intercepts and inspectable clinical reasoning logs:</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9FF"/>
            <w:tcBorders>
              <w:top w:val="none"/>
              <w:left w:val="single" w:sz="36" w:space="0" w:color="0284C7"/>
              <w:bottom w:val="none"/>
              <w:right w:val="none"/>
            </w:tcBorders>
          </w:tcPr>
          <w:p>
            <w:pPr>
              <w:spacing w:after="80"/>
            </w:pPr>
            <w:r>
              <w:rPr>
                <w:rFonts w:ascii="Consolas" w:hAnsi="Consolas"/>
                <w:b/>
                <w:color w:val="0284C7"/>
                <w:sz w:val="19"/>
              </w:rPr>
              <w:t xml:space="preserve">[IMPROVEMENT PROMPT: CHAIN-OF-THOUGHT + SELF-CORRECTION] </w:t>
            </w:r>
            <w:r>
              <w:rPr>
                <w:rFonts w:ascii="Calibri" w:hAnsi="Calibri"/>
                <w:i/>
                <w:color w:val="4B5563"/>
                <w:sz w:val="19"/>
              </w:rPr>
              <w:t>Refactoring naive text matching into deterministic clinical triage logic</w:t>
              <w:br/>
            </w:r>
          </w:p>
          <w:p>
            <w:pPr>
              <w:spacing w:after="40"/>
            </w:pPr>
            <w:r>
              <w:rPr>
                <w:rFonts w:ascii="Consolas" w:hAnsi="Consolas"/>
                <w:color w:val="0F172A"/>
                <w:sz w:val="18"/>
              </w:rPr>
              <w:t>Review the initial symptom matching logic. Currently, it only checks simple substrings. Critique and improve this triage system: Issues to solve: 1. What happens if a patient enters life-threatening symptoms like "crushing chest pain" or "sudden facial paralysis"? It MUST immediately trigger a level-1 Emergency warning. 2. If symptoms match multiple departments, how is the tie broken? Introduce a weighted urgency scoring system. 3. How can we make the AI's internal reasoning transparent to medical evaluators? Add an inspectable Chain-of-Thought reasoning trace to the modal output. Provide the improved JavaScript module with robust fallbacks.</w:t>
            </w:r>
          </w:p>
        </w:tc>
      </w:tr>
    </w:tbl>
    <w:p>
      <w:pPr>
        <w:spacing w:after="120"/>
      </w:pPr>
    </w:p>
    <w:p>
      <w:pPr>
        <w:spacing w:line="300" w:lineRule="auto" w:after="240"/>
      </w:pPr>
      <w:r>
        <w:t>Output Generated: The AI completely re-engineered js/ai-triage.js, implementing a multi-tiered diagnostic pipeline: Tier 1 deterministic red-flag keyword interceptor, Tier 2 weighted urgency scoring, and Tier 3 transparent Chain-of-Thought reasoning traces.</w:t>
      </w:r>
    </w:p>
    <w:p>
      <w:pPr>
        <w:keepNext/>
        <w:spacing w:before="320" w:after="160"/>
      </w:pPr>
      <w:r>
        <w:rPr>
          <w:rFonts w:ascii="Arial" w:hAnsi="Arial"/>
          <w:b/>
          <w:color w:val="1E3A8A"/>
          <w:sz w:val="32"/>
        </w:rPr>
        <w:t>5. Application Architecture &amp; Component Design</w:t>
      </w:r>
    </w:p>
    <w:p>
      <w:pPr>
        <w:keepNext/>
        <w:spacing w:before="240" w:after="80"/>
      </w:pPr>
      <w:r>
        <w:rPr>
          <w:rFonts w:ascii="Arial" w:hAnsi="Arial"/>
          <w:b/>
          <w:color w:val="0D9488"/>
          <w:sz w:val="25"/>
        </w:rPr>
        <w:t>5.1 Multi-Page Architecture Topology &amp; Data Flow</w:t>
      </w:r>
    </w:p>
    <w:p>
      <w:pPr>
        <w:spacing w:line="300" w:lineRule="auto" w:after="160"/>
      </w:pPr>
      <w:r>
        <w:t>CarePulse coordinates across 7 dedicated page contexts interconnected through URL query parameters and synchronized via browser localStorage. Figure 5.1 illustrates the structural topography and data interchange pathways of the application:</w:t>
      </w:r>
    </w:p>
    <w:p>
      <w:pPr>
        <w:spacing w:after="80"/>
        <w:jc w:val="center"/>
      </w:pPr>
      <w:r>
        <w:drawing>
          <wp:inline xmlns:a="http://schemas.openxmlformats.org/drawingml/2006/main" xmlns:pic="http://schemas.openxmlformats.org/drawingml/2006/picture">
            <wp:extent cx="5669280" cy="396849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3968496"/>
                    </a:xfrm>
                    <a:prstGeom prst="rect"/>
                  </pic:spPr>
                </pic:pic>
              </a:graphicData>
            </a:graphic>
          </wp:inline>
        </w:drawing>
      </w:r>
    </w:p>
    <w:p>
      <w:pPr>
        <w:spacing w:after="240"/>
        <w:jc w:val="center"/>
      </w:pPr>
      <w:r>
        <w:rPr>
          <w:rFonts w:ascii="Calibri" w:hAnsi="Calibri"/>
          <w:b/>
          <w:color w:val="4B5563"/>
          <w:sz w:val="19"/>
        </w:rPr>
        <w:t>Figure 5.1: CarePulse Multi-Page Architecture, Inter-Module Routing &amp; State Synchronization Topology</w:t>
      </w:r>
    </w:p>
    <w:p>
      <w:pPr>
        <w:keepNext/>
        <w:spacing w:before="240" w:after="80"/>
      </w:pPr>
      <w:r>
        <w:rPr>
          <w:rFonts w:ascii="Arial" w:hAnsi="Arial"/>
          <w:b/>
          <w:color w:val="0D9488"/>
          <w:sz w:val="25"/>
        </w:rPr>
        <w:t>5.2 Core User Interface Components</w:t>
      </w:r>
    </w:p>
    <w:p>
      <w:pPr>
        <w:pStyle w:val="ListBullet"/>
        <w:spacing w:line="300" w:lineRule="auto" w:after="80"/>
      </w:pPr>
      <w:r>
        <w:rPr>
          <w:b/>
          <w:color w:val="1E3A8A"/>
        </w:rPr>
        <w:t xml:space="preserve">Persistent Emergency Hotline Topbar: </w:t>
      </w:r>
      <w:r>
        <w:t>Renders an unmissable high-contrast emergency warning band (+1 (800) 911-CARE) across every page of the web application, ensuring patients in crisis are directed to emergency dispatch immediately.</w:t>
      </w:r>
    </w:p>
    <w:p>
      <w:pPr>
        <w:pStyle w:val="ListBullet"/>
        <w:spacing w:line="300" w:lineRule="auto" w:after="80"/>
      </w:pPr>
      <w:r>
        <w:rPr>
          <w:b/>
          <w:color w:val="1E3A8A"/>
        </w:rPr>
        <w:t xml:space="preserve">AuraCare AI Triage Engine: </w:t>
      </w:r>
      <w:r>
        <w:t>Natural language input parser capable of analyzing colloquial symptoms, extracting clinical urgency tags, identifying red-flag syndromes, and generating explainable Chain-of-Thought reasoning logs.</w:t>
      </w:r>
    </w:p>
    <w:p>
      <w:pPr>
        <w:pStyle w:val="ListBullet"/>
        <w:spacing w:line="300" w:lineRule="auto" w:after="80"/>
      </w:pPr>
      <w:r>
        <w:rPr>
          <w:b/>
          <w:color w:val="1E3A8A"/>
        </w:rPr>
        <w:t xml:space="preserve">4-Step Consultation Booking Wizard: </w:t>
      </w:r>
      <w:r>
        <w:t>Interactive progress indicator, dynamic department-to-doctor filtering, intelligent date restriction (disabling historical dates), and morning/afternoon/evening availability slot matrix.</w:t>
      </w:r>
    </w:p>
    <w:p>
      <w:pPr>
        <w:pStyle w:val="ListBullet"/>
        <w:spacing w:line="300" w:lineRule="auto" w:after="80"/>
      </w:pPr>
      <w:r>
        <w:rPr>
          <w:b/>
          <w:color w:val="1E3A8A"/>
        </w:rPr>
        <w:t xml:space="preserve">Digital Scannable Appointment Slip: </w:t>
      </w:r>
      <w:r>
        <w:t>Clean dashed-border verification pass featuring unique identifiers (e.g. APT-8821), simulated QR/barcode encoding, and dedicated @media print CSS for physical hardcopy generation.</w:t>
      </w:r>
    </w:p>
    <w:p>
      <w:pPr>
        <w:pStyle w:val="ListBullet"/>
        <w:spacing w:line="300" w:lineRule="auto" w:after="80"/>
      </w:pPr>
      <w:r>
        <w:rPr>
          <w:b/>
          <w:color w:val="1E3A8A"/>
        </w:rPr>
        <w:t xml:space="preserve">Interactive In-App Prompt Dossier: </w:t>
      </w:r>
      <w:r>
        <w:t>Educational staff inspection panel allowing evaluators and clinicians to inspect original prompt architectures, copy prompt templates, and simulate Zero-Shot vs Few-Shot vs Chain-of-Thought AI outputs.</w:t>
      </w:r>
    </w:p>
    <w:p>
      <w:pPr>
        <w:spacing w:after="240"/>
      </w:pPr>
    </w:p>
    <w:p>
      <w:pPr>
        <w:keepNext/>
        <w:spacing w:before="320" w:after="160"/>
      </w:pPr>
      <w:r>
        <w:rPr>
          <w:rFonts w:ascii="Arial" w:hAnsi="Arial"/>
          <w:b/>
          <w:color w:val="1E3A8A"/>
          <w:sz w:val="32"/>
        </w:rPr>
        <w:t>6. Final Application Implementation &amp; Live Verification</w:t>
      </w:r>
    </w:p>
    <w:p>
      <w:pPr>
        <w:spacing w:line="300" w:lineRule="auto" w:after="160"/>
      </w:pPr>
      <w:r>
        <w:t>The completed CarePulse application demonstrates seamless cohesion between prompt engineering, clinical safeguarding, and client-side performance. Key functional capabilities verified in production include:</w:t>
      </w:r>
    </w:p>
    <w:p>
      <w:pPr>
        <w:pStyle w:val="ListBullet"/>
        <w:spacing w:line="300" w:lineRule="auto" w:after="80"/>
      </w:pPr>
      <w:r>
        <w:rPr>
          <w:b/>
          <w:color w:val="1E3A8A"/>
        </w:rPr>
        <w:t xml:space="preserve">Autonomous Symptom Triaging: </w:t>
      </w:r>
      <w:r>
        <w:t>Patients describe symptoms in everyday vernacular (e.g. "Sharp chest pain when breathing and dizziness"). The system intercepts acute conditions, assigns Cardiology, recommends Dr. Elena Rostova, and renders its reasoning trace.</w:t>
      </w:r>
    </w:p>
    <w:p>
      <w:pPr>
        <w:pStyle w:val="ListBullet"/>
        <w:spacing w:line="300" w:lineRule="auto" w:after="80"/>
      </w:pPr>
      <w:r>
        <w:rPr>
          <w:b/>
          <w:color w:val="1E3A8A"/>
        </w:rPr>
        <w:t xml:space="preserve">Frictionless Parameter Passing: </w:t>
      </w:r>
      <w:r>
        <w:t>Selecting "Select &amp; Book" automatically pre-fills the consultation wizard with the patient's symptoms, selected department, and chosen specialist via URL query strings.</w:t>
      </w:r>
    </w:p>
    <w:p>
      <w:pPr>
        <w:pStyle w:val="ListBullet"/>
        <w:spacing w:line="300" w:lineRule="auto" w:after="80"/>
      </w:pPr>
      <w:r>
        <w:rPr>
          <w:b/>
          <w:color w:val="1E3A8A"/>
        </w:rPr>
        <w:t xml:space="preserve">Real-Time Bi-Directional State Synchronization: </w:t>
      </w:r>
      <w:r>
        <w:t>Bookings completed by patients instantly update the clinical roster of doctor-portal.html via localStorage, where attending doctors can review symptom notes and update encounter statuses.</w:t>
      </w:r>
    </w:p>
    <w:p>
      <w:pPr>
        <w:pStyle w:val="ListBullet"/>
        <w:spacing w:line="300" w:lineRule="auto" w:after="80"/>
      </w:pPr>
      <w:r>
        <w:rPr>
          <w:b/>
          <w:color w:val="1E3A8A"/>
        </w:rPr>
        <w:t xml:space="preserve">Zero Installation &amp; Universal Accessibility: </w:t>
      </w:r>
      <w:r>
        <w:t>The entire system runs natively in any standard web browser without npm packages, backend build pipelines, or database installations. The live application is hosted on Netlify at: https://careplusehospital.netlify.app/</w:t>
      </w:r>
    </w:p>
    <w:p>
      <w:pPr>
        <w:spacing w:after="240"/>
      </w:pPr>
    </w:p>
    <w:p>
      <w:pPr>
        <w:keepNext/>
        <w:spacing w:before="320" w:after="160"/>
      </w:pPr>
      <w:r>
        <w:rPr>
          <w:rFonts w:ascii="Arial" w:hAnsi="Arial"/>
          <w:b/>
          <w:color w:val="1E3A8A"/>
          <w:sz w:val="32"/>
        </w:rPr>
        <w:t>7. Conclusion, Academic Reflections &amp; Future Directions</w:t>
      </w:r>
    </w:p>
    <w:p>
      <w:pPr>
        <w:keepNext/>
        <w:spacing w:before="240" w:after="80"/>
      </w:pPr>
      <w:r>
        <w:rPr>
          <w:rFonts w:ascii="Arial" w:hAnsi="Arial"/>
          <w:b/>
          <w:color w:val="0D9488"/>
          <w:sz w:val="25"/>
        </w:rPr>
        <w:t>7.1 Key Learnings in AI-Augmented Engineering</w:t>
      </w:r>
    </w:p>
    <w:p>
      <w:pPr>
        <w:spacing w:line="300" w:lineRule="auto" w:after="120"/>
      </w:pPr>
      <w:r>
        <w:t>Developing CarePulse taught our team a transformative lesson regarding the evolution of computer science: The primary discipline of software engineering is rapidly shifting from manual syntax generation toward designing rigorously constrained, verifiable, and empathetic systems of thought. When we initiated this project, we assumed generative AI would autonomously deliver a fully functional clinical application from a single casual instruction. We quickly learned that unsupervised AI generates code plagued by severe scope bloat, naive algorithmic assumptions, and perilous clinical oversights.</w:t>
      </w:r>
    </w:p>
    <w:p>
      <w:pPr>
        <w:keepNext/>
        <w:spacing w:before="240" w:after="80"/>
      </w:pPr>
      <w:r>
        <w:rPr>
          <w:rFonts w:ascii="Arial" w:hAnsi="Arial"/>
          <w:b/>
          <w:color w:val="0D9488"/>
          <w:sz w:val="25"/>
        </w:rPr>
        <w:t>7.2 The Indispensable Role of Human Critical Thinking</w:t>
      </w:r>
    </w:p>
    <w:p>
      <w:pPr>
        <w:spacing w:line="300" w:lineRule="auto" w:after="120"/>
      </w:pPr>
      <w:r>
        <w:t>Human engineering discernment and clinical ethics remain entirely irreplaceable. It required human intuition to detect the AI's naive symptom-matching flaws, enforce emergency red-flag safeguards, design accessible WCAG typography for elderly users, and maintain a zero-bloat architecture. Prompt engineering is not merely "asking an AI for code"—it is the formal specification of domain constraints, verification frameworks, and fail-safe architectures.</w:t>
      </w:r>
    </w:p>
    <w:p>
      <w:pPr>
        <w:keepNext/>
        <w:spacing w:before="240" w:after="80"/>
      </w:pPr>
      <w:r>
        <w:rPr>
          <w:rFonts w:ascii="Arial" w:hAnsi="Arial"/>
          <w:b/>
          <w:color w:val="0D9488"/>
          <w:sz w:val="25"/>
        </w:rPr>
        <w:t>7.3 Limitations &amp; Future Research Directions</w:t>
      </w:r>
    </w:p>
    <w:p>
      <w:pPr>
        <w:spacing w:line="300" w:lineRule="auto" w:after="280"/>
      </w:pPr>
      <w:r>
        <w:t>While CarePulse successfully achieves its outpatient triage objectives, future iterations will explore: 1. Integration with HL7/FHIR healthcare interoperability standards for Electronic Health Record (EHR) synchronization; 2. Multi-lingual voice triage parsing to support rural and non-English-literate demographics; and 3. Privacy-preserving federated machine learning to continuously calibrate symptom triage weights against verified clinical diagnostic data.</w:t>
      </w:r>
    </w:p>
    <w:p>
      <w:pPr>
        <w:keepNext/>
        <w:spacing w:before="320" w:after="160"/>
      </w:pPr>
      <w:r>
        <w:rPr>
          <w:rFonts w:ascii="Arial" w:hAnsi="Arial"/>
          <w:b/>
          <w:color w:val="1E3A8A"/>
          <w:sz w:val="32"/>
        </w:rPr>
        <w:t xml:space="preserve"> References &amp; Academic Bibliography</w:t>
      </w:r>
    </w:p>
    <w:p>
      <w:pPr>
        <w:spacing w:line="276" w:lineRule="auto" w:after="80"/>
        <w:ind w:left="576" w:hanging="576"/>
      </w:pPr>
      <w:r>
        <w:rPr>
          <w:color w:val="1F2937"/>
          <w:sz w:val="19"/>
        </w:rPr>
        <w:t>[1] World Health Organization (WHO), "Digital health technical advisory group: overview of digital triage in primary care facilities," WHO Technical Report Series, Geneva, 2023.</w:t>
      </w:r>
    </w:p>
    <w:p>
      <w:pPr>
        <w:spacing w:line="276" w:lineRule="auto" w:after="80"/>
        <w:ind w:left="576" w:hanging="576"/>
      </w:pPr>
      <w:r>
        <w:rPr>
          <w:color w:val="1F2937"/>
          <w:sz w:val="19"/>
        </w:rPr>
        <w:t>[2] J. Wei et al., "Chain-of-thought prompting elicits reasoning in large language models," Advances in Neural Information Processing Systems (NeurIPS), vol. 35, pp. 24824–24837, 2022.</w:t>
      </w:r>
    </w:p>
    <w:p>
      <w:pPr>
        <w:spacing w:line="276" w:lineRule="auto" w:after="80"/>
        <w:ind w:left="576" w:hanging="576"/>
      </w:pPr>
      <w:r>
        <w:rPr>
          <w:color w:val="1F2937"/>
          <w:sz w:val="19"/>
        </w:rPr>
        <w:t>[3] P. Lewis et al., "Retrieval-augmented generation for knowledge-intensive NLP tasks," Advances in Neural Information Processing Systems (NeurIPS), vol. 33, pp. 9459–9474, 2020.</w:t>
      </w:r>
    </w:p>
    <w:p>
      <w:pPr>
        <w:spacing w:line="276" w:lineRule="auto" w:after="80"/>
        <w:ind w:left="576" w:hanging="576"/>
      </w:pPr>
      <w:r>
        <w:rPr>
          <w:color w:val="1F2937"/>
          <w:sz w:val="19"/>
        </w:rPr>
        <w:t>[4] World Wide Web Consortium (W3C), "Web Content Accessibility Guidelines (WCAG) 2.1," W3C Recommendation, 2018. Available: https://www.w3.org/TR/WCAG21/</w:t>
      </w:r>
    </w:p>
    <w:p>
      <w:pPr>
        <w:spacing w:line="276" w:lineRule="auto" w:after="80"/>
        <w:ind w:left="576" w:hanging="576"/>
      </w:pPr>
      <w:r>
        <w:rPr>
          <w:color w:val="1F2937"/>
          <w:sz w:val="19"/>
        </w:rPr>
        <w:t>[5] A. Radford et al., "Language models are few-shot learners," Advances in Neural Information Processing Systems (NeurIPS), vol. 33, pp. 1877–1901, 2020.</w:t>
      </w:r>
    </w:p>
    <w:p>
      <w:pPr>
        <w:spacing w:line="276" w:lineRule="auto" w:after="80"/>
        <w:ind w:left="576" w:hanging="576"/>
      </w:pPr>
      <w:r>
        <w:rPr>
          <w:color w:val="1F2937"/>
          <w:sz w:val="19"/>
        </w:rPr>
        <w:t>[6] American College of Cardiology &amp; American Heart Association, "2020 Guideline for the Management of Patients With Acute Coronary Syndromes," Circulation, vol. 142, no. 23, pp. e362–e410, 2020.</w:t>
      </w:r>
    </w:p>
    <w:p>
      <w:pPr>
        <w:spacing w:line="276" w:lineRule="auto" w:after="80"/>
        <w:ind w:left="576" w:hanging="576"/>
      </w:pPr>
      <w:r>
        <w:rPr>
          <w:color w:val="1F2937"/>
          <w:sz w:val="19"/>
        </w:rPr>
        <w:t>[7] CarePulse Hospital Live Web Application Deployment, Netlify Cloud Infrastructure, 2026. Available: https://careplusehospital.netlify.app/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B5563"/>
        <w:sz w:val="17"/>
      </w:rPr>
      <w:t xml:space="preserve">Academic Project Report — Student: Mungra Mihir (92600118810) </w:t>
      <w:tab/>
      <w:t xml:space="preserve">Page </w:t>
    </w:r>
    <w:r>
      <w:rPr>
        <w:color w:val="4B5563"/>
        <w:sz w:val="17"/>
      </w:rPr>
      <w:fldSimple w:instr="PAGE"/>
    </w:r>
    <w:r>
      <w:rPr>
        <w:color w:val="4B5563"/>
        <w:sz w:val="17"/>
      </w:rPr>
      <w:t xml:space="preserve"> of </w:t>
    </w:r>
    <w:r>
      <w:rPr>
        <w:color w:val="4B5563"/>
        <w:sz w:val="17"/>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7"/>
      </w:rPr>
      <w:t>CarePulse: AI-Assisted Healthcare &amp; Outpatient Triage | Semester 3 CSE (AI/ML)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