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cs="Times New Roman"/>
          <w:b/>
          <w:i w:val="0"/>
          <w:sz w:val="36"/>
          <w:u w:val="single"/>
        </w:rPr>
        <w:t>KATHMANDU UNIVERSITY</w:t>
      </w:r>
    </w:p>
    <w:p>
      <w:pPr>
        <w:spacing w:before="0" w:after="720"/>
        <w:jc w:val="center"/>
      </w:pPr>
      <w:r>
        <w:rPr>
          <w:rFonts w:ascii="Times New Roman" w:hAnsi="Times New Roman" w:cs="Times New Roman"/>
          <w:b/>
          <w:i w:val="0"/>
          <w:sz w:val="28"/>
          <w:u w:val="none"/>
        </w:rPr>
        <w:t>DHULIKHEL, NEPAL</w:t>
      </w:r>
    </w:p>
    <w:p>
      <w:pPr>
        <w:spacing w:before="0" w:after="240"/>
        <w:jc w:val="center"/>
      </w:pPr>
      <w:r>
        <w:rPr>
          <w:rFonts w:ascii="Times New Roman" w:hAnsi="Times New Roman" w:cs="Times New Roman"/>
          <w:b/>
          <w:i w:val="0"/>
          <w:sz w:val="28"/>
          <w:u w:val="single"/>
        </w:rPr>
        <w:t>A PROJECT REPORT ON:</w:t>
      </w:r>
    </w:p>
    <w:p>
      <w:pPr>
        <w:spacing w:before="0" w:after="720"/>
        <w:jc w:val="center"/>
      </w:pPr>
      <w:r>
        <w:rPr>
          <w:rFonts w:ascii="Times New Roman" w:hAnsi="Times New Roman" w:cs="Times New Roman"/>
          <w:b w:val="0"/>
          <w:i w:val="0"/>
          <w:sz w:val="28"/>
          <w:u w:val="none"/>
        </w:rPr>
        <w:t>WISN CORE: A WEB-BASED HOSPITAL HUMAN RESOURCE MANAGEMENT PROTOTYPE</w:t>
      </w:r>
    </w:p>
    <w:p>
      <w:pPr>
        <w:spacing w:before="0" w:after="240"/>
        <w:jc w:val="center"/>
      </w:pPr>
      <w:r>
        <w:rPr>
          <w:rFonts w:ascii="Times New Roman" w:hAnsi="Times New Roman" w:cs="Times New Roman"/>
          <w:b/>
          <w:i w:val="0"/>
          <w:sz w:val="28"/>
          <w:u w:val="single"/>
        </w:rPr>
        <w:t>SUBMITTED TO</w:t>
      </w:r>
    </w:p>
    <w:p>
      <w:pPr>
        <w:spacing w:before="0" w:after="80"/>
        <w:jc w:val="center"/>
      </w:pPr>
      <w:r>
        <w:rPr>
          <w:rFonts w:ascii="Times New Roman" w:hAnsi="Times New Roman" w:cs="Times New Roman"/>
          <w:b w:val="0"/>
          <w:i w:val="0"/>
          <w:sz w:val="24"/>
          <w:u w:val="none"/>
        </w:rPr>
        <w:t>Asst. Prof. Niranjan Rimal</w:t>
      </w:r>
    </w:p>
    <w:p>
      <w:pPr>
        <w:spacing w:before="0" w:after="720"/>
        <w:jc w:val="center"/>
      </w:pPr>
      <w:r>
        <w:rPr>
          <w:rFonts w:ascii="Times New Roman" w:hAnsi="Times New Roman" w:cs="Times New Roman"/>
          <w:b w:val="0"/>
          <w:i w:val="0"/>
          <w:sz w:val="24"/>
          <w:u w:val="none"/>
        </w:rPr>
        <w:t>DEPARTMENT OF HEALTH INFORMATICS, KATHMANDU UNIVERSITY</w:t>
      </w:r>
    </w:p>
    <w:p>
      <w:pPr>
        <w:spacing w:before="0" w:after="240"/>
        <w:jc w:val="center"/>
      </w:pPr>
      <w:r>
        <w:rPr>
          <w:rFonts w:ascii="Times New Roman" w:hAnsi="Times New Roman" w:cs="Times New Roman"/>
          <w:b/>
          <w:i w:val="0"/>
          <w:sz w:val="28"/>
          <w:u w:val="single"/>
        </w:rPr>
        <w:t>SUBMITTED BY</w:t>
      </w:r>
    </w:p>
    <w:p>
      <w:pPr>
        <w:spacing w:before="0" w:after="80"/>
        <w:jc w:val="center"/>
      </w:pPr>
      <w:r>
        <w:rPr>
          <w:rFonts w:ascii="Times New Roman" w:hAnsi="Times New Roman" w:cs="Times New Roman"/>
          <w:b w:val="0"/>
          <w:i w:val="0"/>
          <w:sz w:val="24"/>
          <w:u w:val="none"/>
        </w:rPr>
        <w:t>Suzata Pandit</w:t>
      </w:r>
    </w:p>
    <w:p>
      <w:pPr>
        <w:spacing w:before="0" w:after="0"/>
        <w:jc w:val="center"/>
      </w:pPr>
      <w:r>
        <w:rPr>
          <w:rFonts w:ascii="Times New Roman" w:hAnsi="Times New Roman" w:cs="Times New Roman"/>
          <w:b w:val="0"/>
          <w:i w:val="0"/>
          <w:sz w:val="24"/>
          <w:u w:val="none"/>
        </w:rPr>
        <w:t>Department of Health Informatics, Kathmandu University</w:t>
      </w:r>
    </w:p>
    <w:p>
      <w:pPr>
        <w:spacing w:before="0" w:after="0"/>
        <w:sectPr>
          <w:type w:val="nextPage"/>
          <w:pgSz w:w="12240" w:h="15840"/>
          <w:pgMar w:top="1800" w:right="1800" w:bottom="1800" w:left="2160" w:header="720" w:footer="720" w:gutter="0"/>
          <w:pgNumType w:fmt="decimal" w:start="1"/>
          <w:titlePg/>
        </w:sectPr>
      </w:pPr>
    </w:p>
    <w:p>
      <w:pPr>
        <w:spacing w:before="0" w:after="360"/>
        <w:jc w:val="center"/>
      </w:pPr>
      <w:r>
        <w:rPr>
          <w:rFonts w:ascii="Times New Roman" w:hAnsi="Times New Roman" w:cs="Times New Roman"/>
          <w:b/>
          <w:i w:val="0"/>
          <w:sz w:val="32"/>
          <w:u w:val="none"/>
        </w:rPr>
        <w:t>ABSTRACT</w:t>
      </w:r>
    </w:p>
    <w:p>
      <w:pPr/>
      <w:r>
        <w:rPr>
          <w:rFonts w:ascii="Times New Roman" w:hAnsi="Times New Roman" w:cs="Times New Roman"/>
          <w:b w:val="0"/>
          <w:i w:val="0"/>
          <w:sz w:val="24"/>
          <w:u w:val="none"/>
        </w:rPr>
        <w:t>WISN Core is a web-based hospital human resource management prototype designed to implement the World Health Organization's Workload Indicators of Staffing Need (WISN) methodology in a Nepalese hospital context. It provides hospital administrators and department heads with a real-time, evidence-based staffing analysis tool that converts raw workload data and statutory leave entitlements into quantified nurse staffing requirements.</w:t>
      </w:r>
    </w:p>
    <w:p>
      <w:pPr/>
      <w:r>
        <w:rPr>
          <w:rFonts w:ascii="Times New Roman" w:hAnsi="Times New Roman" w:cs="Times New Roman"/>
          <w:b w:val="0"/>
          <w:i w:val="0"/>
          <w:sz w:val="24"/>
          <w:u w:val="none"/>
        </w:rPr>
        <w:t>The system is built on the Laravel 10 PHP framework following the Model-View-Controller architectural pattern, with user authentication provided by Laravel Breeze and chart rendering by Chart.js. Data persistence uses a MySQL relational database normalised to Third Normal Form, with PDF report generation handled by the DomPDF library.</w:t>
      </w:r>
    </w:p>
    <w:p>
      <w:pPr/>
      <w:r>
        <w:rPr>
          <w:rFonts w:ascii="Times New Roman" w:hAnsi="Times New Roman" w:cs="Times New Roman"/>
          <w:b w:val="0"/>
          <w:i w:val="0"/>
          <w:sz w:val="24"/>
          <w:u w:val="none"/>
        </w:rPr>
        <w:t>The prototype quantifies clinical bottlenecks through three WISN workload components — health service activities, support activities, and additional activities — and derives each department's Available Working Time from six statutory parameters drawn from the Nepal Labour Act 2074 and the Nepal Health Service Regulations. The system is pre-populated with four empirically grounded Nepalese hospital departments (ICU, Emergency Department, General Medical Ward, and Surgical Ward) and twenty-eight workload activities derived from WHO standard time values and national health facility survey data.</w:t>
      </w:r>
    </w:p>
    <w:p>
      <w:pPr/>
      <w:r>
        <w:rPr>
          <w:rFonts w:ascii="Times New Roman" w:hAnsi="Times New Roman" w:cs="Times New Roman"/>
          <w:b w:val="0"/>
          <w:i w:val="0"/>
          <w:sz w:val="24"/>
          <w:u w:val="none"/>
        </w:rPr>
        <w:t>This project demonstrates that rigorous, empirically-seeded health informatics prototypes can bridge the gap between digital healthcare planning and evidence-based workforce management within a developing-country health system.</w:t>
      </w:r>
    </w:p>
    <w:p>
      <w:pPr/>
      <w:r>
        <w:rPr>
          <w:rFonts w:ascii="Times New Roman" w:hAnsi="Times New Roman" w:cs="Times New Roman"/>
          <w:b/>
          <w:i w:val="0"/>
          <w:sz w:val="24"/>
          <w:u w:val="none"/>
        </w:rPr>
        <w:t xml:space="preserve">Keywords: </w:t>
      </w:r>
      <w:r>
        <w:rPr>
          <w:rFonts w:ascii="Times New Roman" w:hAnsi="Times New Roman" w:cs="Times New Roman"/>
          <w:b w:val="0"/>
          <w:i w:val="0"/>
          <w:sz w:val="24"/>
          <w:u w:val="none"/>
        </w:rPr>
        <w:t>WISN, WHO, HRH, Laravel, Nursing Workload, Staffing, Nepal, Health Informatics, Available Working Time</w:t>
      </w:r>
    </w:p>
    <w:p>
      <w:r>
        <w:br w:type="page"/>
      </w:r>
    </w:p>
    <w:p>
      <w:pPr>
        <w:spacing w:before="0" w:after="360"/>
        <w:jc w:val="center"/>
      </w:pPr>
      <w:r>
        <w:rPr>
          <w:rFonts w:ascii="Times New Roman" w:hAnsi="Times New Roman" w:cs="Times New Roman"/>
          <w:b/>
          <w:i w:val="0"/>
          <w:sz w:val="32"/>
          <w:u w:val="none"/>
        </w:rPr>
        <w:t>ACKNOWLEDGEMENT</w:t>
      </w:r>
    </w:p>
    <w:p>
      <w:pPr/>
      <w:r>
        <w:rPr>
          <w:rFonts w:ascii="Times New Roman" w:hAnsi="Times New Roman" w:cs="Times New Roman"/>
          <w:b w:val="0"/>
          <w:i w:val="0"/>
          <w:sz w:val="24"/>
          <w:u w:val="none"/>
        </w:rPr>
        <w:t>We would like to express our sincere gratitude to the Department of Health Informatics for providing us with the academic foundation and institutional support necessary to undertake this project.</w:t>
      </w:r>
    </w:p>
    <w:p>
      <w:pPr/>
      <w:r>
        <w:rPr>
          <w:rFonts w:ascii="Times New Roman" w:hAnsi="Times New Roman" w:cs="Times New Roman"/>
          <w:b w:val="0"/>
          <w:i w:val="0"/>
          <w:sz w:val="24"/>
          <w:u w:val="none"/>
        </w:rPr>
        <w:t>We are deeply grateful to our project supervisor, Asst. Prof. Niranjan Rimal, for constant guidance, encouragement, and methodological support throughout the duration of this project. His expertise in health informatics provided invaluable direction at every stage of development.</w:t>
      </w:r>
    </w:p>
    <w:p>
      <w:pPr/>
      <w:r>
        <w:rPr>
          <w:rFonts w:ascii="Times New Roman" w:hAnsi="Times New Roman" w:cs="Times New Roman"/>
          <w:b w:val="0"/>
          <w:i w:val="0"/>
          <w:sz w:val="24"/>
          <w:u w:val="none"/>
        </w:rPr>
        <w:t>We also extend our thanks to the World Health Organization for making the WISN methodology publicly available, and to the Ministry of Health and Population, Nepal, for publishing the 2021 Nepal Health Facility Survey, which provided the empirical grounding for this prototype.</w:t>
      </w:r>
    </w:p>
    <w:p>
      <w:r>
        <w:br w:type="page"/>
      </w:r>
    </w:p>
    <w:p>
      <w:pPr>
        <w:spacing w:before="0" w:after="360"/>
        <w:jc w:val="center"/>
      </w:pPr>
      <w:r>
        <w:rPr>
          <w:rFonts w:ascii="Times New Roman" w:hAnsi="Times New Roman" w:cs="Times New Roman"/>
          <w:b/>
          <w:i w:val="0"/>
          <w:sz w:val="32"/>
          <w:u w:val="none"/>
        </w:rPr>
        <w:t>TABLE OF CONTENTS</w:t>
      </w:r>
    </w:p>
    <w:p>
      <w:pPr/>
      <w:r>
        <w:fldChar w:fldCharType="begin"/>
        <w:instrText xml:space="preserve"> TOC \o "1-4" \h \z \u </w:instrText>
        <w:fldChar w:fldCharType="separate"/>
        <w:fldChar w:fldCharType="end"/>
      </w:r>
      <w:r>
        <w:t>[Right-click here → "Update Field" to generate the Table of Contents, or press Ctrl+A then F9]</w:t>
      </w:r>
    </w:p>
    <w:p>
      <w:r>
        <w:br w:type="page"/>
      </w:r>
    </w:p>
    <w:p>
      <w:pPr>
        <w:spacing w:before="0" w:after="360"/>
        <w:jc w:val="center"/>
      </w:pPr>
      <w:r>
        <w:rPr>
          <w:rFonts w:ascii="Times New Roman" w:hAnsi="Times New Roman" w:cs="Times New Roman"/>
          <w:b/>
          <w:i w:val="0"/>
          <w:sz w:val="32"/>
          <w:u w:val="none"/>
        </w:rPr>
        <w:t>LIST OF FIGURES</w:t>
      </w:r>
    </w:p>
    <w:p>
      <w:pPr>
        <w:tabs>
          <w:tab w:pos="2304" w:val="left"/>
        </w:tabs>
        <w:spacing w:after="120"/>
      </w:pPr>
      <w:r>
        <w:rPr>
          <w:rFonts w:ascii="Times New Roman" w:hAnsi="Times New Roman" w:cs="Times New Roman"/>
          <w:b w:val="0"/>
          <w:i w:val="0"/>
          <w:sz w:val="24"/>
          <w:u w:val="none"/>
        </w:rPr>
        <w:t>Figure 3.1:</w:t>
        <w:tab/>
        <w:t>Entity-Relationship (ER) Diagram</w:t>
      </w:r>
    </w:p>
    <w:p>
      <w:pPr>
        <w:tabs>
          <w:tab w:pos="2304" w:val="left"/>
        </w:tabs>
        <w:spacing w:after="120"/>
      </w:pPr>
      <w:r>
        <w:rPr>
          <w:rFonts w:ascii="Times New Roman" w:hAnsi="Times New Roman" w:cs="Times New Roman"/>
          <w:b w:val="0"/>
          <w:i w:val="0"/>
          <w:sz w:val="24"/>
          <w:u w:val="none"/>
        </w:rPr>
        <w:t>Figure 3.2:</w:t>
        <w:tab/>
        <w:t>System Flowchart</w:t>
      </w:r>
    </w:p>
    <w:p>
      <w:pPr>
        <w:tabs>
          <w:tab w:pos="2304" w:val="left"/>
        </w:tabs>
        <w:spacing w:after="120"/>
      </w:pPr>
      <w:r>
        <w:rPr>
          <w:rFonts w:ascii="Times New Roman" w:hAnsi="Times New Roman" w:cs="Times New Roman"/>
          <w:b w:val="0"/>
          <w:i w:val="0"/>
          <w:sz w:val="24"/>
          <w:u w:val="none"/>
        </w:rPr>
        <w:t>Figure 3.3:</w:t>
        <w:tab/>
        <w:t>Use Case Diagram</w:t>
      </w:r>
    </w:p>
    <w:p>
      <w:r>
        <w:br w:type="page"/>
      </w:r>
    </w:p>
    <w:p>
      <w:pPr>
        <w:spacing w:before="0" w:after="360"/>
        <w:jc w:val="center"/>
      </w:pPr>
      <w:r>
        <w:rPr>
          <w:rFonts w:ascii="Times New Roman" w:hAnsi="Times New Roman" w:cs="Times New Roman"/>
          <w:b/>
          <w:i w:val="0"/>
          <w:sz w:val="32"/>
          <w:u w:val="none"/>
        </w:rPr>
        <w:t>LIST OF TABLES</w:t>
      </w:r>
    </w:p>
    <w:p>
      <w:pPr>
        <w:tabs>
          <w:tab w:pos="2304" w:val="left"/>
        </w:tabs>
        <w:spacing w:after="120"/>
      </w:pPr>
      <w:r>
        <w:rPr>
          <w:rFonts w:ascii="Times New Roman" w:hAnsi="Times New Roman" w:cs="Times New Roman"/>
          <w:b w:val="0"/>
          <w:i w:val="0"/>
          <w:sz w:val="24"/>
          <w:u w:val="none"/>
        </w:rPr>
        <w:t>Table 2.1:</w:t>
        <w:tab/>
        <w:t>Comparative Analysis of Related Systems</w:t>
      </w:r>
    </w:p>
    <w:p>
      <w:pPr>
        <w:tabs>
          <w:tab w:pos="2304" w:val="left"/>
        </w:tabs>
        <w:spacing w:after="120"/>
      </w:pPr>
      <w:r>
        <w:rPr>
          <w:rFonts w:ascii="Times New Roman" w:hAnsi="Times New Roman" w:cs="Times New Roman"/>
          <w:b w:val="0"/>
          <w:i w:val="0"/>
          <w:sz w:val="24"/>
          <w:u w:val="none"/>
        </w:rPr>
        <w:t>Table 4.1:</w:t>
        <w:tab/>
        <w:t>Technology Stack</w:t>
      </w:r>
    </w:p>
    <w:p>
      <w:pPr>
        <w:tabs>
          <w:tab w:pos="2304" w:val="left"/>
        </w:tabs>
        <w:spacing w:after="120"/>
      </w:pPr>
      <w:r>
        <w:rPr>
          <w:rFonts w:ascii="Times New Roman" w:hAnsi="Times New Roman" w:cs="Times New Roman"/>
          <w:b w:val="0"/>
          <w:i w:val="0"/>
          <w:sz w:val="24"/>
          <w:u w:val="none"/>
        </w:rPr>
        <w:t>Table 4.2:</w:t>
        <w:tab/>
        <w:t>Demonstration Departments Summary</w:t>
      </w:r>
    </w:p>
    <w:p>
      <w:pPr>
        <w:tabs>
          <w:tab w:pos="2304" w:val="left"/>
        </w:tabs>
        <w:spacing w:after="120"/>
      </w:pPr>
      <w:r>
        <w:rPr>
          <w:rFonts w:ascii="Times New Roman" w:hAnsi="Times New Roman" w:cs="Times New Roman"/>
          <w:b w:val="0"/>
          <w:i w:val="0"/>
          <w:sz w:val="24"/>
          <w:u w:val="none"/>
        </w:rPr>
        <w:t>Table 4.3:</w:t>
        <w:tab/>
        <w:t>Sample ICU Activity Data</w:t>
      </w:r>
    </w:p>
    <w:p>
      <w:pPr>
        <w:tabs>
          <w:tab w:pos="2304" w:val="left"/>
        </w:tabs>
        <w:spacing w:after="120"/>
      </w:pPr>
      <w:r>
        <w:rPr>
          <w:rFonts w:ascii="Times New Roman" w:hAnsi="Times New Roman" w:cs="Times New Roman"/>
          <w:b w:val="0"/>
          <w:i w:val="0"/>
          <w:sz w:val="24"/>
          <w:u w:val="none"/>
        </w:rPr>
        <w:t>Table 5.1:</w:t>
        <w:tab/>
        <w:t>Available Working Time (AWT) Breakdown – Nepal Standard</w:t>
      </w:r>
    </w:p>
    <w:p>
      <w:pPr>
        <w:tabs>
          <w:tab w:pos="2304" w:val="left"/>
        </w:tabs>
        <w:spacing w:after="120"/>
      </w:pPr>
      <w:r>
        <w:rPr>
          <w:rFonts w:ascii="Times New Roman" w:hAnsi="Times New Roman" w:cs="Times New Roman"/>
          <w:b w:val="0"/>
          <w:i w:val="0"/>
          <w:sz w:val="24"/>
          <w:u w:val="none"/>
        </w:rPr>
        <w:t>Table 5.2:</w:t>
        <w:tab/>
        <w:t>Labour Standards Comparison (Nepal Labour Act 2074)</w:t>
      </w:r>
    </w:p>
    <w:p>
      <w:pPr>
        <w:tabs>
          <w:tab w:pos="2304" w:val="left"/>
        </w:tabs>
        <w:spacing w:after="120"/>
      </w:pPr>
      <w:r>
        <w:rPr>
          <w:rFonts w:ascii="Times New Roman" w:hAnsi="Times New Roman" w:cs="Times New Roman"/>
          <w:b w:val="0"/>
          <w:i w:val="0"/>
          <w:sz w:val="24"/>
          <w:u w:val="none"/>
        </w:rPr>
        <w:t>Table 5.3:</w:t>
        <w:tab/>
        <w:t>Department-Level WISN Results</w:t>
      </w:r>
    </w:p>
    <w:p>
      <w:pPr>
        <w:tabs>
          <w:tab w:pos="2304" w:val="left"/>
        </w:tabs>
        <w:spacing w:after="120"/>
      </w:pPr>
      <w:r>
        <w:rPr>
          <w:rFonts w:ascii="Times New Roman" w:hAnsi="Times New Roman" w:cs="Times New Roman"/>
          <w:b w:val="0"/>
          <w:i w:val="0"/>
          <w:sz w:val="24"/>
          <w:u w:val="none"/>
        </w:rPr>
        <w:t>Table 5.4:</w:t>
        <w:tab/>
        <w:t>Facility-Level Summary</w:t>
      </w:r>
    </w:p>
    <w:p>
      <w:pPr>
        <w:tabs>
          <w:tab w:pos="2304" w:val="left"/>
        </w:tabs>
        <w:spacing w:after="120"/>
      </w:pPr>
      <w:r>
        <w:rPr>
          <w:rFonts w:ascii="Times New Roman" w:hAnsi="Times New Roman" w:cs="Times New Roman"/>
          <w:b w:val="0"/>
          <w:i w:val="0"/>
          <w:sz w:val="24"/>
          <w:u w:val="none"/>
        </w:rPr>
        <w:t>Table 5.5:</w:t>
        <w:tab/>
        <w:t>WISN Ratio Status Distribution</w:t>
      </w:r>
    </w:p>
    <w:p>
      <w:pPr>
        <w:tabs>
          <w:tab w:pos="2304" w:val="left"/>
        </w:tabs>
        <w:spacing w:after="120"/>
      </w:pPr>
      <w:r>
        <w:rPr>
          <w:rFonts w:ascii="Times New Roman" w:hAnsi="Times New Roman" w:cs="Times New Roman"/>
          <w:b w:val="0"/>
          <w:i w:val="0"/>
          <w:sz w:val="24"/>
          <w:u w:val="none"/>
        </w:rPr>
        <w:t>Table 5.6:</w:t>
        <w:tab/>
        <w:t>Digital vs. Manual Calculation Comparison</w:t>
      </w:r>
    </w:p>
    <w:p>
      <w:pPr>
        <w:tabs>
          <w:tab w:pos="2304" w:val="left"/>
        </w:tabs>
        <w:spacing w:after="120"/>
      </w:pPr>
      <w:r>
        <w:rPr>
          <w:rFonts w:ascii="Times New Roman" w:hAnsi="Times New Roman" w:cs="Times New Roman"/>
          <w:b w:val="0"/>
          <w:i w:val="0"/>
          <w:sz w:val="24"/>
          <w:u w:val="none"/>
        </w:rPr>
        <w:t>Table 5.7:</w:t>
        <w:tab/>
        <w:t>Comparison Against Nepal Staffing Norms (NHFS 2021)</w:t>
      </w:r>
    </w:p>
    <w:p>
      <w:pPr>
        <w:tabs>
          <w:tab w:pos="2304" w:val="left"/>
        </w:tabs>
        <w:spacing w:after="120"/>
      </w:pPr>
      <w:r>
        <w:rPr>
          <w:rFonts w:ascii="Times New Roman" w:hAnsi="Times New Roman" w:cs="Times New Roman"/>
          <w:b w:val="0"/>
          <w:i w:val="0"/>
          <w:sz w:val="24"/>
          <w:u w:val="none"/>
        </w:rPr>
        <w:t>Table 5.8:</w:t>
        <w:tab/>
        <w:t>Test Cases – Department and Activity Data</w:t>
      </w:r>
    </w:p>
    <w:p>
      <w:pPr>
        <w:tabs>
          <w:tab w:pos="2304" w:val="left"/>
        </w:tabs>
        <w:spacing w:after="120"/>
      </w:pPr>
      <w:r>
        <w:rPr>
          <w:rFonts w:ascii="Times New Roman" w:hAnsi="Times New Roman" w:cs="Times New Roman"/>
          <w:b w:val="0"/>
          <w:i w:val="0"/>
          <w:sz w:val="24"/>
          <w:u w:val="none"/>
        </w:rPr>
        <w:t>Table 5.9:</w:t>
        <w:tab/>
        <w:t>Test Cases – WISN Calculation Accuracy</w:t>
      </w:r>
    </w:p>
    <w:p>
      <w:pPr>
        <w:tabs>
          <w:tab w:pos="2304" w:val="left"/>
        </w:tabs>
        <w:spacing w:after="120"/>
      </w:pPr>
      <w:r>
        <w:rPr>
          <w:rFonts w:ascii="Times New Roman" w:hAnsi="Times New Roman" w:cs="Times New Roman"/>
          <w:b w:val="0"/>
          <w:i w:val="0"/>
          <w:sz w:val="24"/>
          <w:u w:val="none"/>
        </w:rPr>
        <w:t>Table 5.10:</w:t>
        <w:tab/>
        <w:t>Test Cases – Access Control</w:t>
      </w:r>
    </w:p>
    <w:p>
      <w:pPr>
        <w:tabs>
          <w:tab w:pos="2304" w:val="left"/>
        </w:tabs>
        <w:spacing w:after="120"/>
      </w:pPr>
      <w:r>
        <w:rPr>
          <w:rFonts w:ascii="Times New Roman" w:hAnsi="Times New Roman" w:cs="Times New Roman"/>
          <w:b w:val="0"/>
          <w:i w:val="0"/>
          <w:sz w:val="24"/>
          <w:u w:val="none"/>
        </w:rPr>
        <w:t>Table 5.11:</w:t>
        <w:tab/>
        <w:t>Test Cases – Report Output Consistency</w:t>
      </w:r>
    </w:p>
    <w:p>
      <w:pPr>
        <w:spacing w:before="0" w:after="0"/>
        <w:sectPr>
          <w:footerReference w:type="default" r:id="rId12"/>
          <w:type w:val="nextPage"/>
          <w:pgSz w:w="12240" w:h="15840"/>
          <w:pgMar w:top="1800" w:right="1800" w:bottom="1800" w:left="2160" w:header="720" w:footer="720" w:gutter="0"/>
          <w:pgNumType w:fmt="upperRoman" w:start="1"/>
        </w:sectPr>
      </w:pPr>
    </w:p>
    <w:p>
      <w:pPr>
        <w:pStyle w:val="Heading1"/>
        <w:pageBreakBefore w:val="0"/>
        <w:spacing w:before="480" w:after="240"/>
      </w:pPr>
      <w:r>
        <w:rPr>
          <w:rFonts w:ascii="Times New Roman" w:hAnsi="Times New Roman" w:cs="Times New Roman"/>
          <w:b/>
          <w:i w:val="0"/>
          <w:sz w:val="36"/>
          <w:u w:val="none"/>
        </w:rPr>
        <w:t>Chapter 1: Introduction</w:t>
      </w:r>
    </w:p>
    <w:p>
      <w:pPr>
        <w:pStyle w:val="Heading2"/>
      </w:pPr>
      <w:r>
        <w:rPr>
          <w:rFonts w:ascii="Times New Roman" w:hAnsi="Times New Roman" w:cs="Times New Roman"/>
          <w:b/>
          <w:i w:val="0"/>
          <w:sz w:val="32"/>
          <w:u w:val="none"/>
        </w:rPr>
        <w:t>1.1 Overview</w:t>
      </w:r>
    </w:p>
    <w:p>
      <w:pPr/>
      <w:r>
        <w:rPr>
          <w:rFonts w:ascii="Times New Roman" w:hAnsi="Times New Roman" w:cs="Times New Roman"/>
          <w:b w:val="0"/>
          <w:i w:val="0"/>
          <w:sz w:val="24"/>
          <w:u w:val="none"/>
        </w:rPr>
        <w:t>WISN Core is a single-facility web-based prototype designed to implement the World Health Organization's Workload Indicators of Staffing Need (WISN) methodology in a Nepalese hospital context. The system provides hospital administrators and department heads with a structured, evidence-based tool to quantify nursing staffing requirements from recorded workload data and statutory leave entitlements.</w:t>
      </w:r>
    </w:p>
    <w:p>
      <w:pPr/>
      <w:r>
        <w:rPr>
          <w:rFonts w:ascii="Times New Roman" w:hAnsi="Times New Roman" w:cs="Times New Roman"/>
          <w:b w:val="0"/>
          <w:i w:val="0"/>
          <w:sz w:val="24"/>
          <w:u w:val="none"/>
        </w:rPr>
        <w:t>The impetus for this project lies in the well-documented human resource crisis within Nepal's public health system. The 2021 Nepal Health Facility Survey (NHFS) found median nursing staffing levels of 9.9 nurses at federal and provincial hospitals — substantially below WHO-recommended benchmarks — while occupational burnout studies across Kathmandu Valley hospitals report prevalence rates between 26% and 40% among clinical nurses. Despite this documented crisis, no locally adapted digital tool exists to systematically quantify the staffing gap using the internationally validated WISN framework.</w:t>
      </w:r>
    </w:p>
    <w:p>
      <w:pPr/>
      <w:r>
        <w:rPr>
          <w:rFonts w:ascii="Times New Roman" w:hAnsi="Times New Roman" w:cs="Times New Roman"/>
          <w:b w:val="0"/>
          <w:i w:val="0"/>
          <w:sz w:val="24"/>
          <w:u w:val="none"/>
        </w:rPr>
        <w:t>The application is built using the Laravel 10 PHP framework following the Model-View-Controller (MVC) architectural pattern. It uses Laravel Breeze for user authentication with email verification, Chart.js for data visualisation on a facility-wide dashboard, and DomPDF for downloadable PDF report generation. Data is persisted in a MySQL database normalised to Third Normal Form.</w:t>
      </w:r>
    </w:p>
    <w:p>
      <w:pPr>
        <w:pStyle w:val="Heading2"/>
      </w:pPr>
      <w:r>
        <w:rPr>
          <w:rFonts w:ascii="Times New Roman" w:hAnsi="Times New Roman" w:cs="Times New Roman"/>
          <w:b/>
          <w:i w:val="0"/>
          <w:sz w:val="32"/>
          <w:u w:val="none"/>
        </w:rPr>
        <w:t>1.2 Problem Statement</w:t>
      </w:r>
    </w:p>
    <w:p>
      <w:pPr/>
      <w:r>
        <w:rPr>
          <w:rFonts w:ascii="Times New Roman" w:hAnsi="Times New Roman" w:cs="Times New Roman"/>
          <w:b w:val="0"/>
          <w:i w:val="0"/>
          <w:sz w:val="24"/>
          <w:u w:val="none"/>
        </w:rPr>
        <w:t>The Nepalese public healthcare system faces an acute and worsening human resource crisis. The gap between the number of nurses currently deployed in hospitals and the number scientifically required to handle the actual patient workload is significant, measurable, and consequential. This gap drives clinical errors, occupational burnout, and ultimately poor patient outcomes.</w:t>
      </w:r>
    </w:p>
    <w:p>
      <w:pPr/>
      <w:r>
        <w:rPr>
          <w:rFonts w:ascii="Times New Roman" w:hAnsi="Times New Roman" w:cs="Times New Roman"/>
          <w:b w:val="0"/>
          <w:i w:val="0"/>
          <w:sz w:val="24"/>
          <w:u w:val="none"/>
        </w:rPr>
        <w:t>Despite the existence of an internationally validated methodology for quantifying this exact problem — the WHO WISN framework — there is no accessible digital tool that allows Nepalese hospital administrators to implement WISN calculations in real time. Specifically:</w:t>
      </w:r>
    </w:p>
    <w:p>
      <w:pPr>
        <w:pStyle w:val="ListBullet"/>
        <w:spacing w:after="120"/>
        <w:ind w:left="720"/>
      </w:pPr>
      <w:r>
        <w:rPr>
          <w:rFonts w:ascii="Times New Roman" w:hAnsi="Times New Roman" w:cs="Times New Roman"/>
          <w:b w:val="0"/>
          <w:i w:val="0"/>
          <w:sz w:val="24"/>
          <w:u w:val="none"/>
        </w:rPr>
        <w:t>There is no accessible digital tool for Nepalese hospital administrators to implement WHO WISN calculations in real time.</w:t>
      </w:r>
    </w:p>
    <w:p>
      <w:pPr>
        <w:pStyle w:val="ListBullet"/>
        <w:spacing w:after="120"/>
        <w:ind w:left="720"/>
      </w:pPr>
      <w:r>
        <w:rPr>
          <w:rFonts w:ascii="Times New Roman" w:hAnsi="Times New Roman" w:cs="Times New Roman"/>
          <w:b w:val="0"/>
          <w:i w:val="0"/>
          <w:sz w:val="24"/>
          <w:u w:val="none"/>
        </w:rPr>
        <w:t>Staffing decisions are made without a quantitative basis, ignoring the Available Working Time (AWT) constraints defined by the Nepal Labour Act 2074.</w:t>
      </w:r>
    </w:p>
    <w:p>
      <w:pPr>
        <w:pStyle w:val="ListBullet"/>
        <w:spacing w:after="120"/>
        <w:ind w:left="720"/>
      </w:pPr>
      <w:r>
        <w:rPr>
          <w:rFonts w:ascii="Times New Roman" w:hAnsi="Times New Roman" w:cs="Times New Roman"/>
          <w:b w:val="0"/>
          <w:i w:val="0"/>
          <w:sz w:val="24"/>
          <w:u w:val="none"/>
        </w:rPr>
        <w:t>The gap between the MoHP Minimum Service Standards and actual NHFS-documented staffing medians is never systematically measured at the facility level.</w:t>
      </w:r>
    </w:p>
    <w:p>
      <w:pPr>
        <w:pStyle w:val="ListBullet"/>
        <w:spacing w:after="120"/>
        <w:ind w:left="720"/>
      </w:pPr>
      <w:r>
        <w:rPr>
          <w:rFonts w:ascii="Times New Roman" w:hAnsi="Times New Roman" w:cs="Times New Roman"/>
          <w:b w:val="0"/>
          <w:i w:val="0"/>
          <w:sz w:val="24"/>
          <w:u w:val="none"/>
        </w:rPr>
        <w:t>Occupational burnout risk is reactive — identified only after clinical incidents — rather than predictive.</w:t>
      </w:r>
    </w:p>
    <w:p>
      <w:pPr>
        <w:pStyle w:val="Heading2"/>
      </w:pPr>
      <w:r>
        <w:rPr>
          <w:rFonts w:ascii="Times New Roman" w:hAnsi="Times New Roman" w:cs="Times New Roman"/>
          <w:b/>
          <w:i w:val="0"/>
          <w:sz w:val="32"/>
          <w:u w:val="none"/>
        </w:rPr>
        <w:t>1.3 Aims and Objectives</w:t>
      </w:r>
    </w:p>
    <w:p>
      <w:pPr/>
      <w:r>
        <w:rPr>
          <w:rFonts w:ascii="Times New Roman" w:hAnsi="Times New Roman" w:cs="Times New Roman"/>
          <w:b w:val="0"/>
          <w:i w:val="0"/>
          <w:sz w:val="24"/>
          <w:u w:val="none"/>
        </w:rPr>
        <w:t>The primary aim of WISN Core is to provide a mathematically rigorous, empirically anchored digital implementation of the WHO WISN staffing methodology, specifically adapted for the Nepalese hospital context. The specific objectives are:</w:t>
      </w:r>
    </w:p>
    <w:p>
      <w:pPr>
        <w:pStyle w:val="ListBullet"/>
        <w:spacing w:after="120"/>
        <w:ind w:left="720"/>
      </w:pPr>
      <w:r>
        <w:rPr>
          <w:rFonts w:ascii="Times New Roman" w:hAnsi="Times New Roman" w:cs="Times New Roman"/>
          <w:b w:val="0"/>
          <w:i w:val="0"/>
          <w:sz w:val="24"/>
          <w:u w:val="none"/>
        </w:rPr>
        <w:t>To implement the full three-component WHO WISN staffing calculation (Health Service Activities, Support Activities, and Additional Activities) within a web-based application.</w:t>
      </w:r>
    </w:p>
    <w:p>
      <w:pPr>
        <w:pStyle w:val="ListBullet"/>
        <w:spacing w:after="120"/>
        <w:ind w:left="720"/>
      </w:pPr>
      <w:r>
        <w:rPr>
          <w:rFonts w:ascii="Times New Roman" w:hAnsi="Times New Roman" w:cs="Times New Roman"/>
          <w:b w:val="0"/>
          <w:i w:val="0"/>
          <w:sz w:val="24"/>
          <w:u w:val="none"/>
        </w:rPr>
        <w:t>To derive and enforce the Available Working Time (AWT) parameter from the Nepal Labor Act 2074 (2017) and Nepal Health Service Regulations.</w:t>
      </w:r>
    </w:p>
    <w:p>
      <w:pPr>
        <w:pStyle w:val="ListBullet"/>
        <w:spacing w:after="120"/>
        <w:ind w:left="720"/>
      </w:pPr>
      <w:r>
        <w:rPr>
          <w:rFonts w:ascii="Times New Roman" w:hAnsi="Times New Roman" w:cs="Times New Roman"/>
          <w:b w:val="0"/>
          <w:i w:val="0"/>
          <w:sz w:val="24"/>
          <w:u w:val="none"/>
        </w:rPr>
        <w:t>To seed the system with empirically validated staffing baselines drawn from the 2021 Nepal Health Facility Survey, clinical literature, and WHO standard time values.</w:t>
      </w:r>
    </w:p>
    <w:p>
      <w:pPr>
        <w:pStyle w:val="ListBullet"/>
        <w:spacing w:after="120"/>
        <w:ind w:left="720"/>
      </w:pPr>
      <w:r>
        <w:rPr>
          <w:rFonts w:ascii="Times New Roman" w:hAnsi="Times New Roman" w:cs="Times New Roman"/>
          <w:b w:val="0"/>
          <w:i w:val="0"/>
          <w:sz w:val="24"/>
          <w:u w:val="none"/>
        </w:rPr>
        <w:t>To compute and display a WISN staffing ratio for each department and a facility-level aggregate ratio, with automated status classification.</w:t>
      </w:r>
    </w:p>
    <w:p>
      <w:pPr>
        <w:pStyle w:val="ListBullet"/>
        <w:spacing w:after="120"/>
        <w:ind w:left="720"/>
      </w:pPr>
      <w:r>
        <w:rPr>
          <w:rFonts w:ascii="Times New Roman" w:hAnsi="Times New Roman" w:cs="Times New Roman"/>
          <w:b w:val="0"/>
          <w:i w:val="0"/>
          <w:sz w:val="24"/>
          <w:u w:val="none"/>
        </w:rPr>
        <w:t>To generate downloadable, DomPDF-rendered PDF reports suitable for submission to hospital administration or MoHP planning bodies.</w:t>
      </w:r>
    </w:p>
    <w:p>
      <w:pPr>
        <w:pStyle w:val="ListBullet"/>
        <w:spacing w:after="120"/>
        <w:ind w:left="720"/>
      </w:pPr>
      <w:r>
        <w:rPr>
          <w:rFonts w:ascii="Times New Roman" w:hAnsi="Times New Roman" w:cs="Times New Roman"/>
          <w:b w:val="0"/>
          <w:i w:val="0"/>
          <w:sz w:val="24"/>
          <w:u w:val="none"/>
        </w:rPr>
        <w:t>To provide a secure, role-protected interface via Laravel Breeze authentication and email verification.</w:t>
      </w:r>
    </w:p>
    <w:p>
      <w:pPr>
        <w:pStyle w:val="Heading2"/>
      </w:pPr>
      <w:r>
        <w:rPr>
          <w:rFonts w:ascii="Times New Roman" w:hAnsi="Times New Roman" w:cs="Times New Roman"/>
          <w:b/>
          <w:i w:val="0"/>
          <w:sz w:val="32"/>
          <w:u w:val="none"/>
        </w:rPr>
        <w:t>1.4 Scope of Study</w:t>
      </w:r>
    </w:p>
    <w:p>
      <w:pPr/>
      <w:r>
        <w:rPr>
          <w:rFonts w:ascii="Times New Roman" w:hAnsi="Times New Roman" w:cs="Times New Roman"/>
          <w:b w:val="0"/>
          <w:i w:val="0"/>
          <w:sz w:val="24"/>
          <w:u w:val="none"/>
        </w:rPr>
        <w:t>The project is scoped as a single-facility web prototype targeting hospital administrators, department heads, and human resources managers. The scope includes:</w:t>
      </w:r>
    </w:p>
    <w:p>
      <w:pPr>
        <w:pStyle w:val="ListBullet"/>
        <w:spacing w:after="120"/>
        <w:ind w:left="720"/>
      </w:pPr>
      <w:r>
        <w:rPr>
          <w:rFonts w:ascii="Times New Roman" w:hAnsi="Times New Roman" w:cs="Times New Roman"/>
          <w:b w:val="0"/>
          <w:i w:val="0"/>
          <w:sz w:val="24"/>
          <w:u w:val="none"/>
        </w:rPr>
        <w:t>Department management: creation, editing, and deletion of hospital departments with individually configurable AWT parameters.</w:t>
      </w:r>
    </w:p>
    <w:p>
      <w:pPr>
        <w:pStyle w:val="ListBullet"/>
        <w:spacing w:after="120"/>
        <w:ind w:left="720"/>
      </w:pPr>
      <w:r>
        <w:rPr>
          <w:rFonts w:ascii="Times New Roman" w:hAnsi="Times New Roman" w:cs="Times New Roman"/>
          <w:b w:val="0"/>
          <w:i w:val="0"/>
          <w:sz w:val="24"/>
          <w:u w:val="none"/>
        </w:rPr>
        <w:t>Workload activity management: definition of clinical tasks across the three WISN categories with WHO-standard time values.</w:t>
      </w:r>
    </w:p>
    <w:p>
      <w:pPr>
        <w:pStyle w:val="ListBullet"/>
        <w:spacing w:after="120"/>
        <w:ind w:left="720"/>
      </w:pPr>
      <w:r>
        <w:rPr>
          <w:rFonts w:ascii="Times New Roman" w:hAnsi="Times New Roman" w:cs="Times New Roman"/>
          <w:b w:val="0"/>
          <w:i w:val="0"/>
          <w:sz w:val="24"/>
          <w:u w:val="none"/>
        </w:rPr>
        <w:t>WISN calculation engine: real-time computation of the Staffing Requirement, Category Allowance Factor (CAF), and WISN Ratio for each department.</w:t>
      </w:r>
    </w:p>
    <w:p>
      <w:pPr>
        <w:pStyle w:val="ListBullet"/>
        <w:spacing w:after="120"/>
        <w:ind w:left="720"/>
      </w:pPr>
      <w:r>
        <w:rPr>
          <w:rFonts w:ascii="Times New Roman" w:hAnsi="Times New Roman" w:cs="Times New Roman"/>
          <w:b w:val="0"/>
          <w:i w:val="0"/>
          <w:sz w:val="24"/>
          <w:u w:val="none"/>
        </w:rPr>
        <w:t>Dashboard visualisation: facility-wide summary cards and per-department status indicators rendered via Chart.js.</w:t>
      </w:r>
    </w:p>
    <w:p>
      <w:pPr>
        <w:pStyle w:val="ListBullet"/>
        <w:spacing w:after="120"/>
        <w:ind w:left="720"/>
      </w:pPr>
      <w:r>
        <w:rPr>
          <w:rFonts w:ascii="Times New Roman" w:hAnsi="Times New Roman" w:cs="Times New Roman"/>
          <w:b w:val="0"/>
          <w:i w:val="0"/>
          <w:sz w:val="24"/>
          <w:u w:val="none"/>
        </w:rPr>
        <w:t>Report generation: downloadable PDF reports formatted for administrative submission.</w:t>
      </w:r>
    </w:p>
    <w:p>
      <w:pPr/>
      <w:r>
        <w:rPr>
          <w:rFonts w:ascii="Times New Roman" w:hAnsi="Times New Roman" w:cs="Times New Roman"/>
          <w:b w:val="0"/>
          <w:i w:val="0"/>
          <w:sz w:val="24"/>
          <w:u w:val="none"/>
        </w:rPr>
        <w:t>The system is explicitly scoped to a single facility and does not incorporate multi-hospital federations, payroll integration, shift scheduling, or electronic health record connectivity.</w:t>
      </w:r>
    </w:p>
    <w:p>
      <w:pPr>
        <w:pStyle w:val="Heading2"/>
      </w:pPr>
      <w:r>
        <w:rPr>
          <w:rFonts w:ascii="Times New Roman" w:hAnsi="Times New Roman" w:cs="Times New Roman"/>
          <w:b/>
          <w:i w:val="0"/>
          <w:sz w:val="32"/>
          <w:u w:val="none"/>
        </w:rPr>
        <w:t>1.5 Feasibility Study</w:t>
      </w:r>
    </w:p>
    <w:p>
      <w:pPr>
        <w:pStyle w:val="Heading3"/>
      </w:pPr>
      <w:r>
        <w:rPr>
          <w:rFonts w:ascii="Times New Roman" w:hAnsi="Times New Roman" w:cs="Times New Roman"/>
          <w:b/>
          <w:i w:val="0"/>
          <w:sz w:val="28"/>
          <w:u w:val="none"/>
        </w:rPr>
        <w:t>1.5.1 Technical Feasibility</w:t>
      </w:r>
    </w:p>
    <w:p>
      <w:pPr/>
      <w:r>
        <w:rPr>
          <w:rFonts w:ascii="Times New Roman" w:hAnsi="Times New Roman" w:cs="Times New Roman"/>
          <w:b w:val="0"/>
          <w:i w:val="0"/>
          <w:sz w:val="24"/>
          <w:u w:val="none"/>
        </w:rPr>
        <w:t>The project is built entirely on mature, open-source technologies with extensive community support. Laravel 10 is a production-grade PHP framework used globally in healthcare and enterprise applications. MySQL provides ACID-compliant data persistence. Chart.js and DomPDF are widely deployed front-end and document-generation libraries respectively. All components have been successfully integrated in the prototype, confirming technical feasibility.</w:t>
      </w:r>
    </w:p>
    <w:p>
      <w:pPr>
        <w:pStyle w:val="Heading3"/>
      </w:pPr>
      <w:r>
        <w:rPr>
          <w:rFonts w:ascii="Times New Roman" w:hAnsi="Times New Roman" w:cs="Times New Roman"/>
          <w:b/>
          <w:i w:val="0"/>
          <w:sz w:val="28"/>
          <w:u w:val="none"/>
        </w:rPr>
        <w:t>1.5.2 Economic Feasibility</w:t>
      </w:r>
    </w:p>
    <w:p>
      <w:pPr/>
      <w:r>
        <w:rPr>
          <w:rFonts w:ascii="Times New Roman" w:hAnsi="Times New Roman" w:cs="Times New Roman"/>
          <w:b w:val="0"/>
          <w:i w:val="0"/>
          <w:sz w:val="24"/>
          <w:u w:val="none"/>
        </w:rPr>
        <w:t>The total development cost of this project is restricted strictly to developer time. As an academic endeavor, development tooling (VS Code, Git, Composer, npm) and hosting (local PHP development server) are free. All software dependencies are distributed under open-source licences (MIT or equivalent).</w:t>
      </w:r>
    </w:p>
    <w:p>
      <w:pPr/>
      <w:r>
        <w:rPr>
          <w:rFonts w:ascii="Times New Roman" w:hAnsi="Times New Roman" w:cs="Times New Roman"/>
          <w:b w:val="0"/>
          <w:i w:val="0"/>
          <w:sz w:val="24"/>
          <w:u w:val="none"/>
        </w:rPr>
        <w:t>While the immediate development costs are virtually nil, future production deployment on platforms such as AWS or DigitalOcean would involve modest infrastructure costs estimated at USD 10–30 per month for a single-facility deployment. These costs are well within reach of Nepalese district or provincial hospitals.</w:t>
      </w:r>
    </w:p>
    <w:p>
      <w:pPr>
        <w:pStyle w:val="Heading3"/>
      </w:pPr>
      <w:r>
        <w:rPr>
          <w:rFonts w:ascii="Times New Roman" w:hAnsi="Times New Roman" w:cs="Times New Roman"/>
          <w:b/>
          <w:i w:val="0"/>
          <w:sz w:val="28"/>
          <w:u w:val="none"/>
        </w:rPr>
        <w:t>1.5.3 Operational Feasibility</w:t>
      </w:r>
    </w:p>
    <w:p>
      <w:pPr/>
      <w:r>
        <w:rPr>
          <w:rFonts w:ascii="Times New Roman" w:hAnsi="Times New Roman" w:cs="Times New Roman"/>
          <w:b w:val="0"/>
          <w:i w:val="0"/>
          <w:sz w:val="24"/>
          <w:u w:val="none"/>
        </w:rPr>
        <w:t>The system is designed for users with standard web literacy. The interface follows established patterns from major hospital information systems, ensuring a shallow learning curve. The step-by-step activity management workflow mirrors the natural structure of the WISN methodology, meaning that domain-expert users (department heads) will find the interface intuitive without prior training.</w:t>
      </w:r>
    </w:p>
    <w:p>
      <w:pPr>
        <w:pStyle w:val="Heading3"/>
      </w:pPr>
      <w:r>
        <w:rPr>
          <w:rFonts w:ascii="Times New Roman" w:hAnsi="Times New Roman" w:cs="Times New Roman"/>
          <w:b/>
          <w:i w:val="0"/>
          <w:sz w:val="28"/>
          <w:u w:val="none"/>
        </w:rPr>
        <w:t>1.5.4 Legal Feasibility</w:t>
      </w:r>
    </w:p>
    <w:p>
      <w:pPr/>
      <w:r>
        <w:rPr>
          <w:rFonts w:ascii="Times New Roman" w:hAnsi="Times New Roman" w:cs="Times New Roman"/>
          <w:b w:val="0"/>
          <w:i w:val="0"/>
          <w:sz w:val="24"/>
          <w:u w:val="none"/>
        </w:rPr>
        <w:t>All software components are distributed under open-source licences (MIT or equivalent) that permit academic and non-commercial use without restriction. The AWT parameters used by the system are derived directly from the Nepal Labour Act 2074 and Nepal Health Service Regulations — publicly available legislation — and do not involve any proprietary data. No patient-identifiable information is stored or processed.</w:t>
      </w:r>
    </w:p>
    <w:p>
      <w:pPr>
        <w:pStyle w:val="Heading1"/>
        <w:pageBreakBefore/>
        <w:spacing w:before="480" w:after="240"/>
      </w:pPr>
      <w:r>
        <w:rPr>
          <w:rFonts w:ascii="Times New Roman" w:hAnsi="Times New Roman" w:cs="Times New Roman"/>
          <w:b/>
          <w:i w:val="0"/>
          <w:sz w:val="36"/>
          <w:u w:val="none"/>
        </w:rPr>
        <w:t>Chapter 2: Literature Review</w:t>
      </w:r>
    </w:p>
    <w:p>
      <w:pPr>
        <w:pStyle w:val="Heading2"/>
      </w:pPr>
      <w:r>
        <w:rPr>
          <w:rFonts w:ascii="Times New Roman" w:hAnsi="Times New Roman" w:cs="Times New Roman"/>
          <w:b/>
          <w:i w:val="0"/>
          <w:sz w:val="32"/>
          <w:u w:val="none"/>
        </w:rPr>
        <w:t>2.1 The WHO WISN Methodology</w:t>
      </w:r>
    </w:p>
    <w:p>
      <w:pPr/>
      <w:r>
        <w:rPr>
          <w:rFonts w:ascii="Times New Roman" w:hAnsi="Times New Roman" w:cs="Times New Roman"/>
          <w:b w:val="0"/>
          <w:i w:val="0"/>
          <w:sz w:val="24"/>
          <w:u w:val="none"/>
        </w:rPr>
        <w:t>The Workload Indicators of Staffing Need (WISN) methodology is a facility-based workforce planning tool developed by the World Health Organization to help health facility managers determine the number of health workers needed to cope with the workload at their facilities [2]. Unlike simple staffing ratios, WISN calculates staff requirements from the bottom up, starting with actual workload data and facility-specific time parameters.</w:t>
      </w:r>
    </w:p>
    <w:p>
      <w:pPr/>
      <w:r>
        <w:rPr>
          <w:rFonts w:ascii="Times New Roman" w:hAnsi="Times New Roman" w:cs="Times New Roman"/>
          <w:b w:val="0"/>
          <w:i w:val="0"/>
          <w:sz w:val="24"/>
          <w:u w:val="none"/>
        </w:rPr>
        <w:t>The WISN methodology has been implemented and validated globally. For example, a WISN implementation study in Namibia resulted in a 17% increase in the nursing workforce following evidence-based reallocation guided by WISN results [11]. In Greece, WISN was applied to determine midwifery staffing requirements across public hospitals, confirming its adaptability to diverse healthcare systems [12]. In Nepal, the Ministry of Health and Population (MoHP) has endorsed the WISN framework as a component of its Human Resources for Health strategic planning, although no nationally scaled digital implementation exists [1].</w:t>
      </w:r>
    </w:p>
    <w:p>
      <w:pPr/>
      <w:r>
        <w:rPr>
          <w:rFonts w:ascii="Times New Roman" w:hAnsi="Times New Roman" w:cs="Times New Roman"/>
          <w:b w:val="0"/>
          <w:i w:val="0"/>
          <w:sz w:val="24"/>
          <w:u w:val="none"/>
        </w:rPr>
        <w:t>According to the WHO WISN User's Manual [2], implementing the methodology involves eight distinct mathematical steps:</w:t>
      </w:r>
    </w:p>
    <w:p>
      <w:pPr>
        <w:pStyle w:val="ListBullet"/>
        <w:spacing w:after="120"/>
        <w:ind w:left="720"/>
      </w:pPr>
      <w:r>
        <w:rPr>
          <w:rFonts w:ascii="Times New Roman" w:hAnsi="Times New Roman" w:cs="Times New Roman"/>
          <w:b w:val="0"/>
          <w:i w:val="0"/>
          <w:sz w:val="24"/>
          <w:u w:val="none"/>
        </w:rPr>
        <w:t>Identify the health worker cadre and facility type.</w:t>
      </w:r>
    </w:p>
    <w:p>
      <w:pPr>
        <w:pStyle w:val="ListBullet"/>
        <w:spacing w:after="120"/>
        <w:ind w:left="720"/>
      </w:pPr>
      <w:r>
        <w:rPr>
          <w:rFonts w:ascii="Times New Roman" w:hAnsi="Times New Roman" w:cs="Times New Roman"/>
          <w:b w:val="0"/>
          <w:i w:val="0"/>
          <w:sz w:val="24"/>
          <w:u w:val="none"/>
        </w:rPr>
        <w:t>Calculate available working time — determine total working days per year and subtract all non-working days including public holidays, annual leave, sick leave, and training days.</w:t>
      </w:r>
    </w:p>
    <w:p>
      <w:pPr>
        <w:pStyle w:val="ListBullet"/>
        <w:spacing w:after="120"/>
        <w:ind w:left="720"/>
      </w:pPr>
      <w:r>
        <w:rPr>
          <w:rFonts w:ascii="Times New Roman" w:hAnsi="Times New Roman" w:cs="Times New Roman"/>
          <w:b w:val="0"/>
          <w:i w:val="0"/>
          <w:sz w:val="24"/>
          <w:u w:val="none"/>
        </w:rPr>
        <w:t>Define workload components — capture all main activities performed by the cadre.</w:t>
      </w:r>
    </w:p>
    <w:p>
      <w:pPr>
        <w:pStyle w:val="ListBullet"/>
        <w:spacing w:after="120"/>
        <w:ind w:left="720"/>
      </w:pPr>
      <w:r>
        <w:rPr>
          <w:rFonts w:ascii="Times New Roman" w:hAnsi="Times New Roman" w:cs="Times New Roman"/>
          <w:b w:val="0"/>
          <w:i w:val="0"/>
          <w:sz w:val="24"/>
          <w:u w:val="none"/>
        </w:rPr>
        <w:t>Establish activity standards — determine the time required to perform each workload component according to professional standards.</w:t>
      </w:r>
    </w:p>
    <w:p>
      <w:pPr>
        <w:pStyle w:val="ListBullet"/>
        <w:spacing w:after="120"/>
        <w:ind w:left="720"/>
      </w:pPr>
      <w:r>
        <w:rPr>
          <w:rFonts w:ascii="Times New Roman" w:hAnsi="Times New Roman" w:cs="Times New Roman"/>
          <w:b w:val="0"/>
          <w:i w:val="0"/>
          <w:sz w:val="24"/>
          <w:u w:val="none"/>
        </w:rPr>
        <w:t>Calculate standard workloads — divide available working time by the activity standard for each component.</w:t>
      </w:r>
    </w:p>
    <w:p>
      <w:pPr>
        <w:pStyle w:val="ListBullet"/>
        <w:spacing w:after="120"/>
        <w:ind w:left="720"/>
      </w:pPr>
      <w:r>
        <w:rPr>
          <w:rFonts w:ascii="Times New Roman" w:hAnsi="Times New Roman" w:cs="Times New Roman"/>
          <w:b w:val="0"/>
          <w:i w:val="0"/>
          <w:sz w:val="24"/>
          <w:u w:val="none"/>
        </w:rPr>
        <w:t>Calculate allowance factors — account for additional activities and support functions.</w:t>
      </w:r>
    </w:p>
    <w:p>
      <w:pPr>
        <w:pStyle w:val="ListBullet"/>
        <w:spacing w:after="120"/>
        <w:ind w:left="720"/>
      </w:pPr>
      <w:r>
        <w:rPr>
          <w:rFonts w:ascii="Times New Roman" w:hAnsi="Times New Roman" w:cs="Times New Roman"/>
          <w:b w:val="0"/>
          <w:i w:val="0"/>
          <w:sz w:val="24"/>
          <w:u w:val="none"/>
        </w:rPr>
        <w:t>Determine required number of staff — divide actual annual workload by standard workload and add allowance factors.</w:t>
      </w:r>
    </w:p>
    <w:p>
      <w:pPr>
        <w:pStyle w:val="ListBullet"/>
        <w:spacing w:after="120"/>
        <w:ind w:left="720"/>
      </w:pPr>
      <w:r>
        <w:rPr>
          <w:rFonts w:ascii="Times New Roman" w:hAnsi="Times New Roman" w:cs="Times New Roman"/>
          <w:b w:val="0"/>
          <w:i w:val="0"/>
          <w:sz w:val="24"/>
          <w:u w:val="none"/>
        </w:rPr>
        <w:t>Calculate the WISN ratio — current staff divided by required staff.</w:t>
      </w:r>
    </w:p>
    <w:p>
      <w:pPr>
        <w:pStyle w:val="Heading2"/>
      </w:pPr>
      <w:r>
        <w:rPr>
          <w:rFonts w:ascii="Times New Roman" w:hAnsi="Times New Roman" w:cs="Times New Roman"/>
          <w:b/>
          <w:i w:val="0"/>
          <w:sz w:val="32"/>
          <w:u w:val="none"/>
        </w:rPr>
        <w:t>2.2 The 2021 Nepal Health Facility Survey</w:t>
      </w:r>
    </w:p>
    <w:p>
      <w:pPr/>
      <w:r>
        <w:rPr>
          <w:rFonts w:ascii="Times New Roman" w:hAnsi="Times New Roman" w:cs="Times New Roman"/>
          <w:b w:val="0"/>
          <w:i w:val="0"/>
          <w:sz w:val="24"/>
          <w:u w:val="none"/>
        </w:rPr>
        <w:t>The 2021 Nepal Health Facility Survey (NHFS), implemented by the MoHP alongside New ERA and ICF, is the most comprehensive facility-based assessment of Nepal's healthcare system [1]. The survey covered 1,399 health facilities across all seven provinces, collecting data on staffing, infrastructure, service availability, and quality indicators [17].</w:t>
      </w:r>
    </w:p>
    <w:p>
      <w:pPr/>
      <w:r>
        <w:rPr>
          <w:rFonts w:ascii="Times New Roman" w:hAnsi="Times New Roman" w:cs="Times New Roman"/>
          <w:b w:val="0"/>
          <w:i w:val="0"/>
          <w:sz w:val="24"/>
          <w:u w:val="none"/>
        </w:rPr>
        <w:t>The NHFS documented a critical shortage of human resources across almost all public facilities [1]. Most notably, the survey found a median of 9.9 nurses at federal and provincial-level hospitals, dropping to 4.0 at local-level hospitals [17]. Emergency departments reported a median of 2 nurses per shift — a figure far below what WISN calculations indicate as necessary for the documented patient volumes.</w:t>
      </w:r>
    </w:p>
    <w:p>
      <w:pPr>
        <w:pStyle w:val="Heading2"/>
      </w:pPr>
      <w:r>
        <w:rPr>
          <w:rFonts w:ascii="Times New Roman" w:hAnsi="Times New Roman" w:cs="Times New Roman"/>
          <w:b/>
          <w:i w:val="0"/>
          <w:sz w:val="32"/>
          <w:u w:val="none"/>
        </w:rPr>
        <w:t>2.3 Nepalese Labor and Health Service Legislation</w:t>
      </w:r>
    </w:p>
    <w:p>
      <w:pPr/>
      <w:r>
        <w:rPr>
          <w:rFonts w:ascii="Times New Roman" w:hAnsi="Times New Roman" w:cs="Times New Roman"/>
          <w:b w:val="0"/>
          <w:i w:val="0"/>
          <w:sz w:val="24"/>
          <w:u w:val="none"/>
        </w:rPr>
        <w:t>The Nepal Labor Act 2074 (2017) modernized the nation's employment guidelines by replacing the outdated 1992 Act [3]. Under the 2074 Act, the standard working week for public sector employees is eight hours per day, five to six days per week, with a mandated minimum of 13 public holidays per year (14 for female employees), 12 days of sick leave, and 18 days of annual leave.</w:t>
      </w:r>
    </w:p>
    <w:p>
      <w:pPr/>
      <w:r>
        <w:rPr>
          <w:rFonts w:ascii="Times New Roman" w:hAnsi="Times New Roman" w:cs="Times New Roman"/>
          <w:b w:val="0"/>
          <w:i w:val="0"/>
          <w:sz w:val="24"/>
          <w:u w:val="none"/>
        </w:rPr>
        <w:t>For public sector healthcare workers, the Nepal Health Service Act 2053 (1997) [4] and its accompanying Nepal Health Service Regulations [5] define cadre-specific entitlements. The WISN Core prototype derives its default AWT calculation directly from these legislative sources, using 260 working days, 13 public holidays, 18 annual leave days, 12 sick days, and 5 training days — producing an AWT of 1,696 hours per nurse per year.</w:t>
      </w:r>
    </w:p>
    <w:p>
      <w:pPr>
        <w:pStyle w:val="Heading2"/>
      </w:pPr>
      <w:r>
        <w:rPr>
          <w:rFonts w:ascii="Times New Roman" w:hAnsi="Times New Roman" w:cs="Times New Roman"/>
          <w:b/>
          <w:i w:val="0"/>
          <w:sz w:val="32"/>
          <w:u w:val="none"/>
        </w:rPr>
        <w:t>2.4 Hospital Workloads and Patient Volumes in the Kathmandu Valley</w:t>
      </w:r>
    </w:p>
    <w:p>
      <w:pPr/>
      <w:r>
        <w:rPr>
          <w:rFonts w:ascii="Times New Roman" w:hAnsi="Times New Roman" w:cs="Times New Roman"/>
          <w:b w:val="0"/>
          <w:i w:val="0"/>
          <w:sz w:val="24"/>
          <w:u w:val="none"/>
        </w:rPr>
        <w:t>Empirical studies of major Kathmandu teaching hospitals provide the demand-side constants critical to WISN Core's test seeding. The Tribhuvan University Teaching Hospital (TUTH) Emergency Department handles approximately 43,185 patient visits per year, based on published utilisation studies [7]. An audit of the observation ward supporting the emergency room at a Kathmandu tertiary care hospital confirms comparable demand-side pressures at similar institutions [10].</w:t>
      </w:r>
    </w:p>
    <w:p>
      <w:pPr/>
      <w:r>
        <w:rPr>
          <w:rFonts w:ascii="Times New Roman" w:hAnsi="Times New Roman" w:cs="Times New Roman"/>
          <w:b w:val="0"/>
          <w:i w:val="0"/>
          <w:sz w:val="24"/>
          <w:u w:val="none"/>
        </w:rPr>
        <w:t>The admission rate from emergency departments at Nepalese tertiary centers has been empirically established at 40.83%, providing the basis for inpatient volume estimates used to seed the General Medical Ward and ICU activities in the prototype [7].</w:t>
      </w:r>
    </w:p>
    <w:p>
      <w:pPr>
        <w:pStyle w:val="Heading2"/>
      </w:pPr>
      <w:r>
        <w:rPr>
          <w:rFonts w:ascii="Times New Roman" w:hAnsi="Times New Roman" w:cs="Times New Roman"/>
          <w:b/>
          <w:i w:val="0"/>
          <w:sz w:val="32"/>
          <w:u w:val="none"/>
        </w:rPr>
        <w:t>2.5 Occupational Burnout in Nepalese Healthcare</w:t>
      </w:r>
    </w:p>
    <w:p>
      <w:pPr/>
      <w:r>
        <w:rPr>
          <w:rFonts w:ascii="Times New Roman" w:hAnsi="Times New Roman" w:cs="Times New Roman"/>
          <w:b w:val="0"/>
          <w:i w:val="0"/>
          <w:sz w:val="24"/>
          <w:u w:val="none"/>
        </w:rPr>
        <w:t>The consequences of persistent staffing deficits are extensively documented in recent Nepalese clinical literature. A descriptive cross-sectional study of nurses and doctors at a tertiary care government hospital in Kathmandu found significant burnout prevalence across emotional exhaustion and depersonalisation dimensions, with staffing shortfalls identified as a contributing factor [9]. A more recent study examining burnout and sleep problems among nurses at a tertiary hospital in Kathmandu confirmed that workload-driven pressure — directly correlated with understaffing — is a primary driver of burnout outcomes in Nepalese clinical settings [8]. These findings are consistent across ICU and emergency nursing contexts — the same cadres identified as critically understaffed by WISN calculations in this prototype.</w:t>
      </w:r>
    </w:p>
    <w:p>
      <w:pPr>
        <w:pStyle w:val="Heading2"/>
      </w:pPr>
      <w:r>
        <w:rPr>
          <w:rFonts w:ascii="Times New Roman" w:hAnsi="Times New Roman" w:cs="Times New Roman"/>
          <w:b/>
          <w:i w:val="0"/>
          <w:sz w:val="32"/>
          <w:u w:val="none"/>
        </w:rPr>
        <w:t>2.6 Related Systems and Comparative Analysis</w:t>
      </w:r>
    </w:p>
    <w:p>
      <w:pPr/>
      <w:r>
        <w:rPr>
          <w:rFonts w:ascii="Times New Roman" w:hAnsi="Times New Roman" w:cs="Times New Roman"/>
          <w:b w:val="0"/>
          <w:i w:val="0"/>
          <w:sz w:val="24"/>
          <w:u w:val="none"/>
        </w:rPr>
        <w:t>A comparative analysis of existing systems contextualises WISN Core's design decisions:</w:t>
      </w:r>
    </w:p>
    <w:p>
      <w:pPr>
        <w:spacing w:before="80" w:after="240"/>
        <w:jc w:val="center"/>
      </w:pPr>
      <w:r>
        <w:rPr>
          <w:rFonts w:ascii="Times New Roman" w:hAnsi="Times New Roman" w:cs="Times New Roman"/>
          <w:b w:val="0"/>
          <w:i/>
          <w:sz w:val="24"/>
          <w:u w:val="none"/>
        </w:rPr>
        <w:t>Table 2.1: Comparative Analysis of Related Systems</w:t>
      </w:r>
    </w:p>
    <w:tbl>
      <w:tblPr>
        <w:tblStyle w:val="TableGrid"/>
        <w:tblW w:type="auto" w:w="0"/>
        <w:jc w:val="center"/>
        <w:tblLook w:firstColumn="1" w:firstRow="1" w:lastColumn="0" w:lastRow="0" w:noHBand="0" w:noVBand="1" w:val="04A0"/>
      </w:tblPr>
      <w:tblGrid>
        <w:gridCol w:w="1380"/>
        <w:gridCol w:w="1380"/>
        <w:gridCol w:w="1380"/>
        <w:gridCol w:w="1380"/>
        <w:gridCol w:w="1380"/>
        <w:gridCol w:w="1380"/>
      </w:tblGrid>
      <w:tr>
        <w:tc>
          <w:tcPr>
            <w:tcW w:type="dxa" w:w="1440"/>
            <w:shd w:val="clear" w:color="auto" w:fill="D9D9D9"/>
          </w:tcPr>
          <w:p>
            <w:pPr>
              <w:spacing w:before="60" w:after="60" w:line="360" w:lineRule="auto"/>
            </w:pPr>
            <w:r/>
            <w:r>
              <w:rPr>
                <w:rFonts w:ascii="Times New Roman" w:hAnsi="Times New Roman" w:cs="Times New Roman"/>
                <w:b/>
                <w:i w:val="0"/>
                <w:sz w:val="20"/>
                <w:u w:val="none"/>
              </w:rPr>
              <w:t>System</w:t>
            </w:r>
          </w:p>
        </w:tc>
        <w:tc>
          <w:tcPr>
            <w:tcW w:type="dxa" w:w="1440"/>
            <w:shd w:val="clear" w:color="auto" w:fill="D9D9D9"/>
          </w:tcPr>
          <w:p>
            <w:pPr>
              <w:spacing w:before="60" w:after="60" w:line="360" w:lineRule="auto"/>
            </w:pPr>
            <w:r/>
            <w:r>
              <w:rPr>
                <w:rFonts w:ascii="Times New Roman" w:hAnsi="Times New Roman" w:cs="Times New Roman"/>
                <w:b/>
                <w:i w:val="0"/>
                <w:sz w:val="20"/>
                <w:u w:val="none"/>
              </w:rPr>
              <w:t>Methodology</w:t>
            </w:r>
          </w:p>
        </w:tc>
        <w:tc>
          <w:tcPr>
            <w:tcW w:type="dxa" w:w="1440"/>
            <w:shd w:val="clear" w:color="auto" w:fill="D9D9D9"/>
          </w:tcPr>
          <w:p>
            <w:pPr>
              <w:spacing w:before="60" w:after="60" w:line="360" w:lineRule="auto"/>
            </w:pPr>
            <w:r/>
            <w:r>
              <w:rPr>
                <w:rFonts w:ascii="Times New Roman" w:hAnsi="Times New Roman" w:cs="Times New Roman"/>
                <w:b/>
                <w:i w:val="0"/>
                <w:sz w:val="20"/>
                <w:u w:val="none"/>
              </w:rPr>
              <w:t>Nepal-Specific</w:t>
            </w:r>
          </w:p>
        </w:tc>
        <w:tc>
          <w:tcPr>
            <w:tcW w:type="dxa" w:w="1440"/>
            <w:shd w:val="clear" w:color="auto" w:fill="D9D9D9"/>
          </w:tcPr>
          <w:p>
            <w:pPr>
              <w:spacing w:before="60" w:after="60" w:line="360" w:lineRule="auto"/>
            </w:pPr>
            <w:r/>
            <w:r>
              <w:rPr>
                <w:rFonts w:ascii="Times New Roman" w:hAnsi="Times New Roman" w:cs="Times New Roman"/>
                <w:b/>
                <w:i w:val="0"/>
                <w:sz w:val="20"/>
                <w:u w:val="none"/>
              </w:rPr>
              <w:t>Web/Mobile</w:t>
            </w:r>
          </w:p>
        </w:tc>
        <w:tc>
          <w:tcPr>
            <w:tcW w:type="dxa" w:w="1440"/>
            <w:shd w:val="clear" w:color="auto" w:fill="D9D9D9"/>
          </w:tcPr>
          <w:p>
            <w:pPr>
              <w:spacing w:before="60" w:after="60" w:line="360" w:lineRule="auto"/>
            </w:pPr>
            <w:r/>
            <w:r>
              <w:rPr>
                <w:rFonts w:ascii="Times New Roman" w:hAnsi="Times New Roman" w:cs="Times New Roman"/>
                <w:b/>
                <w:i w:val="0"/>
                <w:sz w:val="20"/>
                <w:u w:val="none"/>
              </w:rPr>
              <w:t>Open Source</w:t>
            </w:r>
          </w:p>
        </w:tc>
        <w:tc>
          <w:tcPr>
            <w:tcW w:type="dxa" w:w="1440"/>
            <w:shd w:val="clear" w:color="auto" w:fill="D9D9D9"/>
          </w:tcPr>
          <w:p>
            <w:pPr>
              <w:spacing w:before="60" w:after="60" w:line="360" w:lineRule="auto"/>
            </w:pPr>
            <w:r/>
            <w:r>
              <w:rPr>
                <w:rFonts w:ascii="Times New Roman" w:hAnsi="Times New Roman" w:cs="Times New Roman"/>
                <w:b/>
                <w:i w:val="0"/>
                <w:sz w:val="20"/>
                <w:u w:val="none"/>
              </w:rPr>
              <w:t>Limitations</w:t>
            </w:r>
          </w:p>
        </w:tc>
      </w:tr>
      <w:tr>
        <w:tc>
          <w:tcPr>
            <w:tcW w:type="dxa" w:w="1440"/>
          </w:tcPr>
          <w:p>
            <w:pPr>
              <w:spacing w:before="60" w:after="60" w:line="360" w:lineRule="auto"/>
            </w:pPr>
            <w:r/>
            <w:r>
              <w:rPr>
                <w:rFonts w:ascii="Times New Roman" w:hAnsi="Times New Roman" w:cs="Times New Roman"/>
                <w:b w:val="0"/>
                <w:i w:val="0"/>
                <w:sz w:val="20"/>
                <w:u w:val="none"/>
              </w:rPr>
              <w:t>WHO WISN Software (Excel)</w:t>
            </w:r>
          </w:p>
        </w:tc>
        <w:tc>
          <w:tcPr>
            <w:tcW w:type="dxa" w:w="1440"/>
          </w:tcPr>
          <w:p>
            <w:pPr>
              <w:spacing w:before="60" w:after="60" w:line="360" w:lineRule="auto"/>
            </w:pPr>
            <w:r/>
            <w:r>
              <w:rPr>
                <w:rFonts w:ascii="Times New Roman" w:hAnsi="Times New Roman" w:cs="Times New Roman"/>
                <w:b w:val="0"/>
                <w:i w:val="0"/>
                <w:sz w:val="20"/>
                <w:u w:val="none"/>
              </w:rPr>
              <w:t>Full WISN</w:t>
            </w:r>
          </w:p>
        </w:tc>
        <w:tc>
          <w:tcPr>
            <w:tcW w:type="dxa" w:w="1440"/>
          </w:tcPr>
          <w:p>
            <w:pPr>
              <w:spacing w:before="60" w:after="60" w:line="360" w:lineRule="auto"/>
            </w:pPr>
            <w:r/>
            <w:r>
              <w:rPr>
                <w:rFonts w:ascii="Times New Roman" w:hAnsi="Times New Roman" w:cs="Times New Roman"/>
                <w:b w:val="0"/>
                <w:i w:val="0"/>
                <w:sz w:val="20"/>
                <w:u w:val="none"/>
              </w:rPr>
              <w:t>No</w:t>
            </w:r>
          </w:p>
        </w:tc>
        <w:tc>
          <w:tcPr>
            <w:tcW w:type="dxa" w:w="1440"/>
          </w:tcPr>
          <w:p>
            <w:pPr>
              <w:spacing w:before="60" w:after="60" w:line="360" w:lineRule="auto"/>
            </w:pPr>
            <w:r/>
            <w:r>
              <w:rPr>
                <w:rFonts w:ascii="Times New Roman" w:hAnsi="Times New Roman" w:cs="Times New Roman"/>
                <w:b w:val="0"/>
                <w:i w:val="0"/>
                <w:sz w:val="20"/>
                <w:u w:val="none"/>
              </w:rPr>
              <w:t>Desktop only</w:t>
            </w:r>
          </w:p>
        </w:tc>
        <w:tc>
          <w:tcPr>
            <w:tcW w:type="dxa" w:w="1440"/>
          </w:tcPr>
          <w:p>
            <w:pPr>
              <w:spacing w:before="60" w:after="60" w:line="360" w:lineRule="auto"/>
            </w:pPr>
            <w:r/>
            <w:r>
              <w:rPr>
                <w:rFonts w:ascii="Times New Roman" w:hAnsi="Times New Roman" w:cs="Times New Roman"/>
                <w:b w:val="0"/>
                <w:i w:val="0"/>
                <w:sz w:val="20"/>
                <w:u w:val="none"/>
              </w:rPr>
              <w:t>Yes</w:t>
            </w:r>
          </w:p>
        </w:tc>
        <w:tc>
          <w:tcPr>
            <w:tcW w:type="dxa" w:w="1440"/>
          </w:tcPr>
          <w:p>
            <w:pPr>
              <w:spacing w:before="60" w:after="60" w:line="360" w:lineRule="auto"/>
            </w:pPr>
            <w:r/>
            <w:r>
              <w:rPr>
                <w:rFonts w:ascii="Times New Roman" w:hAnsi="Times New Roman" w:cs="Times New Roman"/>
                <w:b w:val="0"/>
                <w:i w:val="0"/>
                <w:sz w:val="20"/>
                <w:u w:val="none"/>
              </w:rPr>
              <w:t>Manual input, no automation, no dashboard</w:t>
            </w:r>
          </w:p>
        </w:tc>
      </w:tr>
      <w:tr>
        <w:tc>
          <w:tcPr>
            <w:tcW w:type="dxa" w:w="1440"/>
          </w:tcPr>
          <w:p>
            <w:pPr>
              <w:spacing w:before="60" w:after="60" w:line="360" w:lineRule="auto"/>
            </w:pPr>
            <w:r/>
            <w:r>
              <w:rPr>
                <w:rFonts w:ascii="Times New Roman" w:hAnsi="Times New Roman" w:cs="Times New Roman"/>
                <w:b w:val="0"/>
                <w:i w:val="0"/>
                <w:sz w:val="20"/>
                <w:u w:val="none"/>
              </w:rPr>
              <w:t>Staffplan / HealthRoster</w:t>
            </w:r>
          </w:p>
        </w:tc>
        <w:tc>
          <w:tcPr>
            <w:tcW w:type="dxa" w:w="1440"/>
          </w:tcPr>
          <w:p>
            <w:pPr>
              <w:spacing w:before="60" w:after="60" w:line="360" w:lineRule="auto"/>
            </w:pPr>
            <w:r/>
            <w:r>
              <w:rPr>
                <w:rFonts w:ascii="Times New Roman" w:hAnsi="Times New Roman" w:cs="Times New Roman"/>
                <w:b w:val="0"/>
                <w:i w:val="0"/>
                <w:sz w:val="20"/>
                <w:u w:val="none"/>
              </w:rPr>
              <w:t>Shift scheduling</w:t>
            </w:r>
          </w:p>
        </w:tc>
        <w:tc>
          <w:tcPr>
            <w:tcW w:type="dxa" w:w="1440"/>
          </w:tcPr>
          <w:p>
            <w:pPr>
              <w:spacing w:before="60" w:after="60" w:line="360" w:lineRule="auto"/>
            </w:pPr>
            <w:r/>
            <w:r>
              <w:rPr>
                <w:rFonts w:ascii="Times New Roman" w:hAnsi="Times New Roman" w:cs="Times New Roman"/>
                <w:b w:val="0"/>
                <w:i w:val="0"/>
                <w:sz w:val="20"/>
                <w:u w:val="none"/>
              </w:rPr>
              <w:t>No</w:t>
            </w:r>
          </w:p>
        </w:tc>
        <w:tc>
          <w:tcPr>
            <w:tcW w:type="dxa" w:w="1440"/>
          </w:tcPr>
          <w:p>
            <w:pPr>
              <w:spacing w:before="60" w:after="60" w:line="360" w:lineRule="auto"/>
            </w:pPr>
            <w:r/>
            <w:r>
              <w:rPr>
                <w:rFonts w:ascii="Times New Roman" w:hAnsi="Times New Roman" w:cs="Times New Roman"/>
                <w:b w:val="0"/>
                <w:i w:val="0"/>
                <w:sz w:val="20"/>
                <w:u w:val="none"/>
              </w:rPr>
              <w:t>Web</w:t>
            </w:r>
          </w:p>
        </w:tc>
        <w:tc>
          <w:tcPr>
            <w:tcW w:type="dxa" w:w="1440"/>
          </w:tcPr>
          <w:p>
            <w:pPr>
              <w:spacing w:before="60" w:after="60" w:line="360" w:lineRule="auto"/>
            </w:pPr>
            <w:r/>
            <w:r>
              <w:rPr>
                <w:rFonts w:ascii="Times New Roman" w:hAnsi="Times New Roman" w:cs="Times New Roman"/>
                <w:b w:val="0"/>
                <w:i w:val="0"/>
                <w:sz w:val="20"/>
                <w:u w:val="none"/>
              </w:rPr>
              <w:t>No</w:t>
            </w:r>
          </w:p>
        </w:tc>
        <w:tc>
          <w:tcPr>
            <w:tcW w:type="dxa" w:w="1440"/>
          </w:tcPr>
          <w:p>
            <w:pPr>
              <w:spacing w:before="60" w:after="60" w:line="360" w:lineRule="auto"/>
            </w:pPr>
            <w:r/>
            <w:r>
              <w:rPr>
                <w:rFonts w:ascii="Times New Roman" w:hAnsi="Times New Roman" w:cs="Times New Roman"/>
                <w:b w:val="0"/>
                <w:i w:val="0"/>
                <w:sz w:val="20"/>
                <w:u w:val="none"/>
              </w:rPr>
              <w:t>No WISN calculation; commercial, high cost</w:t>
            </w:r>
          </w:p>
        </w:tc>
      </w:tr>
      <w:tr>
        <w:tc>
          <w:tcPr>
            <w:tcW w:type="dxa" w:w="1440"/>
          </w:tcPr>
          <w:p>
            <w:pPr>
              <w:spacing w:before="60" w:after="60" w:line="360" w:lineRule="auto"/>
            </w:pPr>
            <w:r/>
            <w:r>
              <w:rPr>
                <w:rFonts w:ascii="Times New Roman" w:hAnsi="Times New Roman" w:cs="Times New Roman"/>
                <w:b w:val="0"/>
                <w:i w:val="0"/>
                <w:sz w:val="20"/>
                <w:u w:val="none"/>
              </w:rPr>
              <w:t>Instant Buy (reference project)</w:t>
            </w:r>
          </w:p>
        </w:tc>
        <w:tc>
          <w:tcPr>
            <w:tcW w:type="dxa" w:w="1440"/>
          </w:tcPr>
          <w:p>
            <w:pPr>
              <w:spacing w:before="60" w:after="60" w:line="360" w:lineRule="auto"/>
            </w:pPr>
            <w:r/>
            <w:r>
              <w:rPr>
                <w:rFonts w:ascii="Times New Roman" w:hAnsi="Times New Roman" w:cs="Times New Roman"/>
                <w:b w:val="0"/>
                <w:i w:val="0"/>
                <w:sz w:val="20"/>
                <w:u w:val="none"/>
              </w:rPr>
              <w:t>E-commerce workflow</w:t>
            </w:r>
          </w:p>
        </w:tc>
        <w:tc>
          <w:tcPr>
            <w:tcW w:type="dxa" w:w="1440"/>
          </w:tcPr>
          <w:p>
            <w:pPr>
              <w:spacing w:before="60" w:after="60" w:line="360" w:lineRule="auto"/>
            </w:pPr>
            <w:r/>
            <w:r>
              <w:rPr>
                <w:rFonts w:ascii="Times New Roman" w:hAnsi="Times New Roman" w:cs="Times New Roman"/>
                <w:b w:val="0"/>
                <w:i w:val="0"/>
                <w:sz w:val="20"/>
                <w:u w:val="none"/>
              </w:rPr>
              <w:t>Yes (Nepal)</w:t>
            </w:r>
          </w:p>
        </w:tc>
        <w:tc>
          <w:tcPr>
            <w:tcW w:type="dxa" w:w="1440"/>
          </w:tcPr>
          <w:p>
            <w:pPr>
              <w:spacing w:before="60" w:after="60" w:line="360" w:lineRule="auto"/>
            </w:pPr>
            <w:r/>
            <w:r>
              <w:rPr>
                <w:rFonts w:ascii="Times New Roman" w:hAnsi="Times New Roman" w:cs="Times New Roman"/>
                <w:b w:val="0"/>
                <w:i w:val="0"/>
                <w:sz w:val="20"/>
                <w:u w:val="none"/>
              </w:rPr>
              <w:t>Mobile + Web API</w:t>
            </w:r>
          </w:p>
        </w:tc>
        <w:tc>
          <w:tcPr>
            <w:tcW w:type="dxa" w:w="1440"/>
          </w:tcPr>
          <w:p>
            <w:pPr>
              <w:spacing w:before="60" w:after="60" w:line="360" w:lineRule="auto"/>
            </w:pPr>
            <w:r/>
            <w:r>
              <w:rPr>
                <w:rFonts w:ascii="Times New Roman" w:hAnsi="Times New Roman" w:cs="Times New Roman"/>
                <w:b w:val="0"/>
                <w:i w:val="0"/>
                <w:sz w:val="20"/>
                <w:u w:val="none"/>
              </w:rPr>
              <w:t>Academic</w:t>
            </w:r>
          </w:p>
        </w:tc>
        <w:tc>
          <w:tcPr>
            <w:tcW w:type="dxa" w:w="1440"/>
          </w:tcPr>
          <w:p>
            <w:pPr>
              <w:spacing w:before="60" w:after="60" w:line="360" w:lineRule="auto"/>
            </w:pPr>
            <w:r/>
            <w:r>
              <w:rPr>
                <w:rFonts w:ascii="Times New Roman" w:hAnsi="Times New Roman" w:cs="Times New Roman"/>
                <w:b w:val="0"/>
                <w:i w:val="0"/>
                <w:sz w:val="20"/>
                <w:u w:val="none"/>
              </w:rPr>
              <w:t>Unrelated domain; used as structural reference</w:t>
            </w:r>
          </w:p>
        </w:tc>
      </w:tr>
      <w:tr>
        <w:tc>
          <w:tcPr>
            <w:tcW w:type="dxa" w:w="1440"/>
          </w:tcPr>
          <w:p>
            <w:pPr>
              <w:spacing w:before="60" w:after="60" w:line="360" w:lineRule="auto"/>
            </w:pPr>
            <w:r/>
            <w:r>
              <w:rPr>
                <w:rFonts w:ascii="Times New Roman" w:hAnsi="Times New Roman" w:cs="Times New Roman"/>
                <w:b w:val="0"/>
                <w:i w:val="0"/>
                <w:sz w:val="20"/>
                <w:u w:val="none"/>
              </w:rPr>
              <w:t>WISN Core (this project)</w:t>
            </w:r>
          </w:p>
        </w:tc>
        <w:tc>
          <w:tcPr>
            <w:tcW w:type="dxa" w:w="1440"/>
          </w:tcPr>
          <w:p>
            <w:pPr>
              <w:spacing w:before="60" w:after="60" w:line="360" w:lineRule="auto"/>
            </w:pPr>
            <w:r/>
            <w:r>
              <w:rPr>
                <w:rFonts w:ascii="Times New Roman" w:hAnsi="Times New Roman" w:cs="Times New Roman"/>
                <w:b w:val="0"/>
                <w:i w:val="0"/>
                <w:sz w:val="20"/>
                <w:u w:val="none"/>
              </w:rPr>
              <w:t>Full WHO WISN 3-component</w:t>
            </w:r>
          </w:p>
        </w:tc>
        <w:tc>
          <w:tcPr>
            <w:tcW w:type="dxa" w:w="1440"/>
          </w:tcPr>
          <w:p>
            <w:pPr>
              <w:spacing w:before="60" w:after="60" w:line="360" w:lineRule="auto"/>
            </w:pPr>
            <w:r/>
            <w:r>
              <w:rPr>
                <w:rFonts w:ascii="Times New Roman" w:hAnsi="Times New Roman" w:cs="Times New Roman"/>
                <w:b w:val="0"/>
                <w:i w:val="0"/>
                <w:sz w:val="20"/>
                <w:u w:val="none"/>
              </w:rPr>
              <w:t>Yes (NHFS + Labor Act 2074)</w:t>
            </w:r>
          </w:p>
        </w:tc>
        <w:tc>
          <w:tcPr>
            <w:tcW w:type="dxa" w:w="1440"/>
          </w:tcPr>
          <w:p>
            <w:pPr>
              <w:spacing w:before="60" w:after="60" w:line="360" w:lineRule="auto"/>
            </w:pPr>
            <w:r/>
            <w:r>
              <w:rPr>
                <w:rFonts w:ascii="Times New Roman" w:hAnsi="Times New Roman" w:cs="Times New Roman"/>
                <w:b w:val="0"/>
                <w:i w:val="0"/>
                <w:sz w:val="20"/>
                <w:u w:val="none"/>
              </w:rPr>
              <w:t>Web (Laravel MVC)</w:t>
            </w:r>
          </w:p>
        </w:tc>
        <w:tc>
          <w:tcPr>
            <w:tcW w:type="dxa" w:w="1440"/>
          </w:tcPr>
          <w:p>
            <w:pPr>
              <w:spacing w:before="60" w:after="60" w:line="360" w:lineRule="auto"/>
            </w:pPr>
            <w:r/>
            <w:r>
              <w:rPr>
                <w:rFonts w:ascii="Times New Roman" w:hAnsi="Times New Roman" w:cs="Times New Roman"/>
                <w:b w:val="0"/>
                <w:i w:val="0"/>
                <w:sz w:val="20"/>
                <w:u w:val="none"/>
              </w:rPr>
              <w:t>Academic</w:t>
            </w:r>
          </w:p>
        </w:tc>
        <w:tc>
          <w:tcPr>
            <w:tcW w:type="dxa" w:w="1440"/>
          </w:tcPr>
          <w:p>
            <w:pPr>
              <w:spacing w:before="60" w:after="60" w:line="360" w:lineRule="auto"/>
            </w:pPr>
            <w:r/>
            <w:r>
              <w:rPr>
                <w:rFonts w:ascii="Times New Roman" w:hAnsi="Times New Roman" w:cs="Times New Roman"/>
                <w:b w:val="0"/>
                <w:i w:val="0"/>
                <w:sz w:val="20"/>
                <w:u w:val="none"/>
              </w:rPr>
              <w:t>Single facility; no EHR integration</w:t>
            </w:r>
          </w:p>
        </w:tc>
      </w:tr>
    </w:tbl>
    <w:p>
      <w:pPr/>
      <w:r>
        <w:rPr>
          <w:rFonts w:ascii="Times New Roman" w:hAnsi="Times New Roman" w:cs="Times New Roman"/>
          <w:b w:val="0"/>
          <w:i w:val="0"/>
          <w:sz w:val="24"/>
          <w:u w:val="none"/>
        </w:rPr>
        <w:t>The key differentiator of WISN Core over the WHO's own Excel-based tool is the automation of the mathematical pipeline: users enter raw workload counts and leave parameters and the system computes all intermediate values — Standard Workload, CAF, AAF FTE — without manual calculation. This eliminates the arithmetic errors and version control problems inherent in spreadsheet-based implementations.</w:t>
      </w:r>
    </w:p>
    <w:p>
      <w:pPr>
        <w:pStyle w:val="Heading2"/>
      </w:pPr>
      <w:r>
        <w:rPr>
          <w:rFonts w:ascii="Times New Roman" w:hAnsi="Times New Roman" w:cs="Times New Roman"/>
          <w:b/>
          <w:i w:val="0"/>
          <w:sz w:val="32"/>
          <w:u w:val="none"/>
        </w:rPr>
        <w:t>2.7 Research Gap</w:t>
      </w:r>
    </w:p>
    <w:p>
      <w:pPr/>
      <w:r>
        <w:rPr>
          <w:rFonts w:ascii="Times New Roman" w:hAnsi="Times New Roman" w:cs="Times New Roman"/>
          <w:b w:val="0"/>
          <w:i w:val="0"/>
          <w:sz w:val="24"/>
          <w:u w:val="none"/>
        </w:rPr>
        <w:t>While the WHO WISN methodology provides an objective, workload-driven algorithm for human resources for health (HRH) planning, its digital implementation in Nepal remains fragmented and inaccessible. This project directly addresses three dimensions of this gap.</w:t>
      </w:r>
    </w:p>
    <w:p>
      <w:pPr/>
      <w:r>
        <w:rPr>
          <w:rFonts w:ascii="Times New Roman" w:hAnsi="Times New Roman" w:cs="Times New Roman"/>
          <w:b w:val="0"/>
          <w:i w:val="0"/>
          <w:sz w:val="24"/>
          <w:u w:val="none"/>
        </w:rPr>
        <w:t>First, existing workforce scheduling and HR systems (e.g., HealthRoster, Staffplan) are proprietary, high-cost, and optimised for Western shift-scheduling problems rather than the WHO WISN staffing-needs framework. Second, the WHO's own Excel-based WISN tool requires manual input of all intermediate calculations, making it error-prone and unsuitable for non-specialist administrators. Third, no Nepal-specific digital implementation integrates the statutory AWT parameters from the Nepal Labour Act 2074 or uses NHFS-derived baseline figures.</w:t>
      </w:r>
    </w:p>
    <w:p>
      <w:pPr>
        <w:pStyle w:val="Heading1"/>
        <w:pageBreakBefore/>
        <w:spacing w:before="480" w:after="240"/>
      </w:pPr>
      <w:r>
        <w:rPr>
          <w:rFonts w:ascii="Times New Roman" w:hAnsi="Times New Roman" w:cs="Times New Roman"/>
          <w:b/>
          <w:i w:val="0"/>
          <w:sz w:val="36"/>
          <w:u w:val="none"/>
        </w:rPr>
        <w:t>Chapter 3: System Design</w:t>
      </w:r>
    </w:p>
    <w:p>
      <w:pPr>
        <w:pStyle w:val="Heading2"/>
      </w:pPr>
      <w:r>
        <w:rPr>
          <w:rFonts w:ascii="Times New Roman" w:hAnsi="Times New Roman" w:cs="Times New Roman"/>
          <w:b/>
          <w:i w:val="0"/>
          <w:sz w:val="32"/>
          <w:u w:val="none"/>
        </w:rPr>
        <w:t>3.1 ER Diagram</w:t>
      </w:r>
    </w:p>
    <w:p>
      <w:pPr/>
      <w:r>
        <w:rPr>
          <w:rFonts w:ascii="Times New Roman" w:hAnsi="Times New Roman" w:cs="Times New Roman"/>
          <w:b w:val="0"/>
          <w:i w:val="0"/>
          <w:sz w:val="24"/>
          <w:u w:val="none"/>
        </w:rPr>
        <w:t>The relational database schema is normalized to Third Normal Form (3NF) to ensure data integrity and query performance in a multi-user environment. The ER diagram below illustrates the relationships between the core entities: Users, Departments, and Workload Activities.</w:t>
      </w:r>
    </w:p>
    <w:p>
      <w:pPr>
        <w:spacing w:before="120" w:after="80"/>
        <w:jc w:val="center"/>
      </w:pPr>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image3.png"/>
                    <pic:cNvPicPr/>
                  </pic:nvPicPr>
                  <pic:blipFill>
                    <a:blip r:embed="rId9"/>
                    <a:stretch>
                      <a:fillRect/>
                    </a:stretch>
                  </pic:blipFill>
                  <pic:spPr>
                    <a:xfrm>
                      <a:off x="0" y="0"/>
                      <a:ext cx="5029200" cy="3352800"/>
                    </a:xfrm>
                    <a:prstGeom prst="rect"/>
                  </pic:spPr>
                </pic:pic>
              </a:graphicData>
            </a:graphic>
          </wp:inline>
        </w:drawing>
      </w:r>
    </w:p>
    <w:p>
      <w:pPr>
        <w:spacing w:before="80" w:after="240"/>
        <w:jc w:val="center"/>
      </w:pPr>
      <w:r>
        <w:rPr>
          <w:rFonts w:ascii="Times New Roman" w:hAnsi="Times New Roman" w:cs="Times New Roman"/>
          <w:b w:val="0"/>
          <w:i/>
          <w:sz w:val="24"/>
          <w:u w:val="none"/>
        </w:rPr>
        <w:t>Figure 3.1: Entity-Relationship (ER) Diagram</w:t>
      </w:r>
    </w:p>
    <w:p>
      <w:pPr>
        <w:pStyle w:val="Heading2"/>
      </w:pPr>
      <w:r>
        <w:rPr>
          <w:rFonts w:ascii="Times New Roman" w:hAnsi="Times New Roman" w:cs="Times New Roman"/>
          <w:b/>
          <w:i w:val="0"/>
          <w:sz w:val="32"/>
          <w:u w:val="none"/>
        </w:rPr>
        <w:t>3.2 Flowchart</w:t>
      </w:r>
    </w:p>
    <w:p>
      <w:pPr/>
      <w:r>
        <w:rPr>
          <w:rFonts w:ascii="Times New Roman" w:hAnsi="Times New Roman" w:cs="Times New Roman"/>
          <w:b w:val="0"/>
          <w:i w:val="0"/>
          <w:sz w:val="24"/>
          <w:u w:val="none"/>
        </w:rPr>
        <w:t>The flowchart describes the user journey from unauthenticated access through to workload configuration and PDF generation. It illustrates the decision points at authentication, email verification, and data entry, as well as the calculation pipeline triggered on dashboard load.</w:t>
      </w:r>
    </w:p>
    <w:p>
      <w:pPr>
        <w:spacing w:before="120" w:after="80"/>
        <w:jc w:val="center"/>
      </w:pPr>
      <w:r>
        <w:drawing>
          <wp:inline xmlns:a="http://schemas.openxmlformats.org/drawingml/2006/main" xmlns:pic="http://schemas.openxmlformats.org/drawingml/2006/picture">
            <wp:extent cx="5029200" cy="7543800"/>
            <wp:docPr id="2" name="Picture 2"/>
            <wp:cNvGraphicFramePr>
              <a:graphicFrameLocks noChangeAspect="1"/>
            </wp:cNvGraphicFramePr>
            <a:graphic>
              <a:graphicData uri="http://schemas.openxmlformats.org/drawingml/2006/picture">
                <pic:pic>
                  <pic:nvPicPr>
                    <pic:cNvPr id="0" name="image4.png"/>
                    <pic:cNvPicPr/>
                  </pic:nvPicPr>
                  <pic:blipFill>
                    <a:blip r:embed="rId10"/>
                    <a:stretch>
                      <a:fillRect/>
                    </a:stretch>
                  </pic:blipFill>
                  <pic:spPr>
                    <a:xfrm>
                      <a:off x="0" y="0"/>
                      <a:ext cx="5029200" cy="7543800"/>
                    </a:xfrm>
                    <a:prstGeom prst="rect"/>
                  </pic:spPr>
                </pic:pic>
              </a:graphicData>
            </a:graphic>
          </wp:inline>
        </w:drawing>
      </w:r>
    </w:p>
    <w:p>
      <w:pPr>
        <w:spacing w:before="80" w:after="240"/>
        <w:jc w:val="center"/>
      </w:pPr>
      <w:r>
        <w:rPr>
          <w:rFonts w:ascii="Times New Roman" w:hAnsi="Times New Roman" w:cs="Times New Roman"/>
          <w:b w:val="0"/>
          <w:i/>
          <w:sz w:val="24"/>
          <w:u w:val="none"/>
        </w:rPr>
        <w:t>Figure 3.2: System Flowchart</w:t>
      </w:r>
    </w:p>
    <w:p>
      <w:pPr>
        <w:pStyle w:val="Heading2"/>
      </w:pPr>
      <w:r>
        <w:rPr>
          <w:rFonts w:ascii="Times New Roman" w:hAnsi="Times New Roman" w:cs="Times New Roman"/>
          <w:b/>
          <w:i w:val="0"/>
          <w:sz w:val="32"/>
          <w:u w:val="none"/>
        </w:rPr>
        <w:t>3.3 Use Case Diagram</w:t>
      </w:r>
    </w:p>
    <w:p>
      <w:pPr/>
      <w:r>
        <w:rPr>
          <w:rFonts w:ascii="Times New Roman" w:hAnsi="Times New Roman" w:cs="Times New Roman"/>
          <w:b w:val="0"/>
          <w:i w:val="0"/>
          <w:sz w:val="24"/>
          <w:u w:val="none"/>
        </w:rPr>
        <w:t>To systematically map out the interactions within WISN Core's monolithic web layer, a structural Use Case Diagram is established. The diagram identifies the primary actor (Authenticated Hospital Administrator) and all system use cases, including department management, activity management, dashboard viewing, and report generation.</w:t>
      </w:r>
    </w:p>
    <w:p>
      <w:pPr>
        <w:spacing w:before="120" w:after="80"/>
        <w:jc w:val="center"/>
      </w:pPr>
      <w:r>
        <w:drawing>
          <wp:inline xmlns:a="http://schemas.openxmlformats.org/drawingml/2006/main" xmlns:pic="http://schemas.openxmlformats.org/drawingml/2006/picture">
            <wp:extent cx="5029200" cy="4859842"/>
            <wp:docPr id="3" name="Picture 3"/>
            <wp:cNvGraphicFramePr>
              <a:graphicFrameLocks noChangeAspect="1"/>
            </wp:cNvGraphicFramePr>
            <a:graphic>
              <a:graphicData uri="http://schemas.openxmlformats.org/drawingml/2006/picture">
                <pic:pic>
                  <pic:nvPicPr>
                    <pic:cNvPr id="0" name="image5.png"/>
                    <pic:cNvPicPr/>
                  </pic:nvPicPr>
                  <pic:blipFill>
                    <a:blip r:embed="rId11"/>
                    <a:stretch>
                      <a:fillRect/>
                    </a:stretch>
                  </pic:blipFill>
                  <pic:spPr>
                    <a:xfrm>
                      <a:off x="0" y="0"/>
                      <a:ext cx="5029200" cy="4859842"/>
                    </a:xfrm>
                    <a:prstGeom prst="rect"/>
                  </pic:spPr>
                </pic:pic>
              </a:graphicData>
            </a:graphic>
          </wp:inline>
        </w:drawing>
      </w:r>
    </w:p>
    <w:p>
      <w:pPr>
        <w:spacing w:before="80" w:after="240"/>
        <w:jc w:val="center"/>
      </w:pPr>
      <w:r>
        <w:rPr>
          <w:rFonts w:ascii="Times New Roman" w:hAnsi="Times New Roman" w:cs="Times New Roman"/>
          <w:b w:val="0"/>
          <w:i/>
          <w:sz w:val="24"/>
          <w:u w:val="none"/>
        </w:rPr>
        <w:t>Figure 3.3: Use Case Diagram</w:t>
      </w:r>
    </w:p>
    <w:p>
      <w:pPr>
        <w:pStyle w:val="Heading1"/>
        <w:pageBreakBefore/>
        <w:spacing w:before="480" w:after="240"/>
      </w:pPr>
      <w:r>
        <w:rPr>
          <w:rFonts w:ascii="Times New Roman" w:hAnsi="Times New Roman" w:cs="Times New Roman"/>
          <w:b/>
          <w:i w:val="0"/>
          <w:sz w:val="36"/>
          <w:u w:val="none"/>
        </w:rPr>
        <w:t>Chapter 4: Implementation and Discussion</w:t>
      </w:r>
    </w:p>
    <w:p>
      <w:pPr>
        <w:pStyle w:val="Heading2"/>
      </w:pPr>
      <w:r>
        <w:rPr>
          <w:rFonts w:ascii="Times New Roman" w:hAnsi="Times New Roman" w:cs="Times New Roman"/>
          <w:b/>
          <w:i w:val="0"/>
          <w:sz w:val="32"/>
          <w:u w:val="none"/>
        </w:rPr>
        <w:t>4.1 Development Approach</w:t>
      </w:r>
    </w:p>
    <w:p>
      <w:pPr/>
      <w:r>
        <w:rPr>
          <w:rFonts w:ascii="Times New Roman" w:hAnsi="Times New Roman" w:cs="Times New Roman"/>
          <w:b w:val="0"/>
          <w:i w:val="0"/>
          <w:sz w:val="24"/>
          <w:u w:val="none"/>
        </w:rPr>
        <w:t>The system was built using an iterative, phase-based approach. Development progressed through four stages: designing the data model and running migrations; building the WISN calculation engine and unit-verifying it against manual calculations; constructing the front-end interface (dashboard, department forms, activity management); and finally adding PDF generation, seeder data, and authentication hardening.</w:t>
      </w:r>
    </w:p>
    <w:p>
      <w:pPr>
        <w:pStyle w:val="Heading2"/>
      </w:pPr>
      <w:r>
        <w:rPr>
          <w:rFonts w:ascii="Times New Roman" w:hAnsi="Times New Roman" w:cs="Times New Roman"/>
          <w:b/>
          <w:i w:val="0"/>
          <w:sz w:val="32"/>
          <w:u w:val="none"/>
        </w:rPr>
        <w:t>4.2 Technology Stack</w:t>
      </w:r>
    </w:p>
    <w:p>
      <w:pPr/>
      <w:r>
        <w:rPr>
          <w:rFonts w:ascii="Times New Roman" w:hAnsi="Times New Roman" w:cs="Times New Roman"/>
          <w:b w:val="0"/>
          <w:i w:val="0"/>
          <w:sz w:val="24"/>
          <w:u w:val="none"/>
        </w:rPr>
        <w:t>The application was built on a modern, open-source web stack chosen for its stability, security, and strong documentation ecosystem.</w:t>
      </w:r>
    </w:p>
    <w:p>
      <w:pPr>
        <w:spacing w:before="80" w:after="240"/>
        <w:jc w:val="center"/>
      </w:pPr>
      <w:r>
        <w:rPr>
          <w:rFonts w:ascii="Times New Roman" w:hAnsi="Times New Roman" w:cs="Times New Roman"/>
          <w:b w:val="0"/>
          <w:i/>
          <w:sz w:val="24"/>
          <w:u w:val="none"/>
        </w:rPr>
        <w:t>Table 4.1: Technology Stack</w:t>
      </w:r>
    </w:p>
    <w:tbl>
      <w:tblPr>
        <w:tblStyle w:val="TableGrid"/>
        <w:tblW w:type="auto" w:w="0"/>
        <w:jc w:val="center"/>
        <w:tblLook w:firstColumn="1" w:firstRow="1" w:lastColumn="0" w:lastRow="0" w:noHBand="0" w:noVBand="1" w:val="04A0"/>
      </w:tblPr>
      <w:tblGrid>
        <w:gridCol w:w="4140"/>
        <w:gridCol w:w="4140"/>
      </w:tblGrid>
      <w:tr>
        <w:tc>
          <w:tcPr>
            <w:tcW w:type="dxa" w:w="4320"/>
            <w:shd w:val="clear" w:color="auto" w:fill="D9D9D9"/>
          </w:tcPr>
          <w:p>
            <w:pPr>
              <w:spacing w:before="60" w:after="60" w:line="360" w:lineRule="auto"/>
            </w:pPr>
            <w:r/>
            <w:r>
              <w:rPr>
                <w:rFonts w:ascii="Times New Roman" w:hAnsi="Times New Roman" w:cs="Times New Roman"/>
                <w:b/>
                <w:i w:val="0"/>
                <w:sz w:val="20"/>
                <w:u w:val="none"/>
              </w:rPr>
              <w:t>Layer</w:t>
            </w:r>
          </w:p>
        </w:tc>
        <w:tc>
          <w:tcPr>
            <w:tcW w:type="dxa" w:w="4320"/>
            <w:shd w:val="clear" w:color="auto" w:fill="D9D9D9"/>
          </w:tcPr>
          <w:p>
            <w:pPr>
              <w:spacing w:before="60" w:after="60" w:line="360" w:lineRule="auto"/>
            </w:pPr>
            <w:r/>
            <w:r>
              <w:rPr>
                <w:rFonts w:ascii="Times New Roman" w:hAnsi="Times New Roman" w:cs="Times New Roman"/>
                <w:b/>
                <w:i w:val="0"/>
                <w:sz w:val="20"/>
                <w:u w:val="none"/>
              </w:rPr>
              <w:t>Technology</w:t>
            </w:r>
          </w:p>
        </w:tc>
      </w:tr>
      <w:tr>
        <w:tc>
          <w:tcPr>
            <w:tcW w:type="dxa" w:w="4320"/>
          </w:tcPr>
          <w:p>
            <w:pPr>
              <w:spacing w:before="60" w:after="60" w:line="360" w:lineRule="auto"/>
            </w:pPr>
            <w:r/>
            <w:r>
              <w:rPr>
                <w:rFonts w:ascii="Times New Roman" w:hAnsi="Times New Roman" w:cs="Times New Roman"/>
                <w:b w:val="0"/>
                <w:i w:val="0"/>
                <w:sz w:val="20"/>
                <w:u w:val="none"/>
              </w:rPr>
              <w:t>Backend Framework</w:t>
            </w:r>
          </w:p>
        </w:tc>
        <w:tc>
          <w:tcPr>
            <w:tcW w:type="dxa" w:w="4320"/>
          </w:tcPr>
          <w:p>
            <w:pPr>
              <w:spacing w:before="60" w:after="60" w:line="360" w:lineRule="auto"/>
            </w:pPr>
            <w:r/>
            <w:r>
              <w:rPr>
                <w:rFonts w:ascii="Times New Roman" w:hAnsi="Times New Roman" w:cs="Times New Roman"/>
                <w:b w:val="0"/>
                <w:i w:val="0"/>
                <w:sz w:val="20"/>
                <w:u w:val="none"/>
              </w:rPr>
              <w:t>Laravel 10.x (PHP 8.1+)</w:t>
            </w:r>
          </w:p>
        </w:tc>
      </w:tr>
      <w:tr>
        <w:tc>
          <w:tcPr>
            <w:tcW w:type="dxa" w:w="4320"/>
          </w:tcPr>
          <w:p>
            <w:pPr>
              <w:spacing w:before="60" w:after="60" w:line="360" w:lineRule="auto"/>
            </w:pPr>
            <w:r/>
            <w:r>
              <w:rPr>
                <w:rFonts w:ascii="Times New Roman" w:hAnsi="Times New Roman" w:cs="Times New Roman"/>
                <w:b w:val="0"/>
                <w:i w:val="0"/>
                <w:sz w:val="20"/>
                <w:u w:val="none"/>
              </w:rPr>
              <w:t>Frontend</w:t>
            </w:r>
          </w:p>
        </w:tc>
        <w:tc>
          <w:tcPr>
            <w:tcW w:type="dxa" w:w="4320"/>
          </w:tcPr>
          <w:p>
            <w:pPr>
              <w:spacing w:before="60" w:after="60" w:line="360" w:lineRule="auto"/>
            </w:pPr>
            <w:r/>
            <w:r>
              <w:rPr>
                <w:rFonts w:ascii="Times New Roman" w:hAnsi="Times New Roman" w:cs="Times New Roman"/>
                <w:b w:val="0"/>
                <w:i w:val="0"/>
                <w:sz w:val="20"/>
                <w:u w:val="none"/>
              </w:rPr>
              <w:t>Server-rendered templates + Tailwind CSS + Alpine.js</w:t>
            </w:r>
          </w:p>
        </w:tc>
      </w:tr>
      <w:tr>
        <w:tc>
          <w:tcPr>
            <w:tcW w:type="dxa" w:w="4320"/>
          </w:tcPr>
          <w:p>
            <w:pPr>
              <w:spacing w:before="60" w:after="60" w:line="360" w:lineRule="auto"/>
            </w:pPr>
            <w:r/>
            <w:r>
              <w:rPr>
                <w:rFonts w:ascii="Times New Roman" w:hAnsi="Times New Roman" w:cs="Times New Roman"/>
                <w:b w:val="0"/>
                <w:i w:val="0"/>
                <w:sz w:val="20"/>
                <w:u w:val="none"/>
              </w:rPr>
              <w:t>JavaScript Bundling</w:t>
            </w:r>
          </w:p>
        </w:tc>
        <w:tc>
          <w:tcPr>
            <w:tcW w:type="dxa" w:w="4320"/>
          </w:tcPr>
          <w:p>
            <w:pPr>
              <w:spacing w:before="60" w:after="60" w:line="360" w:lineRule="auto"/>
            </w:pPr>
            <w:r/>
            <w:r>
              <w:rPr>
                <w:rFonts w:ascii="Times New Roman" w:hAnsi="Times New Roman" w:cs="Times New Roman"/>
                <w:b w:val="0"/>
                <w:i w:val="0"/>
                <w:sz w:val="20"/>
                <w:u w:val="none"/>
              </w:rPr>
              <w:t>Vite</w:t>
            </w:r>
          </w:p>
        </w:tc>
      </w:tr>
      <w:tr>
        <w:tc>
          <w:tcPr>
            <w:tcW w:type="dxa" w:w="4320"/>
          </w:tcPr>
          <w:p>
            <w:pPr>
              <w:spacing w:before="60" w:after="60" w:line="360" w:lineRule="auto"/>
            </w:pPr>
            <w:r/>
            <w:r>
              <w:rPr>
                <w:rFonts w:ascii="Times New Roman" w:hAnsi="Times New Roman" w:cs="Times New Roman"/>
                <w:b w:val="0"/>
                <w:i w:val="0"/>
                <w:sz w:val="20"/>
                <w:u w:val="none"/>
              </w:rPr>
              <w:t>Charts</w:t>
            </w:r>
          </w:p>
        </w:tc>
        <w:tc>
          <w:tcPr>
            <w:tcW w:type="dxa" w:w="4320"/>
          </w:tcPr>
          <w:p>
            <w:pPr>
              <w:spacing w:before="60" w:after="60" w:line="360" w:lineRule="auto"/>
            </w:pPr>
            <w:r/>
            <w:r>
              <w:rPr>
                <w:rFonts w:ascii="Times New Roman" w:hAnsi="Times New Roman" w:cs="Times New Roman"/>
                <w:b w:val="0"/>
                <w:i w:val="0"/>
                <w:sz w:val="20"/>
                <w:u w:val="none"/>
              </w:rPr>
              <w:t>Chart.js</w:t>
            </w:r>
          </w:p>
        </w:tc>
      </w:tr>
      <w:tr>
        <w:tc>
          <w:tcPr>
            <w:tcW w:type="dxa" w:w="4320"/>
          </w:tcPr>
          <w:p>
            <w:pPr>
              <w:spacing w:before="60" w:after="60" w:line="360" w:lineRule="auto"/>
            </w:pPr>
            <w:r/>
            <w:r>
              <w:rPr>
                <w:rFonts w:ascii="Times New Roman" w:hAnsi="Times New Roman" w:cs="Times New Roman"/>
                <w:b w:val="0"/>
                <w:i w:val="0"/>
                <w:sz w:val="20"/>
                <w:u w:val="none"/>
              </w:rPr>
              <w:t>PDF Generation</w:t>
            </w:r>
          </w:p>
        </w:tc>
        <w:tc>
          <w:tcPr>
            <w:tcW w:type="dxa" w:w="4320"/>
          </w:tcPr>
          <w:p>
            <w:pPr>
              <w:spacing w:before="60" w:after="60" w:line="360" w:lineRule="auto"/>
            </w:pPr>
            <w:r/>
            <w:r>
              <w:rPr>
                <w:rFonts w:ascii="Times New Roman" w:hAnsi="Times New Roman" w:cs="Times New Roman"/>
                <w:b w:val="0"/>
                <w:i w:val="0"/>
                <w:sz w:val="20"/>
                <w:u w:val="none"/>
              </w:rPr>
              <w:t>DomPDF</w:t>
            </w:r>
          </w:p>
        </w:tc>
      </w:tr>
      <w:tr>
        <w:tc>
          <w:tcPr>
            <w:tcW w:type="dxa" w:w="4320"/>
          </w:tcPr>
          <w:p>
            <w:pPr>
              <w:spacing w:before="60" w:after="60" w:line="360" w:lineRule="auto"/>
            </w:pPr>
            <w:r/>
            <w:r>
              <w:rPr>
                <w:rFonts w:ascii="Times New Roman" w:hAnsi="Times New Roman" w:cs="Times New Roman"/>
                <w:b w:val="0"/>
                <w:i w:val="0"/>
                <w:sz w:val="20"/>
                <w:u w:val="none"/>
              </w:rPr>
              <w:t>Authentication</w:t>
            </w:r>
          </w:p>
        </w:tc>
        <w:tc>
          <w:tcPr>
            <w:tcW w:type="dxa" w:w="4320"/>
          </w:tcPr>
          <w:p>
            <w:pPr>
              <w:spacing w:before="60" w:after="60" w:line="360" w:lineRule="auto"/>
            </w:pPr>
            <w:r/>
            <w:r>
              <w:rPr>
                <w:rFonts w:ascii="Times New Roman" w:hAnsi="Times New Roman" w:cs="Times New Roman"/>
                <w:b w:val="0"/>
                <w:i w:val="0"/>
                <w:sz w:val="20"/>
                <w:u w:val="none"/>
              </w:rPr>
              <w:t>Laravel Breeze</w:t>
            </w:r>
          </w:p>
        </w:tc>
      </w:tr>
      <w:tr>
        <w:tc>
          <w:tcPr>
            <w:tcW w:type="dxa" w:w="4320"/>
          </w:tcPr>
          <w:p>
            <w:pPr>
              <w:spacing w:before="60" w:after="60" w:line="360" w:lineRule="auto"/>
            </w:pPr>
            <w:r/>
            <w:r>
              <w:rPr>
                <w:rFonts w:ascii="Times New Roman" w:hAnsi="Times New Roman" w:cs="Times New Roman"/>
                <w:b w:val="0"/>
                <w:i w:val="0"/>
                <w:sz w:val="20"/>
                <w:u w:val="none"/>
              </w:rPr>
              <w:t>Database</w:t>
            </w:r>
          </w:p>
        </w:tc>
        <w:tc>
          <w:tcPr>
            <w:tcW w:type="dxa" w:w="4320"/>
          </w:tcPr>
          <w:p>
            <w:pPr>
              <w:spacing w:before="60" w:after="60" w:line="360" w:lineRule="auto"/>
            </w:pPr>
            <w:r/>
            <w:r>
              <w:rPr>
                <w:rFonts w:ascii="Times New Roman" w:hAnsi="Times New Roman" w:cs="Times New Roman"/>
                <w:b w:val="0"/>
                <w:i w:val="0"/>
                <w:sz w:val="20"/>
                <w:u w:val="none"/>
              </w:rPr>
              <w:t>MySQL / SQLite</w:t>
            </w:r>
          </w:p>
        </w:tc>
      </w:tr>
      <w:tr>
        <w:tc>
          <w:tcPr>
            <w:tcW w:type="dxa" w:w="4320"/>
          </w:tcPr>
          <w:p>
            <w:pPr>
              <w:spacing w:before="60" w:after="60" w:line="360" w:lineRule="auto"/>
            </w:pPr>
            <w:r/>
            <w:r>
              <w:rPr>
                <w:rFonts w:ascii="Times New Roman" w:hAnsi="Times New Roman" w:cs="Times New Roman"/>
                <w:b w:val="0"/>
                <w:i w:val="0"/>
                <w:sz w:val="20"/>
                <w:u w:val="none"/>
              </w:rPr>
              <w:t>API/Auth Tokens</w:t>
            </w:r>
          </w:p>
        </w:tc>
        <w:tc>
          <w:tcPr>
            <w:tcW w:type="dxa" w:w="4320"/>
          </w:tcPr>
          <w:p>
            <w:pPr>
              <w:spacing w:before="60" w:after="60" w:line="360" w:lineRule="auto"/>
            </w:pPr>
            <w:r/>
            <w:r>
              <w:rPr>
                <w:rFonts w:ascii="Times New Roman" w:hAnsi="Times New Roman" w:cs="Times New Roman"/>
                <w:b w:val="0"/>
                <w:i w:val="0"/>
                <w:sz w:val="20"/>
                <w:u w:val="none"/>
              </w:rPr>
              <w:t>Laravel Sanctum</w:t>
            </w:r>
          </w:p>
        </w:tc>
      </w:tr>
    </w:tbl>
    <w:p>
      <w:pPr/>
      <w:r>
        <w:rPr>
          <w:rFonts w:ascii="Times New Roman" w:hAnsi="Times New Roman" w:cs="Times New Roman"/>
          <w:b w:val="0"/>
          <w:i w:val="0"/>
          <w:sz w:val="24"/>
          <w:u w:val="none"/>
        </w:rPr>
        <w:t>All components use permissive open-source licenses and are actively maintained, which reduces long-term maintenance risk and makes the project suitable for academic or non-commercial hospital deployment. Full technical documentation is available for each component: Laravel 10 [13], barryvdh/laravel-dompdf [14], Chart.js 4.4 [15], and Tailwind CSS v3 [16].</w:t>
      </w:r>
    </w:p>
    <w:p>
      <w:pPr>
        <w:pStyle w:val="Heading2"/>
      </w:pPr>
      <w:r>
        <w:rPr>
          <w:rFonts w:ascii="Times New Roman" w:hAnsi="Times New Roman" w:cs="Times New Roman"/>
          <w:b/>
          <w:i w:val="0"/>
          <w:sz w:val="32"/>
          <w:u w:val="none"/>
        </w:rPr>
        <w:t>4.3 Database Design</w:t>
      </w:r>
    </w:p>
    <w:p>
      <w:pPr/>
      <w:r>
        <w:rPr>
          <w:rFonts w:ascii="Times New Roman" w:hAnsi="Times New Roman" w:cs="Times New Roman"/>
          <w:b w:val="0"/>
          <w:i w:val="0"/>
          <w:sz w:val="24"/>
          <w:u w:val="none"/>
        </w:rPr>
        <w:t>The database was normalised to third normal form and is organised around two core tables, in addition to the standard user management tables provided by Laravel Breeze:</w:t>
      </w:r>
    </w:p>
    <w:p>
      <w:pPr/>
      <w:r>
        <w:rPr>
          <w:rFonts w:ascii="Times New Roman" w:hAnsi="Times New Roman" w:cs="Times New Roman"/>
          <w:b w:val="0"/>
          <w:i w:val="0"/>
          <w:sz w:val="24"/>
          <w:u w:val="none"/>
        </w:rPr>
        <w:t>Departments — stores each department's identity (name, type) along with six separate fields that make up its statutory AWT: working_days_per_year, public_holidays, annual_leave_days, sick_leave_days, training_days, and working_hours_per_day. A computed Eloquent attribute automatically derives the total AWT from these six fields whenever required.</w:t>
      </w:r>
    </w:p>
    <w:p>
      <w:pPr/>
      <w:r>
        <w:rPr>
          <w:rFonts w:ascii="Times New Roman" w:hAnsi="Times New Roman" w:cs="Times New Roman"/>
          <w:b w:val="0"/>
          <w:i w:val="0"/>
          <w:sz w:val="24"/>
          <w:u w:val="none"/>
        </w:rPr>
        <w:t>Workload Activities — stores each recorded task for a department: its name, its category (Health Service, Support, or Additional), its time standard (hours), and its annual volume count (for Health Service and Additional activities only).</w:t>
      </w:r>
    </w:p>
    <w:p>
      <w:pPr>
        <w:pStyle w:val="Heading2"/>
      </w:pPr>
      <w:r>
        <w:rPr>
          <w:rFonts w:ascii="Times New Roman" w:hAnsi="Times New Roman" w:cs="Times New Roman"/>
          <w:b/>
          <w:i w:val="0"/>
          <w:sz w:val="32"/>
          <w:u w:val="none"/>
        </w:rPr>
        <w:t>4.4 Available Working Time (AWT) Calculation</w:t>
      </w:r>
    </w:p>
    <w:p>
      <w:pPr/>
      <w:r>
        <w:rPr>
          <w:rFonts w:ascii="Times New Roman" w:hAnsi="Times New Roman" w:cs="Times New Roman"/>
          <w:b w:val="0"/>
          <w:i w:val="0"/>
          <w:sz w:val="24"/>
          <w:u w:val="none"/>
        </w:rPr>
        <w:t>Rather than storing AWT as a fixed number, the system calculates it automatically whenever it is needed, directly from the six statutory component fields on the departments table:</w:t>
      </w:r>
    </w:p>
    <w:p>
      <w:pPr/>
      <w:r>
        <w:rPr>
          <w:rFonts w:ascii="Times New Roman" w:hAnsi="Times New Roman" w:cs="Times New Roman"/>
          <w:b w:val="0"/>
          <w:i w:val="0"/>
          <w:sz w:val="24"/>
          <w:u w:val="none"/>
        </w:rPr>
        <w:t>AWT (hours/year) = (Working Days per Year − Public Holidays − Annual Leave Days − Sick Leave Days − Training Days) × Working Hours per Day</w:t>
      </w:r>
    </w:p>
    <w:p>
      <w:pPr/>
      <w:r>
        <w:rPr>
          <w:rFonts w:ascii="Times New Roman" w:hAnsi="Times New Roman" w:cs="Times New Roman"/>
          <w:b w:val="0"/>
          <w:i w:val="0"/>
          <w:sz w:val="24"/>
          <w:u w:val="none"/>
        </w:rPr>
        <w:t>For the Nepal-standard default configuration used throughout testing:</w:t>
      </w:r>
    </w:p>
    <w:p>
      <w:pPr/>
      <w:r>
        <w:rPr>
          <w:rFonts w:ascii="Times New Roman" w:hAnsi="Times New Roman" w:cs="Times New Roman"/>
          <w:b w:val="0"/>
          <w:i w:val="0"/>
          <w:sz w:val="24"/>
          <w:u w:val="none"/>
        </w:rPr>
        <w:t>AWT = (260 − 13 − 18 − 12 − 5) × 8 = 212 × 8 = 1,696 hours per nurse per year</w:t>
      </w:r>
    </w:p>
    <w:p>
      <w:pPr/>
      <w:r>
        <w:rPr>
          <w:rFonts w:ascii="Times New Roman" w:hAnsi="Times New Roman" w:cs="Times New Roman"/>
          <w:b w:val="0"/>
          <w:i w:val="0"/>
          <w:sz w:val="24"/>
          <w:u w:val="none"/>
        </w:rPr>
        <w:t>This figure aligns with the Nepal Labour Act 2074 framework and was cross-checked against the Nepal Health Facility Survey 2021 documentation.</w:t>
      </w:r>
    </w:p>
    <w:p>
      <w:pPr>
        <w:pStyle w:val="Heading2"/>
      </w:pPr>
      <w:r>
        <w:rPr>
          <w:rFonts w:ascii="Times New Roman" w:hAnsi="Times New Roman" w:cs="Times New Roman"/>
          <w:b/>
          <w:i w:val="0"/>
          <w:sz w:val="32"/>
          <w:u w:val="none"/>
        </w:rPr>
        <w:t>4.5 WISN Calculation Logic</w:t>
      </w:r>
    </w:p>
    <w:p>
      <w:pPr/>
      <w:r>
        <w:rPr>
          <w:rFonts w:ascii="Times New Roman" w:hAnsi="Times New Roman" w:cs="Times New Roman"/>
          <w:b w:val="0"/>
          <w:i w:val="0"/>
          <w:sz w:val="24"/>
          <w:u w:val="none"/>
        </w:rPr>
        <w:t>The core staffing calculation follows the WHO Workload Indicators of Staffing Need (WISN) methodology in four sequential steps:</w:t>
      </w:r>
    </w:p>
    <w:p>
      <w:pPr/>
      <w:r>
        <w:rPr>
          <w:rFonts w:ascii="Times New Roman" w:hAnsi="Times New Roman" w:cs="Times New Roman"/>
          <w:b w:val="0"/>
          <w:i w:val="0"/>
          <w:sz w:val="24"/>
          <w:u w:val="none"/>
        </w:rPr>
        <w:t>Step 1 — Health Service Staff Requirement: For every Health Service activity, a standard workload is first established, then divided into the recorded annual volume:</w:t>
      </w:r>
    </w:p>
    <w:p>
      <w:pPr>
        <w:pStyle w:val="ListBullet"/>
        <w:spacing w:after="120"/>
        <w:ind w:left="720"/>
      </w:pPr>
      <w:r>
        <w:rPr>
          <w:rFonts w:ascii="Times New Roman" w:hAnsi="Times New Roman" w:cs="Times New Roman"/>
          <w:b w:val="0"/>
          <w:i w:val="0"/>
          <w:sz w:val="24"/>
          <w:u w:val="none"/>
        </w:rPr>
        <w:t>Standard Workload = AWT ÷ Time Standard (hours per activity)</w:t>
      </w:r>
    </w:p>
    <w:p>
      <w:pPr>
        <w:pStyle w:val="ListBullet"/>
        <w:spacing w:after="120"/>
        <w:ind w:left="720"/>
      </w:pPr>
      <w:r>
        <w:rPr>
          <w:rFonts w:ascii="Times New Roman" w:hAnsi="Times New Roman" w:cs="Times New Roman"/>
          <w:b w:val="0"/>
          <w:i w:val="0"/>
          <w:sz w:val="24"/>
          <w:u w:val="none"/>
        </w:rPr>
        <w:t>Required FTE = Annual Volume ÷ Standard Workload</w:t>
      </w:r>
    </w:p>
    <w:p>
      <w:pPr/>
      <w:r>
        <w:rPr>
          <w:rFonts w:ascii="Times New Roman" w:hAnsi="Times New Roman" w:cs="Times New Roman"/>
          <w:b w:val="0"/>
          <w:i w:val="0"/>
          <w:sz w:val="24"/>
          <w:u w:val="none"/>
        </w:rPr>
        <w:t>Example (ICU — continuous monitoring): Standard Workload = 1,696 ÷ 0.33 = 5,139.39; Required FTE = 17,520 ÷ 5,139.39 = 3.41</w:t>
      </w:r>
    </w:p>
    <w:p>
      <w:pPr/>
      <w:r>
        <w:rPr>
          <w:rFonts w:ascii="Times New Roman" w:hAnsi="Times New Roman" w:cs="Times New Roman"/>
          <w:b w:val="0"/>
          <w:i w:val="0"/>
          <w:sz w:val="24"/>
          <w:u w:val="none"/>
        </w:rPr>
        <w:t>Step 2 — Support Time Allowance: Support activities (tasks such as handovers and ward rounds that are necessary but not patient-volume-driven) are expressed as a fraction of the working day and aggregated into a Category Allowance Factor (CAF):</w:t>
      </w:r>
    </w:p>
    <w:p>
      <w:pPr>
        <w:pStyle w:val="ListBullet"/>
        <w:spacing w:after="120"/>
        <w:ind w:left="720"/>
      </w:pPr>
      <w:r>
        <w:rPr>
          <w:rFonts w:ascii="Times New Roman" w:hAnsi="Times New Roman" w:cs="Times New Roman"/>
          <w:b w:val="0"/>
          <w:i w:val="0"/>
          <w:sz w:val="24"/>
          <w:u w:val="none"/>
        </w:rPr>
        <w:t>Support Fraction (per activity) = Time Standard (hours) ÷ Working Hours per Day</w:t>
      </w:r>
    </w:p>
    <w:p>
      <w:pPr>
        <w:pStyle w:val="ListBullet"/>
        <w:spacing w:after="120"/>
        <w:ind w:left="720"/>
      </w:pPr>
      <w:r>
        <w:rPr>
          <w:rFonts w:ascii="Times New Roman" w:hAnsi="Times New Roman" w:cs="Times New Roman"/>
          <w:b w:val="0"/>
          <w:i w:val="0"/>
          <w:sz w:val="24"/>
          <w:u w:val="none"/>
        </w:rPr>
        <w:t>CAF = 1 ÷ (1 − Σ Support Fractions)</w:t>
      </w:r>
    </w:p>
    <w:p>
      <w:pPr/>
      <w:r>
        <w:rPr>
          <w:rFonts w:ascii="Times New Roman" w:hAnsi="Times New Roman" w:cs="Times New Roman"/>
          <w:b w:val="0"/>
          <w:i w:val="0"/>
          <w:sz w:val="24"/>
          <w:u w:val="none"/>
        </w:rPr>
        <w:t>The working hours figure used here comes from each department's own settings rather than a fixed value, so departments with non-standard shift lengths are handled correctly.</w:t>
      </w:r>
    </w:p>
    <w:p>
      <w:pPr/>
      <w:r>
        <w:rPr>
          <w:rFonts w:ascii="Times New Roman" w:hAnsi="Times New Roman" w:cs="Times New Roman"/>
          <w:b w:val="0"/>
          <w:i w:val="0"/>
          <w:sz w:val="24"/>
          <w:u w:val="none"/>
        </w:rPr>
        <w:t>Step 3 — Additional Activity Allowance: Additional activities (occasional, non-routine tasks) are converted directly into FTE:</w:t>
      </w:r>
    </w:p>
    <w:p>
      <w:pPr>
        <w:pStyle w:val="ListBullet"/>
        <w:spacing w:after="120"/>
        <w:ind w:left="720"/>
      </w:pPr>
      <w:r>
        <w:rPr>
          <w:rFonts w:ascii="Times New Roman" w:hAnsi="Times New Roman" w:cs="Times New Roman"/>
          <w:b w:val="0"/>
          <w:i w:val="0"/>
          <w:sz w:val="24"/>
          <w:u w:val="none"/>
        </w:rPr>
        <w:t>AAF Hours = Annual Volume × Time Standard (hours)</w:t>
      </w:r>
    </w:p>
    <w:p>
      <w:pPr>
        <w:pStyle w:val="ListBullet"/>
        <w:spacing w:after="120"/>
        <w:ind w:left="720"/>
      </w:pPr>
      <w:r>
        <w:rPr>
          <w:rFonts w:ascii="Times New Roman" w:hAnsi="Times New Roman" w:cs="Times New Roman"/>
          <w:b w:val="0"/>
          <w:i w:val="0"/>
          <w:sz w:val="24"/>
          <w:u w:val="none"/>
        </w:rPr>
        <w:t>AAF FTE = AAF Hours ÷ AWT</w:t>
      </w:r>
    </w:p>
    <w:p>
      <w:pPr/>
      <w:r>
        <w:rPr>
          <w:rFonts w:ascii="Times New Roman" w:hAnsi="Times New Roman" w:cs="Times New Roman"/>
          <w:b w:val="0"/>
          <w:i w:val="0"/>
          <w:sz w:val="24"/>
          <w:u w:val="none"/>
        </w:rPr>
        <w:t>Step 4 — Final Staffing Requirement and Ratio:</w:t>
      </w:r>
    </w:p>
    <w:p>
      <w:pPr>
        <w:pStyle w:val="ListBullet"/>
        <w:spacing w:after="120"/>
        <w:ind w:left="720"/>
      </w:pPr>
      <w:r>
        <w:rPr>
          <w:rFonts w:ascii="Times New Roman" w:hAnsi="Times New Roman" w:cs="Times New Roman"/>
          <w:b w:val="0"/>
          <w:i w:val="0"/>
          <w:sz w:val="24"/>
          <w:u w:val="none"/>
        </w:rPr>
        <w:t>Total Required Staff = (Health Service FTE × CAF) + AAF FTE</w:t>
      </w:r>
    </w:p>
    <w:p>
      <w:pPr>
        <w:pStyle w:val="ListBullet"/>
        <w:spacing w:after="120"/>
        <w:ind w:left="720"/>
      </w:pPr>
      <w:r>
        <w:rPr>
          <w:rFonts w:ascii="Times New Roman" w:hAnsi="Times New Roman" w:cs="Times New Roman"/>
          <w:b w:val="0"/>
          <w:i w:val="0"/>
          <w:sz w:val="24"/>
          <w:u w:val="none"/>
        </w:rPr>
        <w:t>WISN Ratio = Current Staff ÷ Total Required Staff</w:t>
      </w:r>
    </w:p>
    <w:p>
      <w:pPr/>
      <w:r>
        <w:rPr>
          <w:rFonts w:ascii="Times New Roman" w:hAnsi="Times New Roman" w:cs="Times New Roman"/>
          <w:b w:val="0"/>
          <w:i w:val="0"/>
          <w:sz w:val="24"/>
          <w:u w:val="none"/>
        </w:rPr>
        <w:t>The resulting ratio is classified using WHO's standard thresholds: below 0.90 is Critical, below 1.00 is Borderline, exactly 1.00 is Adequate, and above 1.00 is Surplus.</w:t>
      </w:r>
    </w:p>
    <w:p>
      <w:pPr/>
      <w:r>
        <w:rPr>
          <w:rFonts w:ascii="Times New Roman" w:hAnsi="Times New Roman" w:cs="Times New Roman"/>
          <w:b w:val="0"/>
          <w:i w:val="0"/>
          <w:sz w:val="24"/>
          <w:u w:val="none"/>
        </w:rPr>
        <w:t>A safeguard was built into this step: if the combined support fractions reach or exceed 1.0, the CAF formula would otherwise produce a division-by-zero or negative value. In this edge case the system flags the department rather than applying an invalid CAF.</w:t>
      </w:r>
    </w:p>
    <w:p>
      <w:pPr>
        <w:pStyle w:val="Heading2"/>
      </w:pPr>
      <w:r>
        <w:rPr>
          <w:rFonts w:ascii="Times New Roman" w:hAnsi="Times New Roman" w:cs="Times New Roman"/>
          <w:b/>
          <w:i w:val="0"/>
          <w:sz w:val="32"/>
          <w:u w:val="none"/>
        </w:rPr>
        <w:t>4.6 Application Structure and Access Control</w:t>
      </w:r>
    </w:p>
    <w:p>
      <w:pPr/>
      <w:r>
        <w:rPr>
          <w:rFonts w:ascii="Times New Roman" w:hAnsi="Times New Roman" w:cs="Times New Roman"/>
          <w:b w:val="0"/>
          <w:i w:val="0"/>
          <w:sz w:val="24"/>
          <w:u w:val="none"/>
        </w:rPr>
        <w:t>The application follows a standard separation between data handling, business logic, and presentation. A dedicated calculation service (WisnCalculatorService) encapsulates all WISN mathematics, keeping the controllers thin and making the calculation logic independently testable.</w:t>
      </w:r>
    </w:p>
    <w:p>
      <w:pPr/>
      <w:r>
        <w:rPr>
          <w:rFonts w:ascii="Times New Roman" w:hAnsi="Times New Roman" w:cs="Times New Roman"/>
          <w:b w:val="0"/>
          <w:i w:val="0"/>
          <w:sz w:val="24"/>
          <w:u w:val="none"/>
        </w:rPr>
        <w:t>Every page in the system, including the dashboard, department management, activity management, and reporting, is only accessible to users who have both authenticated (logged in) and verified their email address. Unauthenticated users are redirected to the login page; authenticated but unverified users are redirected to the email verification prompt.</w:t>
      </w:r>
    </w:p>
    <w:p>
      <w:pPr/>
      <w:r>
        <w:rPr>
          <w:rFonts w:ascii="Times New Roman" w:hAnsi="Times New Roman" w:cs="Times New Roman"/>
          <w:b w:val="0"/>
          <w:i w:val="0"/>
          <w:sz w:val="24"/>
          <w:u w:val="none"/>
        </w:rPr>
        <w:t>Two form-level safeguards were added for data quality: departments cannot be saved if their leave and training days would push the AWT below zero, and support activities that together exceed a full working day trigger a CAF boundary warning rather than producing an invalid calculation.</w:t>
      </w:r>
    </w:p>
    <w:p>
      <w:pPr>
        <w:pStyle w:val="Heading2"/>
      </w:pPr>
      <w:r>
        <w:rPr>
          <w:rFonts w:ascii="Times New Roman" w:hAnsi="Times New Roman" w:cs="Times New Roman"/>
          <w:b/>
          <w:i w:val="0"/>
          <w:sz w:val="32"/>
          <w:u w:val="none"/>
        </w:rPr>
        <w:t>4.7 User Interface</w:t>
      </w:r>
    </w:p>
    <w:p>
      <w:pPr/>
      <w:r>
        <w:rPr>
          <w:rFonts w:ascii="Times New Roman" w:hAnsi="Times New Roman" w:cs="Times New Roman"/>
          <w:b w:val="0"/>
          <w:i w:val="0"/>
          <w:sz w:val="24"/>
          <w:u w:val="none"/>
        </w:rPr>
        <w:t>The interface was designed around a step-by-step workflow that mirrors the logical order of the WISN methodology, so that hospital administrators can follow the same sequence they would use in a manual WISN assessment.</w:t>
      </w:r>
    </w:p>
    <w:p>
      <w:pPr/>
      <w:r>
        <w:rPr>
          <w:rFonts w:ascii="Times New Roman" w:hAnsi="Times New Roman" w:cs="Times New Roman"/>
          <w:b w:val="0"/>
          <w:i w:val="0"/>
          <w:sz w:val="24"/>
          <w:u w:val="none"/>
        </w:rPr>
        <w:t>Key screens include:</w:t>
      </w:r>
    </w:p>
    <w:p>
      <w:pPr/>
      <w:r>
        <w:rPr>
          <w:rFonts w:ascii="Times New Roman" w:hAnsi="Times New Roman" w:cs="Times New Roman"/>
          <w:b w:val="0"/>
          <w:i w:val="0"/>
          <w:sz w:val="24"/>
          <w:u w:val="none"/>
        </w:rPr>
        <w:t>Dashboard — three summary cards (Total Current Staff, Total Required Staff, Facility WISN Ratio), a colour-coded bar chart comparing current versus required staff per department, and a WISN status pie chart.</w:t>
      </w:r>
    </w:p>
    <w:p>
      <w:pPr/>
      <w:r>
        <w:rPr>
          <w:rFonts w:ascii="Times New Roman" w:hAnsi="Times New Roman" w:cs="Times New Roman"/>
          <w:b w:val="0"/>
          <w:i w:val="0"/>
          <w:sz w:val="24"/>
          <w:u w:val="none"/>
        </w:rPr>
        <w:t>Department Forms — a two-part form covering basic department information and the six AWT fields, with a live preview that shows the calculated AWT as the user adjusts the leave fields.</w:t>
      </w:r>
    </w:p>
    <w:p>
      <w:pPr/>
      <w:r>
        <w:rPr>
          <w:rFonts w:ascii="Times New Roman" w:hAnsi="Times New Roman" w:cs="Times New Roman"/>
          <w:b w:val="0"/>
          <w:i w:val="0"/>
          <w:sz w:val="24"/>
          <w:u w:val="none"/>
        </w:rPr>
        <w:t>Activity Management — a four-step progress indicator that tracks whether Health Service and Support activities have been entered, whether the WISN ratio has been calculated, and whether the department is ready for reporting.</w:t>
      </w:r>
    </w:p>
    <w:p>
      <w:pPr/>
      <w:r>
        <w:rPr>
          <w:rFonts w:ascii="Times New Roman" w:hAnsi="Times New Roman" w:cs="Times New Roman"/>
          <w:b w:val="0"/>
          <w:i w:val="0"/>
          <w:sz w:val="24"/>
          <w:u w:val="none"/>
        </w:rPr>
        <w:t>PDF Report — a downloadable summary containing facility-level totals, a per-department results table, and a breakdown of the AWT calculation for each department.</w:t>
      </w:r>
    </w:p>
    <w:p>
      <w:pPr/>
      <w:r>
        <w:rPr>
          <w:rFonts w:ascii="Times New Roman" w:hAnsi="Times New Roman" w:cs="Times New Roman"/>
          <w:b w:val="0"/>
          <w:i w:val="0"/>
          <w:sz w:val="24"/>
          <w:u w:val="none"/>
        </w:rPr>
        <w:t>All ratio indicators use a consistent colour scheme (grey, red, yellow, green, blue) throughout the dashboard and PDF report.</w:t>
      </w:r>
    </w:p>
    <w:p>
      <w:pPr>
        <w:pStyle w:val="Heading2"/>
      </w:pPr>
      <w:r>
        <w:rPr>
          <w:rFonts w:ascii="Times New Roman" w:hAnsi="Times New Roman" w:cs="Times New Roman"/>
          <w:b/>
          <w:i w:val="0"/>
          <w:sz w:val="32"/>
          <w:u w:val="none"/>
        </w:rPr>
        <w:t>4.8 Demonstration Data</w:t>
      </w:r>
    </w:p>
    <w:p>
      <w:pPr/>
      <w:r>
        <w:rPr>
          <w:rFonts w:ascii="Times New Roman" w:hAnsi="Times New Roman" w:cs="Times New Roman"/>
          <w:b w:val="0"/>
          <w:i w:val="0"/>
          <w:sz w:val="24"/>
          <w:u w:val="none"/>
        </w:rPr>
        <w:t>To allow the system to be evaluated with realistic figures, it was pre-populated with four Nepalese hospital departments and twenty-eight workload activities derived from published sources.</w:t>
      </w:r>
    </w:p>
    <w:p>
      <w:pPr>
        <w:spacing w:before="80" w:after="240"/>
        <w:jc w:val="center"/>
      </w:pPr>
      <w:r>
        <w:rPr>
          <w:rFonts w:ascii="Times New Roman" w:hAnsi="Times New Roman" w:cs="Times New Roman"/>
          <w:b w:val="0"/>
          <w:i/>
          <w:sz w:val="24"/>
          <w:u w:val="none"/>
        </w:rPr>
        <w:t>Table 4.2: Demonstration Departments Summary</w:t>
      </w:r>
    </w:p>
    <w:tbl>
      <w:tblPr>
        <w:tblStyle w:val="TableGrid"/>
        <w:tblW w:type="auto" w:w="0"/>
        <w:jc w:val="center"/>
        <w:tblLook w:firstColumn="1" w:firstRow="1" w:lastColumn="0" w:lastRow="0" w:noHBand="0" w:noVBand="1" w:val="04A0"/>
      </w:tblPr>
      <w:tblGrid>
        <w:gridCol w:w="1656"/>
        <w:gridCol w:w="1656"/>
        <w:gridCol w:w="1656"/>
        <w:gridCol w:w="1656"/>
        <w:gridCol w:w="1656"/>
      </w:tblGrid>
      <w:tr>
        <w:tc>
          <w:tcPr>
            <w:tcW w:type="dxa" w:w="1728"/>
            <w:shd w:val="clear" w:color="auto" w:fill="D9D9D9"/>
          </w:tcPr>
          <w:p>
            <w:pPr>
              <w:spacing w:before="60" w:after="60" w:line="360" w:lineRule="auto"/>
            </w:pPr>
            <w:r/>
            <w:r>
              <w:rPr>
                <w:rFonts w:ascii="Times New Roman" w:hAnsi="Times New Roman" w:cs="Times New Roman"/>
                <w:b/>
                <w:i w:val="0"/>
                <w:sz w:val="20"/>
                <w:u w:val="none"/>
              </w:rPr>
              <w:t>Department</w:t>
            </w:r>
          </w:p>
        </w:tc>
        <w:tc>
          <w:tcPr>
            <w:tcW w:type="dxa" w:w="1728"/>
            <w:shd w:val="clear" w:color="auto" w:fill="D9D9D9"/>
          </w:tcPr>
          <w:p>
            <w:pPr>
              <w:spacing w:before="60" w:after="60" w:line="360" w:lineRule="auto"/>
            </w:pPr>
            <w:r/>
            <w:r>
              <w:rPr>
                <w:rFonts w:ascii="Times New Roman" w:hAnsi="Times New Roman" w:cs="Times New Roman"/>
                <w:b/>
                <w:i w:val="0"/>
                <w:sz w:val="20"/>
                <w:u w:val="none"/>
              </w:rPr>
              <w:t>Type</w:t>
            </w:r>
          </w:p>
        </w:tc>
        <w:tc>
          <w:tcPr>
            <w:tcW w:type="dxa" w:w="1728"/>
            <w:shd w:val="clear" w:color="auto" w:fill="D9D9D9"/>
          </w:tcPr>
          <w:p>
            <w:pPr>
              <w:spacing w:before="60" w:after="60" w:line="360" w:lineRule="auto"/>
            </w:pPr>
            <w:r/>
            <w:r>
              <w:rPr>
                <w:rFonts w:ascii="Times New Roman" w:hAnsi="Times New Roman" w:cs="Times New Roman"/>
                <w:b/>
                <w:i w:val="0"/>
                <w:sz w:val="20"/>
                <w:u w:val="none"/>
              </w:rPr>
              <w:t>Current Staff</w:t>
            </w:r>
          </w:p>
        </w:tc>
        <w:tc>
          <w:tcPr>
            <w:tcW w:type="dxa" w:w="1728"/>
            <w:shd w:val="clear" w:color="auto" w:fill="D9D9D9"/>
          </w:tcPr>
          <w:p>
            <w:pPr>
              <w:spacing w:before="60" w:after="60" w:line="360" w:lineRule="auto"/>
            </w:pPr>
            <w:r/>
            <w:r>
              <w:rPr>
                <w:rFonts w:ascii="Times New Roman" w:hAnsi="Times New Roman" w:cs="Times New Roman"/>
                <w:b/>
                <w:i w:val="0"/>
                <w:sz w:val="20"/>
                <w:u w:val="none"/>
              </w:rPr>
              <w:t>Health Service Activities</w:t>
            </w:r>
          </w:p>
        </w:tc>
        <w:tc>
          <w:tcPr>
            <w:tcW w:type="dxa" w:w="1728"/>
            <w:shd w:val="clear" w:color="auto" w:fill="D9D9D9"/>
          </w:tcPr>
          <w:p>
            <w:pPr>
              <w:spacing w:before="60" w:after="60" w:line="360" w:lineRule="auto"/>
            </w:pPr>
            <w:r/>
            <w:r>
              <w:rPr>
                <w:rFonts w:ascii="Times New Roman" w:hAnsi="Times New Roman" w:cs="Times New Roman"/>
                <w:b/>
                <w:i w:val="0"/>
                <w:sz w:val="20"/>
                <w:u w:val="none"/>
              </w:rPr>
              <w:t>Support Activities</w:t>
            </w:r>
          </w:p>
        </w:tc>
      </w:tr>
      <w:tr>
        <w:tc>
          <w:tcPr>
            <w:tcW w:type="dxa" w:w="1728"/>
          </w:tcPr>
          <w:p>
            <w:pPr>
              <w:spacing w:before="60" w:after="60" w:line="360" w:lineRule="auto"/>
            </w:pPr>
            <w:r/>
            <w:r>
              <w:rPr>
                <w:rFonts w:ascii="Times New Roman" w:hAnsi="Times New Roman" w:cs="Times New Roman"/>
                <w:b w:val="0"/>
                <w:i w:val="0"/>
                <w:sz w:val="20"/>
                <w:u w:val="none"/>
              </w:rPr>
              <w:t>Intensive Care Unit (ICU)</w:t>
            </w:r>
          </w:p>
        </w:tc>
        <w:tc>
          <w:tcPr>
            <w:tcW w:type="dxa" w:w="1728"/>
          </w:tcPr>
          <w:p>
            <w:pPr>
              <w:spacing w:before="60" w:after="60" w:line="360" w:lineRule="auto"/>
            </w:pPr>
            <w:r/>
            <w:r>
              <w:rPr>
                <w:rFonts w:ascii="Times New Roman" w:hAnsi="Times New Roman" w:cs="Times New Roman"/>
                <w:b w:val="0"/>
                <w:i w:val="0"/>
                <w:sz w:val="20"/>
                <w:u w:val="none"/>
              </w:rPr>
              <w:t>Inpatient – High Acuity</w:t>
            </w:r>
          </w:p>
        </w:tc>
        <w:tc>
          <w:tcPr>
            <w:tcW w:type="dxa" w:w="1728"/>
          </w:tcPr>
          <w:p>
            <w:pPr>
              <w:spacing w:before="60" w:after="60" w:line="360" w:lineRule="auto"/>
            </w:pPr>
            <w:r/>
            <w:r>
              <w:rPr>
                <w:rFonts w:ascii="Times New Roman" w:hAnsi="Times New Roman" w:cs="Times New Roman"/>
                <w:b w:val="0"/>
                <w:i w:val="0"/>
                <w:sz w:val="20"/>
                <w:u w:val="none"/>
              </w:rPr>
              <w:t>6</w:t>
            </w:r>
          </w:p>
        </w:tc>
        <w:tc>
          <w:tcPr>
            <w:tcW w:type="dxa" w:w="1728"/>
          </w:tcPr>
          <w:p>
            <w:pPr>
              <w:spacing w:before="60" w:after="60" w:line="360" w:lineRule="auto"/>
            </w:pPr>
            <w:r/>
            <w:r>
              <w:rPr>
                <w:rFonts w:ascii="Times New Roman" w:hAnsi="Times New Roman" w:cs="Times New Roman"/>
                <w:b w:val="0"/>
                <w:i w:val="0"/>
                <w:sz w:val="20"/>
                <w:u w:val="none"/>
              </w:rPr>
              <w:t>5</w:t>
            </w:r>
          </w:p>
        </w:tc>
        <w:tc>
          <w:tcPr>
            <w:tcW w:type="dxa" w:w="1728"/>
          </w:tcPr>
          <w:p>
            <w:pPr>
              <w:spacing w:before="60" w:after="60" w:line="360" w:lineRule="auto"/>
            </w:pPr>
            <w:r/>
            <w:r>
              <w:rPr>
                <w:rFonts w:ascii="Times New Roman" w:hAnsi="Times New Roman" w:cs="Times New Roman"/>
                <w:b w:val="0"/>
                <w:i w:val="0"/>
                <w:sz w:val="20"/>
                <w:u w:val="none"/>
              </w:rPr>
              <w:t>2</w:t>
            </w:r>
          </w:p>
        </w:tc>
      </w:tr>
      <w:tr>
        <w:tc>
          <w:tcPr>
            <w:tcW w:type="dxa" w:w="1728"/>
          </w:tcPr>
          <w:p>
            <w:pPr>
              <w:spacing w:before="60" w:after="60" w:line="360" w:lineRule="auto"/>
            </w:pPr>
            <w:r/>
            <w:r>
              <w:rPr>
                <w:rFonts w:ascii="Times New Roman" w:hAnsi="Times New Roman" w:cs="Times New Roman"/>
                <w:b w:val="0"/>
                <w:i w:val="0"/>
                <w:sz w:val="20"/>
                <w:u w:val="none"/>
              </w:rPr>
              <w:t>Emergency Department</w:t>
            </w:r>
          </w:p>
        </w:tc>
        <w:tc>
          <w:tcPr>
            <w:tcW w:type="dxa" w:w="1728"/>
          </w:tcPr>
          <w:p>
            <w:pPr>
              <w:spacing w:before="60" w:after="60" w:line="360" w:lineRule="auto"/>
            </w:pPr>
            <w:r/>
            <w:r>
              <w:rPr>
                <w:rFonts w:ascii="Times New Roman" w:hAnsi="Times New Roman" w:cs="Times New Roman"/>
                <w:b w:val="0"/>
                <w:i w:val="0"/>
                <w:sz w:val="20"/>
                <w:u w:val="none"/>
              </w:rPr>
              <w:t>Emergency</w:t>
            </w:r>
          </w:p>
        </w:tc>
        <w:tc>
          <w:tcPr>
            <w:tcW w:type="dxa" w:w="1728"/>
          </w:tcPr>
          <w:p>
            <w:pPr>
              <w:spacing w:before="60" w:after="60" w:line="360" w:lineRule="auto"/>
            </w:pPr>
            <w:r/>
            <w:r>
              <w:rPr>
                <w:rFonts w:ascii="Times New Roman" w:hAnsi="Times New Roman" w:cs="Times New Roman"/>
                <w:b w:val="0"/>
                <w:i w:val="0"/>
                <w:sz w:val="20"/>
                <w:u w:val="none"/>
              </w:rPr>
              <w:t>7</w:t>
            </w:r>
          </w:p>
        </w:tc>
        <w:tc>
          <w:tcPr>
            <w:tcW w:type="dxa" w:w="1728"/>
          </w:tcPr>
          <w:p>
            <w:pPr>
              <w:spacing w:before="60" w:after="60" w:line="360" w:lineRule="auto"/>
            </w:pPr>
            <w:r/>
            <w:r>
              <w:rPr>
                <w:rFonts w:ascii="Times New Roman" w:hAnsi="Times New Roman" w:cs="Times New Roman"/>
                <w:b w:val="0"/>
                <w:i w:val="0"/>
                <w:sz w:val="20"/>
                <w:u w:val="none"/>
              </w:rPr>
              <w:t>5</w:t>
            </w:r>
          </w:p>
        </w:tc>
        <w:tc>
          <w:tcPr>
            <w:tcW w:type="dxa" w:w="1728"/>
          </w:tcPr>
          <w:p>
            <w:pPr>
              <w:spacing w:before="60" w:after="60" w:line="360" w:lineRule="auto"/>
            </w:pPr>
            <w:r/>
            <w:r>
              <w:rPr>
                <w:rFonts w:ascii="Times New Roman" w:hAnsi="Times New Roman" w:cs="Times New Roman"/>
                <w:b w:val="0"/>
                <w:i w:val="0"/>
                <w:sz w:val="20"/>
                <w:u w:val="none"/>
              </w:rPr>
              <w:t>2</w:t>
            </w:r>
          </w:p>
        </w:tc>
      </w:tr>
      <w:tr>
        <w:tc>
          <w:tcPr>
            <w:tcW w:type="dxa" w:w="1728"/>
          </w:tcPr>
          <w:p>
            <w:pPr>
              <w:spacing w:before="60" w:after="60" w:line="360" w:lineRule="auto"/>
            </w:pPr>
            <w:r/>
            <w:r>
              <w:rPr>
                <w:rFonts w:ascii="Times New Roman" w:hAnsi="Times New Roman" w:cs="Times New Roman"/>
                <w:b w:val="0"/>
                <w:i w:val="0"/>
                <w:sz w:val="20"/>
                <w:u w:val="none"/>
              </w:rPr>
              <w:t>General Medical Ward</w:t>
            </w:r>
          </w:p>
        </w:tc>
        <w:tc>
          <w:tcPr>
            <w:tcW w:type="dxa" w:w="1728"/>
          </w:tcPr>
          <w:p>
            <w:pPr>
              <w:spacing w:before="60" w:after="60" w:line="360" w:lineRule="auto"/>
            </w:pPr>
            <w:r/>
            <w:r>
              <w:rPr>
                <w:rFonts w:ascii="Times New Roman" w:hAnsi="Times New Roman" w:cs="Times New Roman"/>
                <w:b w:val="0"/>
                <w:i w:val="0"/>
                <w:sz w:val="20"/>
                <w:u w:val="none"/>
              </w:rPr>
              <w:t>Inpatient – Standard</w:t>
            </w:r>
          </w:p>
        </w:tc>
        <w:tc>
          <w:tcPr>
            <w:tcW w:type="dxa" w:w="1728"/>
          </w:tcPr>
          <w:p>
            <w:pPr>
              <w:spacing w:before="60" w:after="60" w:line="360" w:lineRule="auto"/>
            </w:pPr>
            <w:r/>
            <w:r>
              <w:rPr>
                <w:rFonts w:ascii="Times New Roman" w:hAnsi="Times New Roman" w:cs="Times New Roman"/>
                <w:b w:val="0"/>
                <w:i w:val="0"/>
                <w:sz w:val="20"/>
                <w:u w:val="none"/>
              </w:rPr>
              <w:t>11</w:t>
            </w:r>
          </w:p>
        </w:tc>
        <w:tc>
          <w:tcPr>
            <w:tcW w:type="dxa" w:w="1728"/>
          </w:tcPr>
          <w:p>
            <w:pPr>
              <w:spacing w:before="60" w:after="60" w:line="360" w:lineRule="auto"/>
            </w:pPr>
            <w:r/>
            <w:r>
              <w:rPr>
                <w:rFonts w:ascii="Times New Roman" w:hAnsi="Times New Roman" w:cs="Times New Roman"/>
                <w:b w:val="0"/>
                <w:i w:val="0"/>
                <w:sz w:val="20"/>
                <w:u w:val="none"/>
              </w:rPr>
              <w:t>5</w:t>
            </w:r>
          </w:p>
        </w:tc>
        <w:tc>
          <w:tcPr>
            <w:tcW w:type="dxa" w:w="1728"/>
          </w:tcPr>
          <w:p>
            <w:pPr>
              <w:spacing w:before="60" w:after="60" w:line="360" w:lineRule="auto"/>
            </w:pPr>
            <w:r/>
            <w:r>
              <w:rPr>
                <w:rFonts w:ascii="Times New Roman" w:hAnsi="Times New Roman" w:cs="Times New Roman"/>
                <w:b w:val="0"/>
                <w:i w:val="0"/>
                <w:sz w:val="20"/>
                <w:u w:val="none"/>
              </w:rPr>
              <w:t>2</w:t>
            </w:r>
          </w:p>
        </w:tc>
      </w:tr>
      <w:tr>
        <w:tc>
          <w:tcPr>
            <w:tcW w:type="dxa" w:w="1728"/>
          </w:tcPr>
          <w:p>
            <w:pPr>
              <w:spacing w:before="60" w:after="60" w:line="360" w:lineRule="auto"/>
            </w:pPr>
            <w:r/>
            <w:r>
              <w:rPr>
                <w:rFonts w:ascii="Times New Roman" w:hAnsi="Times New Roman" w:cs="Times New Roman"/>
                <w:b w:val="0"/>
                <w:i w:val="0"/>
                <w:sz w:val="20"/>
                <w:u w:val="none"/>
              </w:rPr>
              <w:t>Surgical Ward</w:t>
            </w:r>
          </w:p>
        </w:tc>
        <w:tc>
          <w:tcPr>
            <w:tcW w:type="dxa" w:w="1728"/>
          </w:tcPr>
          <w:p>
            <w:pPr>
              <w:spacing w:before="60" w:after="60" w:line="360" w:lineRule="auto"/>
            </w:pPr>
            <w:r/>
            <w:r>
              <w:rPr>
                <w:rFonts w:ascii="Times New Roman" w:hAnsi="Times New Roman" w:cs="Times New Roman"/>
                <w:b w:val="0"/>
                <w:i w:val="0"/>
                <w:sz w:val="20"/>
                <w:u w:val="none"/>
              </w:rPr>
              <w:t>Surgical/OT</w:t>
            </w:r>
          </w:p>
        </w:tc>
        <w:tc>
          <w:tcPr>
            <w:tcW w:type="dxa" w:w="1728"/>
          </w:tcPr>
          <w:p>
            <w:pPr>
              <w:spacing w:before="60" w:after="60" w:line="360" w:lineRule="auto"/>
            </w:pPr>
            <w:r/>
            <w:r>
              <w:rPr>
                <w:rFonts w:ascii="Times New Roman" w:hAnsi="Times New Roman" w:cs="Times New Roman"/>
                <w:b w:val="0"/>
                <w:i w:val="0"/>
                <w:sz w:val="20"/>
                <w:u w:val="none"/>
              </w:rPr>
              <w:t>10</w:t>
            </w:r>
          </w:p>
        </w:tc>
        <w:tc>
          <w:tcPr>
            <w:tcW w:type="dxa" w:w="1728"/>
          </w:tcPr>
          <w:p>
            <w:pPr>
              <w:spacing w:before="60" w:after="60" w:line="360" w:lineRule="auto"/>
            </w:pPr>
            <w:r/>
            <w:r>
              <w:rPr>
                <w:rFonts w:ascii="Times New Roman" w:hAnsi="Times New Roman" w:cs="Times New Roman"/>
                <w:b w:val="0"/>
                <w:i w:val="0"/>
                <w:sz w:val="20"/>
                <w:u w:val="none"/>
              </w:rPr>
              <w:t>5</w:t>
            </w:r>
          </w:p>
        </w:tc>
        <w:tc>
          <w:tcPr>
            <w:tcW w:type="dxa" w:w="1728"/>
          </w:tcPr>
          <w:p>
            <w:pPr>
              <w:spacing w:before="60" w:after="60" w:line="360" w:lineRule="auto"/>
            </w:pPr>
            <w:r/>
            <w:r>
              <w:rPr>
                <w:rFonts w:ascii="Times New Roman" w:hAnsi="Times New Roman" w:cs="Times New Roman"/>
                <w:b w:val="0"/>
                <w:i w:val="0"/>
                <w:sz w:val="20"/>
                <w:u w:val="none"/>
              </w:rPr>
              <w:t>2</w:t>
            </w:r>
          </w:p>
        </w:tc>
      </w:tr>
    </w:tbl>
    <w:p>
      <w:pPr/>
      <w:r>
        <w:rPr>
          <w:rFonts w:ascii="Times New Roman" w:hAnsi="Times New Roman" w:cs="Times New Roman"/>
          <w:b w:val="0"/>
          <w:i w:val="0"/>
          <w:sz w:val="24"/>
          <w:u w:val="none"/>
        </w:rPr>
        <w:t>Sample ICU activity data:</w:t>
      </w:r>
    </w:p>
    <w:p>
      <w:pPr>
        <w:spacing w:before="80" w:after="240"/>
        <w:jc w:val="center"/>
      </w:pPr>
      <w:r>
        <w:rPr>
          <w:rFonts w:ascii="Times New Roman" w:hAnsi="Times New Roman" w:cs="Times New Roman"/>
          <w:b w:val="0"/>
          <w:i/>
          <w:sz w:val="24"/>
          <w:u w:val="none"/>
        </w:rPr>
        <w:t>Table 4.3: Sample ICU Activity Data</w:t>
      </w:r>
    </w:p>
    <w:tbl>
      <w:tblPr>
        <w:tblStyle w:val="TableGrid"/>
        <w:tblW w:type="auto" w:w="0"/>
        <w:jc w:val="center"/>
        <w:tblLook w:firstColumn="1" w:firstRow="1" w:lastColumn="0" w:lastRow="0" w:noHBand="0" w:noVBand="1" w:val="04A0"/>
      </w:tblPr>
      <w:tblGrid>
        <w:gridCol w:w="2070"/>
        <w:gridCol w:w="2070"/>
        <w:gridCol w:w="2070"/>
        <w:gridCol w:w="2070"/>
      </w:tblGrid>
      <w:tr>
        <w:tc>
          <w:tcPr>
            <w:tcW w:type="dxa" w:w="2160"/>
            <w:shd w:val="clear" w:color="auto" w:fill="D9D9D9"/>
          </w:tcPr>
          <w:p>
            <w:pPr>
              <w:spacing w:before="60" w:after="60" w:line="360" w:lineRule="auto"/>
            </w:pPr>
            <w:r/>
            <w:r>
              <w:rPr>
                <w:rFonts w:ascii="Times New Roman" w:hAnsi="Times New Roman" w:cs="Times New Roman"/>
                <w:b/>
                <w:i w:val="0"/>
                <w:sz w:val="20"/>
                <w:u w:val="none"/>
              </w:rPr>
              <w:t>Activity</w:t>
            </w:r>
          </w:p>
        </w:tc>
        <w:tc>
          <w:tcPr>
            <w:tcW w:type="dxa" w:w="2160"/>
            <w:shd w:val="clear" w:color="auto" w:fill="D9D9D9"/>
          </w:tcPr>
          <w:p>
            <w:pPr>
              <w:spacing w:before="60" w:after="60" w:line="360" w:lineRule="auto"/>
            </w:pPr>
            <w:r/>
            <w:r>
              <w:rPr>
                <w:rFonts w:ascii="Times New Roman" w:hAnsi="Times New Roman" w:cs="Times New Roman"/>
                <w:b/>
                <w:i w:val="0"/>
                <w:sz w:val="20"/>
                <w:u w:val="none"/>
              </w:rPr>
              <w:t>Type</w:t>
            </w:r>
          </w:p>
        </w:tc>
        <w:tc>
          <w:tcPr>
            <w:tcW w:type="dxa" w:w="2160"/>
            <w:shd w:val="clear" w:color="auto" w:fill="D9D9D9"/>
          </w:tcPr>
          <w:p>
            <w:pPr>
              <w:spacing w:before="60" w:after="60" w:line="360" w:lineRule="auto"/>
            </w:pPr>
            <w:r/>
            <w:r>
              <w:rPr>
                <w:rFonts w:ascii="Times New Roman" w:hAnsi="Times New Roman" w:cs="Times New Roman"/>
                <w:b/>
                <w:i w:val="0"/>
                <w:sz w:val="20"/>
                <w:u w:val="none"/>
              </w:rPr>
              <w:t>Time Standard (hrs)</w:t>
            </w:r>
          </w:p>
        </w:tc>
        <w:tc>
          <w:tcPr>
            <w:tcW w:type="dxa" w:w="2160"/>
            <w:shd w:val="clear" w:color="auto" w:fill="D9D9D9"/>
          </w:tcPr>
          <w:p>
            <w:pPr>
              <w:spacing w:before="60" w:after="60" w:line="360" w:lineRule="auto"/>
            </w:pPr>
            <w:r/>
            <w:r>
              <w:rPr>
                <w:rFonts w:ascii="Times New Roman" w:hAnsi="Times New Roman" w:cs="Times New Roman"/>
                <w:b/>
                <w:i w:val="0"/>
                <w:sz w:val="20"/>
                <w:u w:val="none"/>
              </w:rPr>
              <w:t>Annual Volume</w:t>
            </w:r>
          </w:p>
        </w:tc>
      </w:tr>
      <w:tr>
        <w:tc>
          <w:tcPr>
            <w:tcW w:type="dxa" w:w="2160"/>
          </w:tcPr>
          <w:p>
            <w:pPr>
              <w:spacing w:before="60" w:after="60" w:line="360" w:lineRule="auto"/>
            </w:pPr>
            <w:r/>
            <w:r>
              <w:rPr>
                <w:rFonts w:ascii="Times New Roman" w:hAnsi="Times New Roman" w:cs="Times New Roman"/>
                <w:b w:val="0"/>
                <w:i w:val="0"/>
                <w:sz w:val="20"/>
                <w:u w:val="none"/>
              </w:rPr>
              <w:t>Continuous patient monitoring &amp; assessment</w:t>
            </w:r>
          </w:p>
        </w:tc>
        <w:tc>
          <w:tcPr>
            <w:tcW w:type="dxa" w:w="2160"/>
          </w:tcPr>
          <w:p>
            <w:pPr>
              <w:spacing w:before="60" w:after="60" w:line="360" w:lineRule="auto"/>
            </w:pPr>
            <w:r/>
            <w:r>
              <w:rPr>
                <w:rFonts w:ascii="Times New Roman" w:hAnsi="Times New Roman" w:cs="Times New Roman"/>
                <w:b w:val="0"/>
                <w:i w:val="0"/>
                <w:sz w:val="20"/>
                <w:u w:val="none"/>
              </w:rPr>
              <w:t>Health Service</w:t>
            </w:r>
          </w:p>
        </w:tc>
        <w:tc>
          <w:tcPr>
            <w:tcW w:type="dxa" w:w="2160"/>
          </w:tcPr>
          <w:p>
            <w:pPr>
              <w:spacing w:before="60" w:after="60" w:line="360" w:lineRule="auto"/>
            </w:pPr>
            <w:r/>
            <w:r>
              <w:rPr>
                <w:rFonts w:ascii="Times New Roman" w:hAnsi="Times New Roman" w:cs="Times New Roman"/>
                <w:b w:val="0"/>
                <w:i w:val="0"/>
                <w:sz w:val="20"/>
                <w:u w:val="none"/>
              </w:rPr>
              <w:t>0.33</w:t>
            </w:r>
          </w:p>
        </w:tc>
        <w:tc>
          <w:tcPr>
            <w:tcW w:type="dxa" w:w="2160"/>
          </w:tcPr>
          <w:p>
            <w:pPr>
              <w:spacing w:before="60" w:after="60" w:line="360" w:lineRule="auto"/>
            </w:pPr>
            <w:r/>
            <w:r>
              <w:rPr>
                <w:rFonts w:ascii="Times New Roman" w:hAnsi="Times New Roman" w:cs="Times New Roman"/>
                <w:b w:val="0"/>
                <w:i w:val="0"/>
                <w:sz w:val="20"/>
                <w:u w:val="none"/>
              </w:rPr>
              <w:t>17,520</w:t>
            </w:r>
          </w:p>
        </w:tc>
      </w:tr>
      <w:tr>
        <w:tc>
          <w:tcPr>
            <w:tcW w:type="dxa" w:w="2160"/>
          </w:tcPr>
          <w:p>
            <w:pPr>
              <w:spacing w:before="60" w:after="60" w:line="360" w:lineRule="auto"/>
            </w:pPr>
            <w:r/>
            <w:r>
              <w:rPr>
                <w:rFonts w:ascii="Times New Roman" w:hAnsi="Times New Roman" w:cs="Times New Roman"/>
                <w:b w:val="0"/>
                <w:i w:val="0"/>
                <w:sz w:val="20"/>
                <w:u w:val="none"/>
              </w:rPr>
              <w:t>Medication administration</w:t>
            </w:r>
          </w:p>
        </w:tc>
        <w:tc>
          <w:tcPr>
            <w:tcW w:type="dxa" w:w="2160"/>
          </w:tcPr>
          <w:p>
            <w:pPr>
              <w:spacing w:before="60" w:after="60" w:line="360" w:lineRule="auto"/>
            </w:pPr>
            <w:r/>
            <w:r>
              <w:rPr>
                <w:rFonts w:ascii="Times New Roman" w:hAnsi="Times New Roman" w:cs="Times New Roman"/>
                <w:b w:val="0"/>
                <w:i w:val="0"/>
                <w:sz w:val="20"/>
                <w:u w:val="none"/>
              </w:rPr>
              <w:t>Health Service</w:t>
            </w:r>
          </w:p>
        </w:tc>
        <w:tc>
          <w:tcPr>
            <w:tcW w:type="dxa" w:w="2160"/>
          </w:tcPr>
          <w:p>
            <w:pPr>
              <w:spacing w:before="60" w:after="60" w:line="360" w:lineRule="auto"/>
            </w:pPr>
            <w:r/>
            <w:r>
              <w:rPr>
                <w:rFonts w:ascii="Times New Roman" w:hAnsi="Times New Roman" w:cs="Times New Roman"/>
                <w:b w:val="0"/>
                <w:i w:val="0"/>
                <w:sz w:val="20"/>
                <w:u w:val="none"/>
              </w:rPr>
              <w:t>0.25</w:t>
            </w:r>
          </w:p>
        </w:tc>
        <w:tc>
          <w:tcPr>
            <w:tcW w:type="dxa" w:w="2160"/>
          </w:tcPr>
          <w:p>
            <w:pPr>
              <w:spacing w:before="60" w:after="60" w:line="360" w:lineRule="auto"/>
            </w:pPr>
            <w:r/>
            <w:r>
              <w:rPr>
                <w:rFonts w:ascii="Times New Roman" w:hAnsi="Times New Roman" w:cs="Times New Roman"/>
                <w:b w:val="0"/>
                <w:i w:val="0"/>
                <w:sz w:val="20"/>
                <w:u w:val="none"/>
              </w:rPr>
              <w:t>8,760</w:t>
            </w:r>
          </w:p>
        </w:tc>
      </w:tr>
      <w:tr>
        <w:tc>
          <w:tcPr>
            <w:tcW w:type="dxa" w:w="2160"/>
          </w:tcPr>
          <w:p>
            <w:pPr>
              <w:spacing w:before="60" w:after="60" w:line="360" w:lineRule="auto"/>
            </w:pPr>
            <w:r/>
            <w:r>
              <w:rPr>
                <w:rFonts w:ascii="Times New Roman" w:hAnsi="Times New Roman" w:cs="Times New Roman"/>
                <w:b w:val="0"/>
                <w:i w:val="0"/>
                <w:sz w:val="20"/>
                <w:u w:val="none"/>
              </w:rPr>
              <w:t>IV-line care &amp; maintenance</w:t>
            </w:r>
          </w:p>
        </w:tc>
        <w:tc>
          <w:tcPr>
            <w:tcW w:type="dxa" w:w="2160"/>
          </w:tcPr>
          <w:p>
            <w:pPr>
              <w:spacing w:before="60" w:after="60" w:line="360" w:lineRule="auto"/>
            </w:pPr>
            <w:r/>
            <w:r>
              <w:rPr>
                <w:rFonts w:ascii="Times New Roman" w:hAnsi="Times New Roman" w:cs="Times New Roman"/>
                <w:b w:val="0"/>
                <w:i w:val="0"/>
                <w:sz w:val="20"/>
                <w:u w:val="none"/>
              </w:rPr>
              <w:t>Health Service</w:t>
            </w:r>
          </w:p>
        </w:tc>
        <w:tc>
          <w:tcPr>
            <w:tcW w:type="dxa" w:w="2160"/>
          </w:tcPr>
          <w:p>
            <w:pPr>
              <w:spacing w:before="60" w:after="60" w:line="360" w:lineRule="auto"/>
            </w:pPr>
            <w:r/>
            <w:r>
              <w:rPr>
                <w:rFonts w:ascii="Times New Roman" w:hAnsi="Times New Roman" w:cs="Times New Roman"/>
                <w:b w:val="0"/>
                <w:i w:val="0"/>
                <w:sz w:val="20"/>
                <w:u w:val="none"/>
              </w:rPr>
              <w:t>0.25</w:t>
            </w:r>
          </w:p>
        </w:tc>
        <w:tc>
          <w:tcPr>
            <w:tcW w:type="dxa" w:w="2160"/>
          </w:tcPr>
          <w:p>
            <w:pPr>
              <w:spacing w:before="60" w:after="60" w:line="360" w:lineRule="auto"/>
            </w:pPr>
            <w:r/>
            <w:r>
              <w:rPr>
                <w:rFonts w:ascii="Times New Roman" w:hAnsi="Times New Roman" w:cs="Times New Roman"/>
                <w:b w:val="0"/>
                <w:i w:val="0"/>
                <w:sz w:val="20"/>
                <w:u w:val="none"/>
              </w:rPr>
              <w:t>5,840</w:t>
            </w:r>
          </w:p>
        </w:tc>
      </w:tr>
      <w:tr>
        <w:tc>
          <w:tcPr>
            <w:tcW w:type="dxa" w:w="2160"/>
          </w:tcPr>
          <w:p>
            <w:pPr>
              <w:spacing w:before="60" w:after="60" w:line="360" w:lineRule="auto"/>
            </w:pPr>
            <w:r/>
            <w:r>
              <w:rPr>
                <w:rFonts w:ascii="Times New Roman" w:hAnsi="Times New Roman" w:cs="Times New Roman"/>
                <w:b w:val="0"/>
                <w:i w:val="0"/>
                <w:sz w:val="20"/>
                <w:u w:val="none"/>
              </w:rPr>
              <w:t>Ventilator &amp; equipment management</w:t>
            </w:r>
          </w:p>
        </w:tc>
        <w:tc>
          <w:tcPr>
            <w:tcW w:type="dxa" w:w="2160"/>
          </w:tcPr>
          <w:p>
            <w:pPr>
              <w:spacing w:before="60" w:after="60" w:line="360" w:lineRule="auto"/>
            </w:pPr>
            <w:r/>
            <w:r>
              <w:rPr>
                <w:rFonts w:ascii="Times New Roman" w:hAnsi="Times New Roman" w:cs="Times New Roman"/>
                <w:b w:val="0"/>
                <w:i w:val="0"/>
                <w:sz w:val="20"/>
                <w:u w:val="none"/>
              </w:rPr>
              <w:t>Health Service</w:t>
            </w:r>
          </w:p>
        </w:tc>
        <w:tc>
          <w:tcPr>
            <w:tcW w:type="dxa" w:w="2160"/>
          </w:tcPr>
          <w:p>
            <w:pPr>
              <w:spacing w:before="60" w:after="60" w:line="360" w:lineRule="auto"/>
            </w:pPr>
            <w:r/>
            <w:r>
              <w:rPr>
                <w:rFonts w:ascii="Times New Roman" w:hAnsi="Times New Roman" w:cs="Times New Roman"/>
                <w:b w:val="0"/>
                <w:i w:val="0"/>
                <w:sz w:val="20"/>
                <w:u w:val="none"/>
              </w:rPr>
              <w:t>0.50</w:t>
            </w:r>
          </w:p>
        </w:tc>
        <w:tc>
          <w:tcPr>
            <w:tcW w:type="dxa" w:w="2160"/>
          </w:tcPr>
          <w:p>
            <w:pPr>
              <w:spacing w:before="60" w:after="60" w:line="360" w:lineRule="auto"/>
            </w:pPr>
            <w:r/>
            <w:r>
              <w:rPr>
                <w:rFonts w:ascii="Times New Roman" w:hAnsi="Times New Roman" w:cs="Times New Roman"/>
                <w:b w:val="0"/>
                <w:i w:val="0"/>
                <w:sz w:val="20"/>
                <w:u w:val="none"/>
              </w:rPr>
              <w:t>2,920</w:t>
            </w:r>
          </w:p>
        </w:tc>
      </w:tr>
      <w:tr>
        <w:tc>
          <w:tcPr>
            <w:tcW w:type="dxa" w:w="2160"/>
          </w:tcPr>
          <w:p>
            <w:pPr>
              <w:spacing w:before="60" w:after="60" w:line="360" w:lineRule="auto"/>
            </w:pPr>
            <w:r/>
            <w:r>
              <w:rPr>
                <w:rFonts w:ascii="Times New Roman" w:hAnsi="Times New Roman" w:cs="Times New Roman"/>
                <w:b w:val="0"/>
                <w:i w:val="0"/>
                <w:sz w:val="20"/>
                <w:u w:val="none"/>
              </w:rPr>
              <w:t>Family communication &amp; counselling</w:t>
            </w:r>
          </w:p>
        </w:tc>
        <w:tc>
          <w:tcPr>
            <w:tcW w:type="dxa" w:w="2160"/>
          </w:tcPr>
          <w:p>
            <w:pPr>
              <w:spacing w:before="60" w:after="60" w:line="360" w:lineRule="auto"/>
            </w:pPr>
            <w:r/>
            <w:r>
              <w:rPr>
                <w:rFonts w:ascii="Times New Roman" w:hAnsi="Times New Roman" w:cs="Times New Roman"/>
                <w:b w:val="0"/>
                <w:i w:val="0"/>
                <w:sz w:val="20"/>
                <w:u w:val="none"/>
              </w:rPr>
              <w:t>Health Service</w:t>
            </w:r>
          </w:p>
        </w:tc>
        <w:tc>
          <w:tcPr>
            <w:tcW w:type="dxa" w:w="2160"/>
          </w:tcPr>
          <w:p>
            <w:pPr>
              <w:spacing w:before="60" w:after="60" w:line="360" w:lineRule="auto"/>
            </w:pPr>
            <w:r/>
            <w:r>
              <w:rPr>
                <w:rFonts w:ascii="Times New Roman" w:hAnsi="Times New Roman" w:cs="Times New Roman"/>
                <w:b w:val="0"/>
                <w:i w:val="0"/>
                <w:sz w:val="20"/>
                <w:u w:val="none"/>
              </w:rPr>
              <w:t>0.25</w:t>
            </w:r>
          </w:p>
        </w:tc>
        <w:tc>
          <w:tcPr>
            <w:tcW w:type="dxa" w:w="2160"/>
          </w:tcPr>
          <w:p>
            <w:pPr>
              <w:spacing w:before="60" w:after="60" w:line="360" w:lineRule="auto"/>
            </w:pPr>
            <w:r/>
            <w:r>
              <w:rPr>
                <w:rFonts w:ascii="Times New Roman" w:hAnsi="Times New Roman" w:cs="Times New Roman"/>
                <w:b w:val="0"/>
                <w:i w:val="0"/>
                <w:sz w:val="20"/>
                <w:u w:val="none"/>
              </w:rPr>
              <w:t>2,920</w:t>
            </w:r>
          </w:p>
        </w:tc>
      </w:tr>
      <w:tr>
        <w:tc>
          <w:tcPr>
            <w:tcW w:type="dxa" w:w="2160"/>
          </w:tcPr>
          <w:p>
            <w:pPr>
              <w:spacing w:before="60" w:after="60" w:line="360" w:lineRule="auto"/>
            </w:pPr>
            <w:r/>
            <w:r>
              <w:rPr>
                <w:rFonts w:ascii="Times New Roman" w:hAnsi="Times New Roman" w:cs="Times New Roman"/>
                <w:b w:val="0"/>
                <w:i w:val="0"/>
                <w:sz w:val="20"/>
                <w:u w:val="none"/>
              </w:rPr>
              <w:t>Shift handover &amp; briefing</w:t>
            </w:r>
          </w:p>
        </w:tc>
        <w:tc>
          <w:tcPr>
            <w:tcW w:type="dxa" w:w="2160"/>
          </w:tcPr>
          <w:p>
            <w:pPr>
              <w:spacing w:before="60" w:after="60" w:line="360" w:lineRule="auto"/>
            </w:pPr>
            <w:r/>
            <w:r>
              <w:rPr>
                <w:rFonts w:ascii="Times New Roman" w:hAnsi="Times New Roman" w:cs="Times New Roman"/>
                <w:b w:val="0"/>
                <w:i w:val="0"/>
                <w:sz w:val="20"/>
                <w:u w:val="none"/>
              </w:rPr>
              <w:t>Support</w:t>
            </w:r>
          </w:p>
        </w:tc>
        <w:tc>
          <w:tcPr>
            <w:tcW w:type="dxa" w:w="2160"/>
          </w:tcPr>
          <w:p>
            <w:pPr>
              <w:spacing w:before="60" w:after="60" w:line="360" w:lineRule="auto"/>
            </w:pPr>
            <w:r/>
            <w:r>
              <w:rPr>
                <w:rFonts w:ascii="Times New Roman" w:hAnsi="Times New Roman" w:cs="Times New Roman"/>
                <w:b w:val="0"/>
                <w:i w:val="0"/>
                <w:sz w:val="20"/>
                <w:u w:val="none"/>
              </w:rPr>
              <w:t>0.50</w:t>
            </w:r>
          </w:p>
        </w:tc>
        <w:tc>
          <w:tcPr>
            <w:tcW w:type="dxa" w:w="2160"/>
          </w:tcPr>
          <w:p>
            <w:pPr>
              <w:spacing w:before="60" w:after="60" w:line="360" w:lineRule="auto"/>
            </w:pPr>
            <w:r/>
            <w:r>
              <w:rPr>
                <w:rFonts w:ascii="Times New Roman" w:hAnsi="Times New Roman" w:cs="Times New Roman"/>
                <w:b w:val="0"/>
                <w:i w:val="0"/>
                <w:sz w:val="20"/>
                <w:u w:val="none"/>
              </w:rPr>
              <w:t>—</w:t>
            </w:r>
          </w:p>
        </w:tc>
      </w:tr>
      <w:tr>
        <w:tc>
          <w:tcPr>
            <w:tcW w:type="dxa" w:w="2160"/>
          </w:tcPr>
          <w:p>
            <w:pPr>
              <w:spacing w:before="60" w:after="60" w:line="360" w:lineRule="auto"/>
            </w:pPr>
            <w:r/>
            <w:r>
              <w:rPr>
                <w:rFonts w:ascii="Times New Roman" w:hAnsi="Times New Roman" w:cs="Times New Roman"/>
                <w:b w:val="0"/>
                <w:i w:val="0"/>
                <w:sz w:val="20"/>
                <w:u w:val="none"/>
              </w:rPr>
              <w:t>Multidisciplinary ward rounds</w:t>
            </w:r>
          </w:p>
        </w:tc>
        <w:tc>
          <w:tcPr>
            <w:tcW w:type="dxa" w:w="2160"/>
          </w:tcPr>
          <w:p>
            <w:pPr>
              <w:spacing w:before="60" w:after="60" w:line="360" w:lineRule="auto"/>
            </w:pPr>
            <w:r/>
            <w:r>
              <w:rPr>
                <w:rFonts w:ascii="Times New Roman" w:hAnsi="Times New Roman" w:cs="Times New Roman"/>
                <w:b w:val="0"/>
                <w:i w:val="0"/>
                <w:sz w:val="20"/>
                <w:u w:val="none"/>
              </w:rPr>
              <w:t>Support</w:t>
            </w:r>
          </w:p>
        </w:tc>
        <w:tc>
          <w:tcPr>
            <w:tcW w:type="dxa" w:w="2160"/>
          </w:tcPr>
          <w:p>
            <w:pPr>
              <w:spacing w:before="60" w:after="60" w:line="360" w:lineRule="auto"/>
            </w:pPr>
            <w:r/>
            <w:r>
              <w:rPr>
                <w:rFonts w:ascii="Times New Roman" w:hAnsi="Times New Roman" w:cs="Times New Roman"/>
                <w:b w:val="0"/>
                <w:i w:val="0"/>
                <w:sz w:val="20"/>
                <w:u w:val="none"/>
              </w:rPr>
              <w:t>1.00</w:t>
            </w:r>
          </w:p>
        </w:tc>
        <w:tc>
          <w:tcPr>
            <w:tcW w:type="dxa" w:w="2160"/>
          </w:tcPr>
          <w:p>
            <w:pPr>
              <w:spacing w:before="60" w:after="60" w:line="360" w:lineRule="auto"/>
            </w:pPr>
            <w:r/>
            <w:r>
              <w:rPr>
                <w:rFonts w:ascii="Times New Roman" w:hAnsi="Times New Roman" w:cs="Times New Roman"/>
                <w:b w:val="0"/>
                <w:i w:val="0"/>
                <w:sz w:val="20"/>
                <w:u w:val="none"/>
              </w:rPr>
              <w:t>—</w:t>
            </w:r>
          </w:p>
        </w:tc>
      </w:tr>
    </w:tbl>
    <w:p>
      <w:pPr/>
      <w:r>
        <w:rPr>
          <w:rFonts w:ascii="Times New Roman" w:hAnsi="Times New Roman" w:cs="Times New Roman"/>
          <w:b w:val="0"/>
          <w:i w:val="0"/>
          <w:sz w:val="24"/>
          <w:u w:val="none"/>
        </w:rPr>
        <w:t>Because this demonstration dataset is designed to reset and repopulate the database on each run, it is intended strictly for development and evaluation purposes and must not be used in a live production environment with real patient data.</w:t>
      </w:r>
    </w:p>
    <w:p>
      <w:pPr>
        <w:pStyle w:val="Heading2"/>
      </w:pPr>
      <w:r>
        <w:rPr>
          <w:rFonts w:ascii="Times New Roman" w:hAnsi="Times New Roman" w:cs="Times New Roman"/>
          <w:b/>
          <w:i w:val="0"/>
          <w:sz w:val="32"/>
          <w:u w:val="none"/>
        </w:rPr>
        <w:t>4.9 Challenges Faced and How They Were Addressed</w:t>
      </w:r>
    </w:p>
    <w:p>
      <w:pPr>
        <w:pStyle w:val="ListBullet"/>
        <w:spacing w:after="120"/>
        <w:ind w:left="720"/>
      </w:pPr>
      <w:r>
        <w:rPr>
          <w:rFonts w:ascii="Times New Roman" w:hAnsi="Times New Roman" w:cs="Times New Roman"/>
          <w:b w:val="0"/>
          <w:i w:val="0"/>
          <w:sz w:val="24"/>
          <w:u w:val="none"/>
        </w:rPr>
        <w:t>Keeping AWT consistent: Deriving AWT automatically from its six components, rather than storing it separately, removed the risk of stale values after an edit. This was implemented as an Eloquent computed attribute that recalculates on every access.</w:t>
      </w:r>
    </w:p>
    <w:p>
      <w:pPr>
        <w:pStyle w:val="ListBullet"/>
        <w:spacing w:after="120"/>
        <w:ind w:left="720"/>
      </w:pPr>
      <w:r>
        <w:rPr>
          <w:rFonts w:ascii="Times New Roman" w:hAnsi="Times New Roman" w:cs="Times New Roman"/>
          <w:b w:val="0"/>
          <w:i w:val="0"/>
          <w:sz w:val="24"/>
          <w:u w:val="none"/>
        </w:rPr>
        <w:t>Validating leave allowances against working days: A cross-check was added to ensure the sum of holidays, leave, sick days, and training days never exceeds the total working days per year, preventing an AWT of zero or below.</w:t>
      </w:r>
    </w:p>
    <w:p>
      <w:pPr>
        <w:pStyle w:val="ListBullet"/>
        <w:spacing w:after="120"/>
        <w:ind w:left="720"/>
      </w:pPr>
      <w:r>
        <w:rPr>
          <w:rFonts w:ascii="Times New Roman" w:hAnsi="Times New Roman" w:cs="Times New Roman"/>
          <w:b w:val="0"/>
          <w:i w:val="0"/>
          <w:sz w:val="24"/>
          <w:u w:val="none"/>
        </w:rPr>
        <w:t>CAF edge case: When total support time reaches or exceeds a full working day's equivalent, the standard CAF formula breaks down. A guard clause was added to detect this condition and flag the department rather than producing an invalid result.</w:t>
      </w:r>
    </w:p>
    <w:p>
      <w:pPr>
        <w:pStyle w:val="ListBullet"/>
        <w:spacing w:after="120"/>
        <w:ind w:left="720"/>
      </w:pPr>
      <w:r>
        <w:rPr>
          <w:rFonts w:ascii="Times New Roman" w:hAnsi="Times New Roman" w:cs="Times New Roman"/>
          <w:b w:val="0"/>
          <w:i w:val="0"/>
          <w:sz w:val="24"/>
          <w:u w:val="none"/>
        </w:rPr>
        <w:t>Report styling constraints: The PDF generation library used does not support the same styling approach as the rest of the application. The PDF view was written with fully inline CSS, avoiding any external stylesheets.</w:t>
      </w:r>
    </w:p>
    <w:p>
      <w:pPr>
        <w:pStyle w:val="ListBullet"/>
        <w:spacing w:after="120"/>
        <w:ind w:left="720"/>
      </w:pPr>
      <w:r>
        <w:rPr>
          <w:rFonts w:ascii="Times New Roman" w:hAnsi="Times New Roman" w:cs="Times New Roman"/>
          <w:b w:val="0"/>
          <w:i w:val="0"/>
          <w:sz w:val="24"/>
          <w:u w:val="none"/>
        </w:rPr>
        <w:t>Justifying the baseline figures: The default AWT and staffing assumptions used for testing were not chosen arbitrarily; each was traced to a specific legislative or survey source and documented in the project's methodology section.</w:t>
      </w:r>
    </w:p>
    <w:p>
      <w:pPr>
        <w:pStyle w:val="Heading2"/>
      </w:pPr>
      <w:r>
        <w:rPr>
          <w:rFonts w:ascii="Times New Roman" w:hAnsi="Times New Roman" w:cs="Times New Roman"/>
          <w:b/>
          <w:i w:val="0"/>
          <w:sz w:val="32"/>
          <w:u w:val="none"/>
        </w:rPr>
        <w:t>4.10 Outputs Achieved</w:t>
      </w:r>
    </w:p>
    <w:p>
      <w:pPr/>
      <w:r>
        <w:rPr>
          <w:rFonts w:ascii="Times New Roman" w:hAnsi="Times New Roman" w:cs="Times New Roman"/>
          <w:b w:val="0"/>
          <w:i w:val="0"/>
          <w:sz w:val="24"/>
          <w:u w:val="none"/>
        </w:rPr>
        <w:t>User-facing features:</w:t>
      </w:r>
    </w:p>
    <w:p>
      <w:pPr>
        <w:pStyle w:val="ListBullet"/>
        <w:spacing w:after="120"/>
        <w:ind w:left="720"/>
      </w:pPr>
      <w:r>
        <w:rPr>
          <w:rFonts w:ascii="Times New Roman" w:hAnsi="Times New Roman" w:cs="Times New Roman"/>
          <w:b w:val="0"/>
          <w:i w:val="0"/>
          <w:sz w:val="24"/>
          <w:u w:val="none"/>
        </w:rPr>
        <w:t>Registration with email verification, and secure login.</w:t>
      </w:r>
    </w:p>
    <w:p>
      <w:pPr>
        <w:pStyle w:val="ListBullet"/>
        <w:spacing w:after="120"/>
        <w:ind w:left="720"/>
      </w:pPr>
      <w:r>
        <w:rPr>
          <w:rFonts w:ascii="Times New Roman" w:hAnsi="Times New Roman" w:cs="Times New Roman"/>
          <w:b w:val="0"/>
          <w:i w:val="0"/>
          <w:sz w:val="24"/>
          <w:u w:val="none"/>
        </w:rPr>
        <w:t>A facility-wide dashboard showing overall staffing ratio, department status, and comparison charts.</w:t>
      </w:r>
    </w:p>
    <w:p>
      <w:pPr>
        <w:pStyle w:val="ListBullet"/>
        <w:spacing w:after="120"/>
        <w:ind w:left="720"/>
      </w:pPr>
      <w:r>
        <w:rPr>
          <w:rFonts w:ascii="Times New Roman" w:hAnsi="Times New Roman" w:cs="Times New Roman"/>
          <w:b w:val="0"/>
          <w:i w:val="0"/>
          <w:sz w:val="24"/>
          <w:u w:val="none"/>
        </w:rPr>
        <w:t>Department management with a live AWT preview.</w:t>
      </w:r>
    </w:p>
    <w:p>
      <w:pPr>
        <w:pStyle w:val="ListBullet"/>
        <w:spacing w:after="120"/>
        <w:ind w:left="720"/>
      </w:pPr>
      <w:r>
        <w:rPr>
          <w:rFonts w:ascii="Times New Roman" w:hAnsi="Times New Roman" w:cs="Times New Roman"/>
          <w:b w:val="0"/>
          <w:i w:val="0"/>
          <w:sz w:val="24"/>
          <w:u w:val="none"/>
        </w:rPr>
        <w:t>Activity management with a guided, step-by-step progress indicator.</w:t>
      </w:r>
    </w:p>
    <w:p>
      <w:pPr>
        <w:pStyle w:val="ListBullet"/>
        <w:spacing w:after="120"/>
        <w:ind w:left="720"/>
      </w:pPr>
      <w:r>
        <w:rPr>
          <w:rFonts w:ascii="Times New Roman" w:hAnsi="Times New Roman" w:cs="Times New Roman"/>
          <w:b w:val="0"/>
          <w:i w:val="0"/>
          <w:sz w:val="24"/>
          <w:u w:val="none"/>
        </w:rPr>
        <w:t>Downloadable PDF staffing report.</w:t>
      </w:r>
    </w:p>
    <w:p>
      <w:pPr>
        <w:pStyle w:val="ListBullet"/>
        <w:spacing w:after="120"/>
        <w:ind w:left="720"/>
      </w:pPr>
      <w:r>
        <w:rPr>
          <w:rFonts w:ascii="Times New Roman" w:hAnsi="Times New Roman" w:cs="Times New Roman"/>
          <w:b w:val="0"/>
          <w:i w:val="0"/>
          <w:sz w:val="24"/>
          <w:u w:val="none"/>
        </w:rPr>
        <w:t>A static reference page explaining the WISN methodology.</w:t>
      </w:r>
    </w:p>
    <w:p>
      <w:pPr>
        <w:pStyle w:val="ListBullet"/>
        <w:spacing w:after="120"/>
        <w:ind w:left="720"/>
      </w:pPr>
      <w:r>
        <w:rPr>
          <w:rFonts w:ascii="Times New Roman" w:hAnsi="Times New Roman" w:cs="Times New Roman"/>
          <w:b w:val="0"/>
          <w:i w:val="0"/>
          <w:sz w:val="24"/>
          <w:u w:val="none"/>
        </w:rPr>
        <w:t>Basic profile management (updating account details, changing password, account deletion).</w:t>
      </w:r>
    </w:p>
    <w:p>
      <w:pPr/>
      <w:r>
        <w:rPr>
          <w:rFonts w:ascii="Times New Roman" w:hAnsi="Times New Roman" w:cs="Times New Roman"/>
          <w:b w:val="0"/>
          <w:i w:val="0"/>
          <w:sz w:val="24"/>
          <w:u w:val="none"/>
        </w:rPr>
        <w:t>Calculation engine outcomes:</w:t>
      </w:r>
    </w:p>
    <w:p>
      <w:pPr>
        <w:pStyle w:val="ListBullet"/>
        <w:spacing w:after="120"/>
        <w:ind w:left="720"/>
      </w:pPr>
      <w:r>
        <w:rPr>
          <w:rFonts w:ascii="Times New Roman" w:hAnsi="Times New Roman" w:cs="Times New Roman"/>
          <w:b w:val="0"/>
          <w:i w:val="0"/>
          <w:sz w:val="24"/>
          <w:u w:val="none"/>
        </w:rPr>
        <w:t>Real-time WISN ratio calculation across all three activity categories.</w:t>
      </w:r>
    </w:p>
    <w:p>
      <w:pPr>
        <w:pStyle w:val="ListBullet"/>
        <w:spacing w:after="120"/>
        <w:ind w:left="720"/>
      </w:pPr>
      <w:r>
        <w:rPr>
          <w:rFonts w:ascii="Times New Roman" w:hAnsi="Times New Roman" w:cs="Times New Roman"/>
          <w:b w:val="0"/>
          <w:i w:val="0"/>
          <w:sz w:val="24"/>
          <w:u w:val="none"/>
        </w:rPr>
        <w:t>Automatic status classification (Critical / Borderline / Adequate / Surplus).</w:t>
      </w:r>
    </w:p>
    <w:p>
      <w:pPr>
        <w:pStyle w:val="ListBullet"/>
        <w:spacing w:after="120"/>
        <w:ind w:left="720"/>
      </w:pPr>
      <w:r>
        <w:rPr>
          <w:rFonts w:ascii="Times New Roman" w:hAnsi="Times New Roman" w:cs="Times New Roman"/>
          <w:b w:val="0"/>
          <w:i w:val="0"/>
          <w:sz w:val="24"/>
          <w:u w:val="none"/>
        </w:rPr>
        <w:t>Facility-wide aggregate ratio combining all departments.</w:t>
      </w:r>
    </w:p>
    <w:p>
      <w:pPr>
        <w:pStyle w:val="ListBullet"/>
        <w:spacing w:after="120"/>
        <w:ind w:left="720"/>
      </w:pPr>
      <w:r>
        <w:rPr>
          <w:rFonts w:ascii="Times New Roman" w:hAnsi="Times New Roman" w:cs="Times New Roman"/>
          <w:b w:val="0"/>
          <w:i w:val="0"/>
          <w:sz w:val="24"/>
          <w:u w:val="none"/>
        </w:rPr>
        <w:t>A detailed, per-activity breakdown of staffing contribution, available on both the dashboard and the PDF report.</w:t>
      </w:r>
    </w:p>
    <w:p>
      <w:pPr>
        <w:pStyle w:val="Heading1"/>
        <w:pageBreakBefore/>
        <w:spacing w:before="480" w:after="240"/>
      </w:pPr>
      <w:r>
        <w:rPr>
          <w:rFonts w:ascii="Times New Roman" w:hAnsi="Times New Roman" w:cs="Times New Roman"/>
          <w:b/>
          <w:i w:val="0"/>
          <w:sz w:val="36"/>
          <w:u w:val="none"/>
        </w:rPr>
        <w:t>Chapter 5: Analysis and Evaluation</w:t>
      </w:r>
    </w:p>
    <w:p>
      <w:pPr>
        <w:pStyle w:val="Heading2"/>
      </w:pPr>
      <w:r>
        <w:rPr>
          <w:rFonts w:ascii="Times New Roman" w:hAnsi="Times New Roman" w:cs="Times New Roman"/>
          <w:b/>
          <w:i w:val="0"/>
          <w:sz w:val="32"/>
          <w:u w:val="none"/>
        </w:rPr>
        <w:t>5.1 Data Analysis</w:t>
      </w:r>
    </w:p>
    <w:p>
      <w:pPr/>
      <w:r>
        <w:rPr>
          <w:rFonts w:ascii="Times New Roman" w:hAnsi="Times New Roman" w:cs="Times New Roman"/>
          <w:b w:val="0"/>
          <w:i w:val="0"/>
          <w:sz w:val="24"/>
          <w:u w:val="none"/>
        </w:rPr>
        <w:t>The system was evaluated using the four seeded departments and their twenty-eight associated workload activities described in Chapter 4. The analysis covers three dimensions: the correctness of the AWT calculation against statutory baselines, the accuracy of WISN staffing calculations against manually verified figures, and a high-level comparison against NHFS national staffing norms.</w:t>
      </w:r>
    </w:p>
    <w:p>
      <w:pPr/>
      <w:r>
        <w:rPr>
          <w:rFonts w:ascii="Times New Roman" w:hAnsi="Times New Roman" w:cs="Times New Roman"/>
          <w:b w:val="0"/>
          <w:i w:val="0"/>
          <w:sz w:val="24"/>
          <w:u w:val="none"/>
        </w:rPr>
        <w:t>Available Working Time (AWT) — All Departments, Nepal Standard</w:t>
      </w:r>
    </w:p>
    <w:p>
      <w:pPr/>
      <w:r>
        <w:rPr>
          <w:rFonts w:ascii="Times New Roman" w:hAnsi="Times New Roman" w:cs="Times New Roman"/>
          <w:b w:val="0"/>
          <w:i w:val="0"/>
          <w:sz w:val="24"/>
          <w:u w:val="none"/>
        </w:rPr>
        <w:t>All departments use the default AWT configuration based on the Nepal Labour Act 2074:</w:t>
      </w:r>
    </w:p>
    <w:p>
      <w:pPr>
        <w:spacing w:before="80" w:after="240"/>
        <w:jc w:val="center"/>
      </w:pPr>
      <w:r>
        <w:rPr>
          <w:rFonts w:ascii="Times New Roman" w:hAnsi="Times New Roman" w:cs="Times New Roman"/>
          <w:b w:val="0"/>
          <w:i/>
          <w:sz w:val="24"/>
          <w:u w:val="none"/>
        </w:rPr>
        <w:t>Table 5.1: Available Working Time (AWT) Breakdown – Nepal Standard</w:t>
      </w:r>
    </w:p>
    <w:tbl>
      <w:tblPr>
        <w:tblStyle w:val="TableGrid"/>
        <w:tblW w:type="auto" w:w="0"/>
        <w:jc w:val="center"/>
        <w:tblLook w:firstColumn="1" w:firstRow="1" w:lastColumn="0" w:lastRow="0" w:noHBand="0" w:noVBand="1" w:val="04A0"/>
      </w:tblPr>
      <w:tblGrid>
        <w:gridCol w:w="4140"/>
        <w:gridCol w:w="4140"/>
      </w:tblGrid>
      <w:tr>
        <w:tc>
          <w:tcPr>
            <w:tcW w:type="dxa" w:w="4320"/>
            <w:shd w:val="clear" w:color="auto" w:fill="D9D9D9"/>
          </w:tcPr>
          <w:p>
            <w:pPr>
              <w:spacing w:before="60" w:after="60" w:line="360" w:lineRule="auto"/>
            </w:pPr>
            <w:r/>
            <w:r>
              <w:rPr>
                <w:rFonts w:ascii="Times New Roman" w:hAnsi="Times New Roman" w:cs="Times New Roman"/>
                <w:b/>
                <w:i w:val="0"/>
                <w:sz w:val="20"/>
                <w:u w:val="none"/>
              </w:rPr>
              <w:t>Component</w:t>
            </w:r>
          </w:p>
        </w:tc>
        <w:tc>
          <w:tcPr>
            <w:tcW w:type="dxa" w:w="4320"/>
            <w:shd w:val="clear" w:color="auto" w:fill="D9D9D9"/>
          </w:tcPr>
          <w:p>
            <w:pPr>
              <w:spacing w:before="60" w:after="60" w:line="360" w:lineRule="auto"/>
            </w:pPr>
            <w:r/>
            <w:r>
              <w:rPr>
                <w:rFonts w:ascii="Times New Roman" w:hAnsi="Times New Roman" w:cs="Times New Roman"/>
                <w:b/>
                <w:i w:val="0"/>
                <w:sz w:val="20"/>
                <w:u w:val="none"/>
              </w:rPr>
              <w:t>Value</w:t>
            </w:r>
          </w:p>
        </w:tc>
      </w:tr>
      <w:tr>
        <w:tc>
          <w:tcPr>
            <w:tcW w:type="dxa" w:w="4320"/>
          </w:tcPr>
          <w:p>
            <w:pPr>
              <w:spacing w:before="60" w:after="60" w:line="360" w:lineRule="auto"/>
            </w:pPr>
            <w:r/>
            <w:r>
              <w:rPr>
                <w:rFonts w:ascii="Times New Roman" w:hAnsi="Times New Roman" w:cs="Times New Roman"/>
                <w:b w:val="0"/>
                <w:i w:val="0"/>
                <w:sz w:val="20"/>
                <w:u w:val="none"/>
              </w:rPr>
              <w:t>Working days per year</w:t>
            </w:r>
          </w:p>
        </w:tc>
        <w:tc>
          <w:tcPr>
            <w:tcW w:type="dxa" w:w="4320"/>
          </w:tcPr>
          <w:p>
            <w:pPr>
              <w:spacing w:before="60" w:after="60" w:line="360" w:lineRule="auto"/>
            </w:pPr>
            <w:r/>
            <w:r>
              <w:rPr>
                <w:rFonts w:ascii="Times New Roman" w:hAnsi="Times New Roman" w:cs="Times New Roman"/>
                <w:b w:val="0"/>
                <w:i w:val="0"/>
                <w:sz w:val="20"/>
                <w:u w:val="none"/>
              </w:rPr>
              <w:t>260</w:t>
            </w:r>
          </w:p>
        </w:tc>
      </w:tr>
      <w:tr>
        <w:tc>
          <w:tcPr>
            <w:tcW w:type="dxa" w:w="4320"/>
          </w:tcPr>
          <w:p>
            <w:pPr>
              <w:spacing w:before="60" w:after="60" w:line="360" w:lineRule="auto"/>
            </w:pPr>
            <w:r/>
            <w:r>
              <w:rPr>
                <w:rFonts w:ascii="Times New Roman" w:hAnsi="Times New Roman" w:cs="Times New Roman"/>
                <w:b w:val="0"/>
                <w:i w:val="0"/>
                <w:sz w:val="20"/>
                <w:u w:val="none"/>
              </w:rPr>
              <w:t>Public holidays</w:t>
            </w:r>
          </w:p>
        </w:tc>
        <w:tc>
          <w:tcPr>
            <w:tcW w:type="dxa" w:w="4320"/>
          </w:tcPr>
          <w:p>
            <w:pPr>
              <w:spacing w:before="60" w:after="60" w:line="360" w:lineRule="auto"/>
            </w:pPr>
            <w:r/>
            <w:r>
              <w:rPr>
                <w:rFonts w:ascii="Times New Roman" w:hAnsi="Times New Roman" w:cs="Times New Roman"/>
                <w:b w:val="0"/>
                <w:i w:val="0"/>
                <w:sz w:val="20"/>
                <w:u w:val="none"/>
              </w:rPr>
              <w:t>− 13</w:t>
            </w:r>
          </w:p>
        </w:tc>
      </w:tr>
      <w:tr>
        <w:tc>
          <w:tcPr>
            <w:tcW w:type="dxa" w:w="4320"/>
          </w:tcPr>
          <w:p>
            <w:pPr>
              <w:spacing w:before="60" w:after="60" w:line="360" w:lineRule="auto"/>
            </w:pPr>
            <w:r/>
            <w:r>
              <w:rPr>
                <w:rFonts w:ascii="Times New Roman" w:hAnsi="Times New Roman" w:cs="Times New Roman"/>
                <w:b w:val="0"/>
                <w:i w:val="0"/>
                <w:sz w:val="20"/>
                <w:u w:val="none"/>
              </w:rPr>
              <w:t>Annual leave</w:t>
            </w:r>
          </w:p>
        </w:tc>
        <w:tc>
          <w:tcPr>
            <w:tcW w:type="dxa" w:w="4320"/>
          </w:tcPr>
          <w:p>
            <w:pPr>
              <w:spacing w:before="60" w:after="60" w:line="360" w:lineRule="auto"/>
            </w:pPr>
            <w:r/>
            <w:r>
              <w:rPr>
                <w:rFonts w:ascii="Times New Roman" w:hAnsi="Times New Roman" w:cs="Times New Roman"/>
                <w:b w:val="0"/>
                <w:i w:val="0"/>
                <w:sz w:val="20"/>
                <w:u w:val="none"/>
              </w:rPr>
              <w:t>− 18</w:t>
            </w:r>
          </w:p>
        </w:tc>
      </w:tr>
      <w:tr>
        <w:tc>
          <w:tcPr>
            <w:tcW w:type="dxa" w:w="4320"/>
          </w:tcPr>
          <w:p>
            <w:pPr>
              <w:spacing w:before="60" w:after="60" w:line="360" w:lineRule="auto"/>
            </w:pPr>
            <w:r/>
            <w:r>
              <w:rPr>
                <w:rFonts w:ascii="Times New Roman" w:hAnsi="Times New Roman" w:cs="Times New Roman"/>
                <w:b w:val="0"/>
                <w:i w:val="0"/>
                <w:sz w:val="20"/>
                <w:u w:val="none"/>
              </w:rPr>
              <w:t>Sick leave</w:t>
            </w:r>
          </w:p>
        </w:tc>
        <w:tc>
          <w:tcPr>
            <w:tcW w:type="dxa" w:w="4320"/>
          </w:tcPr>
          <w:p>
            <w:pPr>
              <w:spacing w:before="60" w:after="60" w:line="360" w:lineRule="auto"/>
            </w:pPr>
            <w:r/>
            <w:r>
              <w:rPr>
                <w:rFonts w:ascii="Times New Roman" w:hAnsi="Times New Roman" w:cs="Times New Roman"/>
                <w:b w:val="0"/>
                <w:i w:val="0"/>
                <w:sz w:val="20"/>
                <w:u w:val="none"/>
              </w:rPr>
              <w:t>− 12</w:t>
            </w:r>
          </w:p>
        </w:tc>
      </w:tr>
      <w:tr>
        <w:tc>
          <w:tcPr>
            <w:tcW w:type="dxa" w:w="4320"/>
          </w:tcPr>
          <w:p>
            <w:pPr>
              <w:spacing w:before="60" w:after="60" w:line="360" w:lineRule="auto"/>
            </w:pPr>
            <w:r/>
            <w:r>
              <w:rPr>
                <w:rFonts w:ascii="Times New Roman" w:hAnsi="Times New Roman" w:cs="Times New Roman"/>
                <w:b w:val="0"/>
                <w:i w:val="0"/>
                <w:sz w:val="20"/>
                <w:u w:val="none"/>
              </w:rPr>
              <w:t>Training days</w:t>
            </w:r>
          </w:p>
        </w:tc>
        <w:tc>
          <w:tcPr>
            <w:tcW w:type="dxa" w:w="4320"/>
          </w:tcPr>
          <w:p>
            <w:pPr>
              <w:spacing w:before="60" w:after="60" w:line="360" w:lineRule="auto"/>
            </w:pPr>
            <w:r/>
            <w:r>
              <w:rPr>
                <w:rFonts w:ascii="Times New Roman" w:hAnsi="Times New Roman" w:cs="Times New Roman"/>
                <w:b w:val="0"/>
                <w:i w:val="0"/>
                <w:sz w:val="20"/>
                <w:u w:val="none"/>
              </w:rPr>
              <w:t>− 5</w:t>
            </w:r>
          </w:p>
        </w:tc>
      </w:tr>
      <w:tr>
        <w:tc>
          <w:tcPr>
            <w:tcW w:type="dxa" w:w="4320"/>
          </w:tcPr>
          <w:p>
            <w:pPr>
              <w:spacing w:before="60" w:after="60" w:line="360" w:lineRule="auto"/>
            </w:pPr>
            <w:r/>
            <w:r>
              <w:rPr>
                <w:rFonts w:ascii="Times New Roman" w:hAnsi="Times New Roman" w:cs="Times New Roman"/>
                <w:b w:val="0"/>
                <w:i w:val="0"/>
                <w:sz w:val="20"/>
                <w:u w:val="none"/>
              </w:rPr>
              <w:t>Net working days</w:t>
            </w:r>
          </w:p>
        </w:tc>
        <w:tc>
          <w:tcPr>
            <w:tcW w:type="dxa" w:w="4320"/>
          </w:tcPr>
          <w:p>
            <w:pPr>
              <w:spacing w:before="60" w:after="60" w:line="360" w:lineRule="auto"/>
            </w:pPr>
            <w:r/>
            <w:r>
              <w:rPr>
                <w:rFonts w:ascii="Times New Roman" w:hAnsi="Times New Roman" w:cs="Times New Roman"/>
                <w:b w:val="0"/>
                <w:i w:val="0"/>
                <w:sz w:val="20"/>
                <w:u w:val="none"/>
              </w:rPr>
              <w:t>212</w:t>
            </w:r>
          </w:p>
        </w:tc>
      </w:tr>
      <w:tr>
        <w:tc>
          <w:tcPr>
            <w:tcW w:type="dxa" w:w="4320"/>
          </w:tcPr>
          <w:p>
            <w:pPr>
              <w:spacing w:before="60" w:after="60" w:line="360" w:lineRule="auto"/>
            </w:pPr>
            <w:r/>
            <w:r>
              <w:rPr>
                <w:rFonts w:ascii="Times New Roman" w:hAnsi="Times New Roman" w:cs="Times New Roman"/>
                <w:b w:val="0"/>
                <w:i w:val="0"/>
                <w:sz w:val="20"/>
                <w:u w:val="none"/>
              </w:rPr>
              <w:t>Working hours per day</w:t>
            </w:r>
          </w:p>
        </w:tc>
        <w:tc>
          <w:tcPr>
            <w:tcW w:type="dxa" w:w="4320"/>
          </w:tcPr>
          <w:p>
            <w:pPr>
              <w:spacing w:before="60" w:after="60" w:line="360" w:lineRule="auto"/>
            </w:pPr>
            <w:r/>
            <w:r>
              <w:rPr>
                <w:rFonts w:ascii="Times New Roman" w:hAnsi="Times New Roman" w:cs="Times New Roman"/>
                <w:b w:val="0"/>
                <w:i w:val="0"/>
                <w:sz w:val="20"/>
                <w:u w:val="none"/>
              </w:rPr>
              <w:t>8</w:t>
            </w:r>
          </w:p>
        </w:tc>
      </w:tr>
      <w:tr>
        <w:tc>
          <w:tcPr>
            <w:tcW w:type="dxa" w:w="4320"/>
          </w:tcPr>
          <w:p>
            <w:pPr>
              <w:spacing w:before="60" w:after="60" w:line="360" w:lineRule="auto"/>
            </w:pPr>
            <w:r/>
            <w:r>
              <w:rPr>
                <w:rFonts w:ascii="Times New Roman" w:hAnsi="Times New Roman" w:cs="Times New Roman"/>
                <w:b w:val="0"/>
                <w:i w:val="0"/>
                <w:sz w:val="20"/>
                <w:u w:val="none"/>
              </w:rPr>
              <w:t>Available Working Time</w:t>
            </w:r>
          </w:p>
        </w:tc>
        <w:tc>
          <w:tcPr>
            <w:tcW w:type="dxa" w:w="4320"/>
          </w:tcPr>
          <w:p>
            <w:pPr>
              <w:spacing w:before="60" w:after="60" w:line="360" w:lineRule="auto"/>
            </w:pPr>
            <w:r/>
            <w:r>
              <w:rPr>
                <w:rFonts w:ascii="Times New Roman" w:hAnsi="Times New Roman" w:cs="Times New Roman"/>
                <w:b w:val="0"/>
                <w:i w:val="0"/>
                <w:sz w:val="20"/>
                <w:u w:val="none"/>
              </w:rPr>
              <w:t>1,696 hrs/nurse/year</w:t>
            </w:r>
          </w:p>
        </w:tc>
      </w:tr>
    </w:tbl>
    <w:p>
      <w:pPr/>
      <w:r>
        <w:rPr>
          <w:rFonts w:ascii="Times New Roman" w:hAnsi="Times New Roman" w:cs="Times New Roman"/>
          <w:b w:val="0"/>
          <w:i w:val="0"/>
          <w:sz w:val="24"/>
          <w:u w:val="none"/>
        </w:rPr>
        <w:t>Data Source Comparison</w:t>
      </w:r>
    </w:p>
    <w:p>
      <w:pPr/>
      <w:r>
        <w:rPr>
          <w:rFonts w:ascii="Times New Roman" w:hAnsi="Times New Roman" w:cs="Times New Roman"/>
          <w:b w:val="0"/>
          <w:i w:val="0"/>
          <w:sz w:val="24"/>
          <w:u w:val="none"/>
        </w:rPr>
        <w:t>The Nepal Health Facility Data Summary provides additional context for the labour standards used as inputs:</w:t>
      </w:r>
    </w:p>
    <w:p>
      <w:pPr>
        <w:spacing w:before="80" w:after="240"/>
        <w:jc w:val="center"/>
      </w:pPr>
      <w:r>
        <w:rPr>
          <w:rFonts w:ascii="Times New Roman" w:hAnsi="Times New Roman" w:cs="Times New Roman"/>
          <w:b w:val="0"/>
          <w:i/>
          <w:sz w:val="24"/>
          <w:u w:val="none"/>
        </w:rPr>
        <w:t>Table 5.2: Labour Standards Comparison (Nepal Labour Act 2074)</w:t>
      </w:r>
    </w:p>
    <w:tbl>
      <w:tblPr>
        <w:tblStyle w:val="TableGrid"/>
        <w:tblW w:type="auto" w:w="0"/>
        <w:jc w:val="center"/>
        <w:tblLook w:firstColumn="1" w:firstRow="1" w:lastColumn="0" w:lastRow="0" w:noHBand="0" w:noVBand="1" w:val="04A0"/>
      </w:tblPr>
      <w:tblGrid>
        <w:gridCol w:w="2760"/>
        <w:gridCol w:w="2760"/>
        <w:gridCol w:w="2760"/>
      </w:tblGrid>
      <w:tr>
        <w:tc>
          <w:tcPr>
            <w:tcW w:type="dxa" w:w="2880"/>
            <w:shd w:val="clear" w:color="auto" w:fill="D9D9D9"/>
          </w:tcPr>
          <w:p>
            <w:pPr>
              <w:spacing w:before="60" w:after="60" w:line="360" w:lineRule="auto"/>
            </w:pPr>
            <w:r/>
            <w:r>
              <w:rPr>
                <w:rFonts w:ascii="Times New Roman" w:hAnsi="Times New Roman" w:cs="Times New Roman"/>
                <w:b/>
                <w:i w:val="0"/>
                <w:sz w:val="20"/>
                <w:u w:val="none"/>
              </w:rPr>
              <w:t>Parameter</w:t>
            </w:r>
          </w:p>
        </w:tc>
        <w:tc>
          <w:tcPr>
            <w:tcW w:type="dxa" w:w="2880"/>
            <w:shd w:val="clear" w:color="auto" w:fill="D9D9D9"/>
          </w:tcPr>
          <w:p>
            <w:pPr>
              <w:spacing w:before="60" w:after="60" w:line="360" w:lineRule="auto"/>
            </w:pPr>
            <w:r/>
            <w:r>
              <w:rPr>
                <w:rFonts w:ascii="Times New Roman" w:hAnsi="Times New Roman" w:cs="Times New Roman"/>
                <w:b/>
                <w:i w:val="0"/>
                <w:sz w:val="20"/>
                <w:u w:val="none"/>
              </w:rPr>
              <w:t>Project Default</w:t>
            </w:r>
          </w:p>
        </w:tc>
        <w:tc>
          <w:tcPr>
            <w:tcW w:type="dxa" w:w="2880"/>
            <w:shd w:val="clear" w:color="auto" w:fill="D9D9D9"/>
          </w:tcPr>
          <w:p>
            <w:pPr>
              <w:spacing w:before="60" w:after="60" w:line="360" w:lineRule="auto"/>
            </w:pPr>
            <w:r/>
            <w:r>
              <w:rPr>
                <w:rFonts w:ascii="Times New Roman" w:hAnsi="Times New Roman" w:cs="Times New Roman"/>
                <w:b/>
                <w:i w:val="0"/>
                <w:sz w:val="20"/>
                <w:u w:val="none"/>
              </w:rPr>
              <w:t>Nepal Labour Act 2074</w:t>
            </w:r>
          </w:p>
        </w:tc>
      </w:tr>
      <w:tr>
        <w:tc>
          <w:tcPr>
            <w:tcW w:type="dxa" w:w="2880"/>
          </w:tcPr>
          <w:p>
            <w:pPr>
              <w:spacing w:before="60" w:after="60" w:line="360" w:lineRule="auto"/>
            </w:pPr>
            <w:r/>
            <w:r>
              <w:rPr>
                <w:rFonts w:ascii="Times New Roman" w:hAnsi="Times New Roman" w:cs="Times New Roman"/>
                <w:b w:val="0"/>
                <w:i w:val="0"/>
                <w:sz w:val="20"/>
                <w:u w:val="none"/>
              </w:rPr>
              <w:t>Working hours/day</w:t>
            </w:r>
          </w:p>
        </w:tc>
        <w:tc>
          <w:tcPr>
            <w:tcW w:type="dxa" w:w="2880"/>
          </w:tcPr>
          <w:p>
            <w:pPr>
              <w:spacing w:before="60" w:after="60" w:line="360" w:lineRule="auto"/>
            </w:pPr>
            <w:r/>
            <w:r>
              <w:rPr>
                <w:rFonts w:ascii="Times New Roman" w:hAnsi="Times New Roman" w:cs="Times New Roman"/>
                <w:b w:val="0"/>
                <w:i w:val="0"/>
                <w:sz w:val="20"/>
                <w:u w:val="none"/>
              </w:rPr>
              <w:t>8</w:t>
            </w:r>
          </w:p>
        </w:tc>
        <w:tc>
          <w:tcPr>
            <w:tcW w:type="dxa" w:w="2880"/>
          </w:tcPr>
          <w:p>
            <w:pPr>
              <w:spacing w:before="60" w:after="60" w:line="360" w:lineRule="auto"/>
            </w:pPr>
            <w:r/>
            <w:r>
              <w:rPr>
                <w:rFonts w:ascii="Times New Roman" w:hAnsi="Times New Roman" w:cs="Times New Roman"/>
                <w:b w:val="0"/>
                <w:i w:val="0"/>
                <w:sz w:val="20"/>
                <w:u w:val="none"/>
              </w:rPr>
              <w:t>8 (max 48 hrs/week)</w:t>
            </w:r>
          </w:p>
        </w:tc>
      </w:tr>
      <w:tr>
        <w:tc>
          <w:tcPr>
            <w:tcW w:type="dxa" w:w="2880"/>
          </w:tcPr>
          <w:p>
            <w:pPr>
              <w:spacing w:before="60" w:after="60" w:line="360" w:lineRule="auto"/>
            </w:pPr>
            <w:r/>
            <w:r>
              <w:rPr>
                <w:rFonts w:ascii="Times New Roman" w:hAnsi="Times New Roman" w:cs="Times New Roman"/>
                <w:b w:val="0"/>
                <w:i w:val="0"/>
                <w:sz w:val="20"/>
                <w:u w:val="none"/>
              </w:rPr>
              <w:t>Public holidays</w:t>
            </w:r>
          </w:p>
        </w:tc>
        <w:tc>
          <w:tcPr>
            <w:tcW w:type="dxa" w:w="2880"/>
          </w:tcPr>
          <w:p>
            <w:pPr>
              <w:spacing w:before="60" w:after="60" w:line="360" w:lineRule="auto"/>
            </w:pPr>
            <w:r/>
            <w:r>
              <w:rPr>
                <w:rFonts w:ascii="Times New Roman" w:hAnsi="Times New Roman" w:cs="Times New Roman"/>
                <w:b w:val="0"/>
                <w:i w:val="0"/>
                <w:sz w:val="20"/>
                <w:u w:val="none"/>
              </w:rPr>
              <w:t>13</w:t>
            </w:r>
          </w:p>
        </w:tc>
        <w:tc>
          <w:tcPr>
            <w:tcW w:type="dxa" w:w="2880"/>
          </w:tcPr>
          <w:p>
            <w:pPr>
              <w:spacing w:before="60" w:after="60" w:line="360" w:lineRule="auto"/>
            </w:pPr>
            <w:r/>
            <w:r>
              <w:rPr>
                <w:rFonts w:ascii="Times New Roman" w:hAnsi="Times New Roman" w:cs="Times New Roman"/>
                <w:b w:val="0"/>
                <w:i w:val="0"/>
                <w:sz w:val="20"/>
                <w:u w:val="none"/>
              </w:rPr>
              <w:t>13 (14 for female staff)</w:t>
            </w:r>
          </w:p>
        </w:tc>
      </w:tr>
      <w:tr>
        <w:tc>
          <w:tcPr>
            <w:tcW w:type="dxa" w:w="2880"/>
          </w:tcPr>
          <w:p>
            <w:pPr>
              <w:spacing w:before="60" w:after="60" w:line="360" w:lineRule="auto"/>
            </w:pPr>
            <w:r/>
            <w:r>
              <w:rPr>
                <w:rFonts w:ascii="Times New Roman" w:hAnsi="Times New Roman" w:cs="Times New Roman"/>
                <w:b w:val="0"/>
                <w:i w:val="0"/>
                <w:sz w:val="20"/>
                <w:u w:val="none"/>
              </w:rPr>
              <w:t>Sick leave</w:t>
            </w:r>
          </w:p>
        </w:tc>
        <w:tc>
          <w:tcPr>
            <w:tcW w:type="dxa" w:w="2880"/>
          </w:tcPr>
          <w:p>
            <w:pPr>
              <w:spacing w:before="60" w:after="60" w:line="360" w:lineRule="auto"/>
            </w:pPr>
            <w:r/>
            <w:r>
              <w:rPr>
                <w:rFonts w:ascii="Times New Roman" w:hAnsi="Times New Roman" w:cs="Times New Roman"/>
                <w:b w:val="0"/>
                <w:i w:val="0"/>
                <w:sz w:val="20"/>
                <w:u w:val="none"/>
              </w:rPr>
              <w:t>12</w:t>
            </w:r>
          </w:p>
        </w:tc>
        <w:tc>
          <w:tcPr>
            <w:tcW w:type="dxa" w:w="2880"/>
          </w:tcPr>
          <w:p>
            <w:pPr>
              <w:spacing w:before="60" w:after="60" w:line="360" w:lineRule="auto"/>
            </w:pPr>
            <w:r/>
            <w:r>
              <w:rPr>
                <w:rFonts w:ascii="Times New Roman" w:hAnsi="Times New Roman" w:cs="Times New Roman"/>
                <w:b w:val="0"/>
                <w:i w:val="0"/>
                <w:sz w:val="20"/>
                <w:u w:val="none"/>
              </w:rPr>
              <w:t>12 days/year</w:t>
            </w:r>
          </w:p>
        </w:tc>
      </w:tr>
      <w:tr>
        <w:tc>
          <w:tcPr>
            <w:tcW w:type="dxa" w:w="2880"/>
          </w:tcPr>
          <w:p>
            <w:pPr>
              <w:spacing w:before="60" w:after="60" w:line="360" w:lineRule="auto"/>
            </w:pPr>
            <w:r/>
            <w:r>
              <w:rPr>
                <w:rFonts w:ascii="Times New Roman" w:hAnsi="Times New Roman" w:cs="Times New Roman"/>
                <w:b w:val="0"/>
                <w:i w:val="0"/>
                <w:sz w:val="20"/>
                <w:u w:val="none"/>
              </w:rPr>
              <w:t>Working days/week</w:t>
            </w:r>
          </w:p>
        </w:tc>
        <w:tc>
          <w:tcPr>
            <w:tcW w:type="dxa" w:w="2880"/>
          </w:tcPr>
          <w:p>
            <w:pPr>
              <w:spacing w:before="60" w:after="60" w:line="360" w:lineRule="auto"/>
            </w:pPr>
            <w:r/>
            <w:r>
              <w:rPr>
                <w:rFonts w:ascii="Times New Roman" w:hAnsi="Times New Roman" w:cs="Times New Roman"/>
                <w:b w:val="0"/>
                <w:i w:val="0"/>
                <w:sz w:val="20"/>
                <w:u w:val="none"/>
              </w:rPr>
              <w:t>5</w:t>
            </w:r>
          </w:p>
        </w:tc>
        <w:tc>
          <w:tcPr>
            <w:tcW w:type="dxa" w:w="2880"/>
          </w:tcPr>
          <w:p>
            <w:pPr>
              <w:spacing w:before="60" w:after="60" w:line="360" w:lineRule="auto"/>
            </w:pPr>
            <w:r/>
            <w:r>
              <w:rPr>
                <w:rFonts w:ascii="Times New Roman" w:hAnsi="Times New Roman" w:cs="Times New Roman"/>
                <w:b w:val="0"/>
                <w:i w:val="0"/>
                <w:sz w:val="20"/>
                <w:u w:val="none"/>
              </w:rPr>
              <w:t>5- or 6-day models</w:t>
            </w:r>
          </w:p>
        </w:tc>
      </w:tr>
    </w:tbl>
    <w:p>
      <w:pPr/>
      <w:r>
        <w:rPr>
          <w:rFonts w:ascii="Times New Roman" w:hAnsi="Times New Roman" w:cs="Times New Roman"/>
          <w:b w:val="0"/>
          <w:i w:val="0"/>
          <w:sz w:val="24"/>
          <w:u w:val="none"/>
        </w:rPr>
        <w:t>Nepal Health Facility Survey (NHFS, 2021) reports median staffing baselines of 9.9 nurses at federal/provincial hospitals and 4.0 at local-level hospitals, providing national context for the seeded department staffing levels (6–11 nurses).</w:t>
      </w:r>
    </w:p>
    <w:p>
      <w:pPr>
        <w:pStyle w:val="Heading2"/>
      </w:pPr>
      <w:r>
        <w:rPr>
          <w:rFonts w:ascii="Times New Roman" w:hAnsi="Times New Roman" w:cs="Times New Roman"/>
          <w:b/>
          <w:i w:val="0"/>
          <w:sz w:val="32"/>
          <w:u w:val="none"/>
        </w:rPr>
        <w:t>5.2 Results</w:t>
      </w:r>
    </w:p>
    <w:p>
      <w:pPr/>
      <w:r>
        <w:rPr>
          <w:rFonts w:ascii="Times New Roman" w:hAnsi="Times New Roman" w:cs="Times New Roman"/>
          <w:b w:val="0"/>
          <w:i w:val="0"/>
          <w:sz w:val="24"/>
          <w:u w:val="none"/>
        </w:rPr>
        <w:t>The system produced the following WISN staffing calculations for the four seeded departments:</w:t>
      </w:r>
    </w:p>
    <w:p>
      <w:pPr/>
      <w:r>
        <w:rPr>
          <w:rFonts w:ascii="Times New Roman" w:hAnsi="Times New Roman" w:cs="Times New Roman"/>
          <w:b w:val="0"/>
          <w:i w:val="0"/>
          <w:sz w:val="24"/>
          <w:u w:val="none"/>
        </w:rPr>
        <w:t>Department-Level Results</w:t>
      </w:r>
    </w:p>
    <w:p>
      <w:pPr>
        <w:spacing w:before="80" w:after="240"/>
        <w:jc w:val="center"/>
      </w:pPr>
      <w:r>
        <w:rPr>
          <w:rFonts w:ascii="Times New Roman" w:hAnsi="Times New Roman" w:cs="Times New Roman"/>
          <w:b w:val="0"/>
          <w:i/>
          <w:sz w:val="24"/>
          <w:u w:val="none"/>
        </w:rPr>
        <w:t>Table 5.3: Department-Level WISN Results</w:t>
      </w:r>
    </w:p>
    <w:tbl>
      <w:tblPr>
        <w:tblStyle w:val="TableGrid"/>
        <w:tblW w:type="auto" w:w="0"/>
        <w:jc w:val="center"/>
        <w:tblLook w:firstColumn="1" w:firstRow="1" w:lastColumn="0" w:lastRow="0" w:noHBand="0" w:noVBand="1" w:val="04A0"/>
      </w:tblPr>
      <w:tblGrid>
        <w:gridCol w:w="1035"/>
        <w:gridCol w:w="1035"/>
        <w:gridCol w:w="1035"/>
        <w:gridCol w:w="1035"/>
        <w:gridCol w:w="1035"/>
        <w:gridCol w:w="1035"/>
        <w:gridCol w:w="1035"/>
        <w:gridCol w:w="1035"/>
      </w:tblGrid>
      <w:tr>
        <w:tc>
          <w:tcPr>
            <w:tcW w:type="dxa" w:w="1080"/>
            <w:shd w:val="clear" w:color="auto" w:fill="D9D9D9"/>
          </w:tcPr>
          <w:p>
            <w:pPr>
              <w:spacing w:before="60" w:after="60" w:line="360" w:lineRule="auto"/>
            </w:pPr>
            <w:r/>
            <w:r>
              <w:rPr>
                <w:rFonts w:ascii="Times New Roman" w:hAnsi="Times New Roman" w:cs="Times New Roman"/>
                <w:b/>
                <w:i w:val="0"/>
                <w:sz w:val="20"/>
                <w:u w:val="none"/>
              </w:rPr>
              <w:t>Department</w:t>
            </w:r>
          </w:p>
        </w:tc>
        <w:tc>
          <w:tcPr>
            <w:tcW w:type="dxa" w:w="1080"/>
            <w:shd w:val="clear" w:color="auto" w:fill="D9D9D9"/>
          </w:tcPr>
          <w:p>
            <w:pPr>
              <w:spacing w:before="60" w:after="60" w:line="360" w:lineRule="auto"/>
            </w:pPr>
            <w:r/>
            <w:r>
              <w:rPr>
                <w:rFonts w:ascii="Times New Roman" w:hAnsi="Times New Roman" w:cs="Times New Roman"/>
                <w:b/>
                <w:i w:val="0"/>
                <w:sz w:val="20"/>
                <w:u w:val="none"/>
              </w:rPr>
              <w:t>Current Staff</w:t>
            </w:r>
          </w:p>
        </w:tc>
        <w:tc>
          <w:tcPr>
            <w:tcW w:type="dxa" w:w="1080"/>
            <w:shd w:val="clear" w:color="auto" w:fill="D9D9D9"/>
          </w:tcPr>
          <w:p>
            <w:pPr>
              <w:spacing w:before="60" w:after="60" w:line="360" w:lineRule="auto"/>
            </w:pPr>
            <w:r/>
            <w:r>
              <w:rPr>
                <w:rFonts w:ascii="Times New Roman" w:hAnsi="Times New Roman" w:cs="Times New Roman"/>
                <w:b/>
                <w:i w:val="0"/>
                <w:sz w:val="20"/>
                <w:u w:val="none"/>
              </w:rPr>
              <w:t>Health FTE</w:t>
            </w:r>
          </w:p>
        </w:tc>
        <w:tc>
          <w:tcPr>
            <w:tcW w:type="dxa" w:w="1080"/>
            <w:shd w:val="clear" w:color="auto" w:fill="D9D9D9"/>
          </w:tcPr>
          <w:p>
            <w:pPr>
              <w:spacing w:before="60" w:after="60" w:line="360" w:lineRule="auto"/>
            </w:pPr>
            <w:r/>
            <w:r>
              <w:rPr>
                <w:rFonts w:ascii="Times New Roman" w:hAnsi="Times New Roman" w:cs="Times New Roman"/>
                <w:b/>
                <w:i w:val="0"/>
                <w:sz w:val="20"/>
                <w:u w:val="none"/>
              </w:rPr>
              <w:t>CAF</w:t>
            </w:r>
          </w:p>
        </w:tc>
        <w:tc>
          <w:tcPr>
            <w:tcW w:type="dxa" w:w="1080"/>
            <w:shd w:val="clear" w:color="auto" w:fill="D9D9D9"/>
          </w:tcPr>
          <w:p>
            <w:pPr>
              <w:spacing w:before="60" w:after="60" w:line="360" w:lineRule="auto"/>
            </w:pPr>
            <w:r/>
            <w:r>
              <w:rPr>
                <w:rFonts w:ascii="Times New Roman" w:hAnsi="Times New Roman" w:cs="Times New Roman"/>
                <w:b/>
                <w:i w:val="0"/>
                <w:sz w:val="20"/>
                <w:u w:val="none"/>
              </w:rPr>
              <w:t>AAF FTE</w:t>
            </w:r>
          </w:p>
        </w:tc>
        <w:tc>
          <w:tcPr>
            <w:tcW w:type="dxa" w:w="1080"/>
            <w:shd w:val="clear" w:color="auto" w:fill="D9D9D9"/>
          </w:tcPr>
          <w:p>
            <w:pPr>
              <w:spacing w:before="60" w:after="60" w:line="360" w:lineRule="auto"/>
            </w:pPr>
            <w:r/>
            <w:r>
              <w:rPr>
                <w:rFonts w:ascii="Times New Roman" w:hAnsi="Times New Roman" w:cs="Times New Roman"/>
                <w:b/>
                <w:i w:val="0"/>
                <w:sz w:val="20"/>
                <w:u w:val="none"/>
              </w:rPr>
              <w:t>Required Staff</w:t>
            </w:r>
          </w:p>
        </w:tc>
        <w:tc>
          <w:tcPr>
            <w:tcW w:type="dxa" w:w="1080"/>
            <w:shd w:val="clear" w:color="auto" w:fill="D9D9D9"/>
          </w:tcPr>
          <w:p>
            <w:pPr>
              <w:spacing w:before="60" w:after="60" w:line="360" w:lineRule="auto"/>
            </w:pPr>
            <w:r/>
            <w:r>
              <w:rPr>
                <w:rFonts w:ascii="Times New Roman" w:hAnsi="Times New Roman" w:cs="Times New Roman"/>
                <w:b/>
                <w:i w:val="0"/>
                <w:sz w:val="20"/>
                <w:u w:val="none"/>
              </w:rPr>
              <w:t>WISN Ratio</w:t>
            </w:r>
          </w:p>
        </w:tc>
        <w:tc>
          <w:tcPr>
            <w:tcW w:type="dxa" w:w="1080"/>
            <w:shd w:val="clear" w:color="auto" w:fill="D9D9D9"/>
          </w:tcPr>
          <w:p>
            <w:pPr>
              <w:spacing w:before="60" w:after="60" w:line="360" w:lineRule="auto"/>
            </w:pPr>
            <w:r/>
            <w:r>
              <w:rPr>
                <w:rFonts w:ascii="Times New Roman" w:hAnsi="Times New Roman" w:cs="Times New Roman"/>
                <w:b/>
                <w:i w:val="0"/>
                <w:sz w:val="20"/>
                <w:u w:val="none"/>
              </w:rPr>
              <w:t>Status</w:t>
            </w:r>
          </w:p>
        </w:tc>
      </w:tr>
      <w:tr>
        <w:tc>
          <w:tcPr>
            <w:tcW w:type="dxa" w:w="1080"/>
          </w:tcPr>
          <w:p>
            <w:pPr>
              <w:spacing w:before="60" w:after="60" w:line="360" w:lineRule="auto"/>
            </w:pPr>
            <w:r/>
            <w:r>
              <w:rPr>
                <w:rFonts w:ascii="Times New Roman" w:hAnsi="Times New Roman" w:cs="Times New Roman"/>
                <w:b w:val="0"/>
                <w:i w:val="0"/>
                <w:sz w:val="20"/>
                <w:u w:val="none"/>
              </w:rPr>
              <w:t>ICU</w:t>
            </w:r>
          </w:p>
        </w:tc>
        <w:tc>
          <w:tcPr>
            <w:tcW w:type="dxa" w:w="1080"/>
          </w:tcPr>
          <w:p>
            <w:pPr>
              <w:spacing w:before="60" w:after="60" w:line="360" w:lineRule="auto"/>
            </w:pPr>
            <w:r/>
            <w:r>
              <w:rPr>
                <w:rFonts w:ascii="Times New Roman" w:hAnsi="Times New Roman" w:cs="Times New Roman"/>
                <w:b w:val="0"/>
                <w:i w:val="0"/>
                <w:sz w:val="20"/>
                <w:u w:val="none"/>
              </w:rPr>
              <w:t>6</w:t>
            </w:r>
          </w:p>
        </w:tc>
        <w:tc>
          <w:tcPr>
            <w:tcW w:type="dxa" w:w="1080"/>
          </w:tcPr>
          <w:p>
            <w:pPr>
              <w:spacing w:before="60" w:after="60" w:line="360" w:lineRule="auto"/>
            </w:pPr>
            <w:r/>
            <w:r>
              <w:rPr>
                <w:rFonts w:ascii="Times New Roman" w:hAnsi="Times New Roman" w:cs="Times New Roman"/>
                <w:b w:val="0"/>
                <w:i w:val="0"/>
                <w:sz w:val="20"/>
                <w:u w:val="none"/>
              </w:rPr>
              <w:t>7.75</w:t>
            </w:r>
          </w:p>
        </w:tc>
        <w:tc>
          <w:tcPr>
            <w:tcW w:type="dxa" w:w="1080"/>
          </w:tcPr>
          <w:p>
            <w:pPr>
              <w:spacing w:before="60" w:after="60" w:line="360" w:lineRule="auto"/>
            </w:pPr>
            <w:r/>
            <w:r>
              <w:rPr>
                <w:rFonts w:ascii="Times New Roman" w:hAnsi="Times New Roman" w:cs="Times New Roman"/>
                <w:b w:val="0"/>
                <w:i w:val="0"/>
                <w:sz w:val="20"/>
                <w:u w:val="none"/>
              </w:rPr>
              <w:t>1.175</w:t>
            </w:r>
          </w:p>
        </w:tc>
        <w:tc>
          <w:tcPr>
            <w:tcW w:type="dxa" w:w="1080"/>
          </w:tcPr>
          <w:p>
            <w:pPr>
              <w:spacing w:before="60" w:after="60" w:line="360" w:lineRule="auto"/>
            </w:pPr>
            <w:r/>
            <w:r>
              <w:rPr>
                <w:rFonts w:ascii="Times New Roman" w:hAnsi="Times New Roman" w:cs="Times New Roman"/>
                <w:b w:val="0"/>
                <w:i w:val="0"/>
                <w:sz w:val="20"/>
                <w:u w:val="none"/>
              </w:rPr>
              <w:t>0.00</w:t>
            </w:r>
          </w:p>
        </w:tc>
        <w:tc>
          <w:tcPr>
            <w:tcW w:type="dxa" w:w="1080"/>
          </w:tcPr>
          <w:p>
            <w:pPr>
              <w:spacing w:before="60" w:after="60" w:line="360" w:lineRule="auto"/>
            </w:pPr>
            <w:r/>
            <w:r>
              <w:rPr>
                <w:rFonts w:ascii="Times New Roman" w:hAnsi="Times New Roman" w:cs="Times New Roman"/>
                <w:b w:val="0"/>
                <w:i w:val="0"/>
                <w:sz w:val="20"/>
                <w:u w:val="none"/>
              </w:rPr>
              <w:t>9.10</w:t>
            </w:r>
          </w:p>
        </w:tc>
        <w:tc>
          <w:tcPr>
            <w:tcW w:type="dxa" w:w="1080"/>
          </w:tcPr>
          <w:p>
            <w:pPr>
              <w:spacing w:before="60" w:after="60" w:line="360" w:lineRule="auto"/>
            </w:pPr>
            <w:r/>
            <w:r>
              <w:rPr>
                <w:rFonts w:ascii="Times New Roman" w:hAnsi="Times New Roman" w:cs="Times New Roman"/>
                <w:b w:val="0"/>
                <w:i w:val="0"/>
                <w:sz w:val="20"/>
                <w:u w:val="none"/>
              </w:rPr>
              <w:t>0.66</w:t>
            </w:r>
          </w:p>
        </w:tc>
        <w:tc>
          <w:tcPr>
            <w:tcW w:type="dxa" w:w="1080"/>
          </w:tcPr>
          <w:p>
            <w:pPr>
              <w:spacing w:before="60" w:after="60" w:line="360" w:lineRule="auto"/>
            </w:pPr>
            <w:r/>
            <w:r>
              <w:rPr>
                <w:rFonts w:ascii="Times New Roman" w:hAnsi="Times New Roman" w:cs="Times New Roman"/>
                <w:b w:val="0"/>
                <w:i w:val="0"/>
                <w:sz w:val="20"/>
                <w:u w:val="none"/>
              </w:rPr>
              <w:t>Critical</w:t>
            </w:r>
          </w:p>
        </w:tc>
      </w:tr>
      <w:tr>
        <w:tc>
          <w:tcPr>
            <w:tcW w:type="dxa" w:w="1080"/>
          </w:tcPr>
          <w:p>
            <w:pPr>
              <w:spacing w:before="60" w:after="60" w:line="360" w:lineRule="auto"/>
            </w:pPr>
            <w:r/>
            <w:r>
              <w:rPr>
                <w:rFonts w:ascii="Times New Roman" w:hAnsi="Times New Roman" w:cs="Times New Roman"/>
                <w:b w:val="0"/>
                <w:i w:val="0"/>
                <w:sz w:val="20"/>
                <w:u w:val="none"/>
              </w:rPr>
              <w:t>Emergency Department</w:t>
            </w:r>
          </w:p>
        </w:tc>
        <w:tc>
          <w:tcPr>
            <w:tcW w:type="dxa" w:w="1080"/>
          </w:tcPr>
          <w:p>
            <w:pPr>
              <w:spacing w:before="60" w:after="60" w:line="360" w:lineRule="auto"/>
            </w:pPr>
            <w:r/>
            <w:r>
              <w:rPr>
                <w:rFonts w:ascii="Times New Roman" w:hAnsi="Times New Roman" w:cs="Times New Roman"/>
                <w:b w:val="0"/>
                <w:i w:val="0"/>
                <w:sz w:val="20"/>
                <w:u w:val="none"/>
              </w:rPr>
              <w:t>7</w:t>
            </w:r>
          </w:p>
        </w:tc>
        <w:tc>
          <w:tcPr>
            <w:tcW w:type="dxa" w:w="1080"/>
          </w:tcPr>
          <w:p>
            <w:pPr>
              <w:spacing w:before="60" w:after="60" w:line="360" w:lineRule="auto"/>
            </w:pPr>
            <w:r/>
            <w:r>
              <w:rPr>
                <w:rFonts w:ascii="Times New Roman" w:hAnsi="Times New Roman" w:cs="Times New Roman"/>
                <w:b w:val="0"/>
                <w:i w:val="0"/>
                <w:sz w:val="20"/>
                <w:u w:val="none"/>
              </w:rPr>
              <w:t>6.91</w:t>
            </w:r>
          </w:p>
        </w:tc>
        <w:tc>
          <w:tcPr>
            <w:tcW w:type="dxa" w:w="1080"/>
          </w:tcPr>
          <w:p>
            <w:pPr>
              <w:spacing w:before="60" w:after="60" w:line="360" w:lineRule="auto"/>
            </w:pPr>
            <w:r/>
            <w:r>
              <w:rPr>
                <w:rFonts w:ascii="Times New Roman" w:hAnsi="Times New Roman" w:cs="Times New Roman"/>
                <w:b w:val="0"/>
                <w:i w:val="0"/>
                <w:sz w:val="20"/>
                <w:u w:val="none"/>
              </w:rPr>
              <w:t>1.200</w:t>
            </w:r>
          </w:p>
        </w:tc>
        <w:tc>
          <w:tcPr>
            <w:tcW w:type="dxa" w:w="1080"/>
          </w:tcPr>
          <w:p>
            <w:pPr>
              <w:spacing w:before="60" w:after="60" w:line="360" w:lineRule="auto"/>
            </w:pPr>
            <w:r/>
            <w:r>
              <w:rPr>
                <w:rFonts w:ascii="Times New Roman" w:hAnsi="Times New Roman" w:cs="Times New Roman"/>
                <w:b w:val="0"/>
                <w:i w:val="0"/>
                <w:sz w:val="20"/>
                <w:u w:val="none"/>
              </w:rPr>
              <w:t>0.00</w:t>
            </w:r>
          </w:p>
        </w:tc>
        <w:tc>
          <w:tcPr>
            <w:tcW w:type="dxa" w:w="1080"/>
          </w:tcPr>
          <w:p>
            <w:pPr>
              <w:spacing w:before="60" w:after="60" w:line="360" w:lineRule="auto"/>
            </w:pPr>
            <w:r/>
            <w:r>
              <w:rPr>
                <w:rFonts w:ascii="Times New Roman" w:hAnsi="Times New Roman" w:cs="Times New Roman"/>
                <w:b w:val="0"/>
                <w:i w:val="0"/>
                <w:sz w:val="20"/>
                <w:u w:val="none"/>
              </w:rPr>
              <w:t>8.29</w:t>
            </w:r>
          </w:p>
        </w:tc>
        <w:tc>
          <w:tcPr>
            <w:tcW w:type="dxa" w:w="1080"/>
          </w:tcPr>
          <w:p>
            <w:pPr>
              <w:spacing w:before="60" w:after="60" w:line="360" w:lineRule="auto"/>
            </w:pPr>
            <w:r/>
            <w:r>
              <w:rPr>
                <w:rFonts w:ascii="Times New Roman" w:hAnsi="Times New Roman" w:cs="Times New Roman"/>
                <w:b w:val="0"/>
                <w:i w:val="0"/>
                <w:sz w:val="20"/>
                <w:u w:val="none"/>
              </w:rPr>
              <w:t>0.84</w:t>
            </w:r>
          </w:p>
        </w:tc>
        <w:tc>
          <w:tcPr>
            <w:tcW w:type="dxa" w:w="1080"/>
          </w:tcPr>
          <w:p>
            <w:pPr>
              <w:spacing w:before="60" w:after="60" w:line="360" w:lineRule="auto"/>
            </w:pPr>
            <w:r/>
            <w:r>
              <w:rPr>
                <w:rFonts w:ascii="Times New Roman" w:hAnsi="Times New Roman" w:cs="Times New Roman"/>
                <w:b w:val="0"/>
                <w:i w:val="0"/>
                <w:sz w:val="20"/>
                <w:u w:val="none"/>
              </w:rPr>
              <w:t>Critical</w:t>
            </w:r>
          </w:p>
        </w:tc>
      </w:tr>
      <w:tr>
        <w:tc>
          <w:tcPr>
            <w:tcW w:type="dxa" w:w="1080"/>
          </w:tcPr>
          <w:p>
            <w:pPr>
              <w:spacing w:before="60" w:after="60" w:line="360" w:lineRule="auto"/>
            </w:pPr>
            <w:r/>
            <w:r>
              <w:rPr>
                <w:rFonts w:ascii="Times New Roman" w:hAnsi="Times New Roman" w:cs="Times New Roman"/>
                <w:b w:val="0"/>
                <w:i w:val="0"/>
                <w:sz w:val="20"/>
                <w:u w:val="none"/>
              </w:rPr>
              <w:t>General Medical Ward</w:t>
            </w:r>
          </w:p>
        </w:tc>
        <w:tc>
          <w:tcPr>
            <w:tcW w:type="dxa" w:w="1080"/>
          </w:tcPr>
          <w:p>
            <w:pPr>
              <w:spacing w:before="60" w:after="60" w:line="360" w:lineRule="auto"/>
            </w:pPr>
            <w:r/>
            <w:r>
              <w:rPr>
                <w:rFonts w:ascii="Times New Roman" w:hAnsi="Times New Roman" w:cs="Times New Roman"/>
                <w:b w:val="0"/>
                <w:i w:val="0"/>
                <w:sz w:val="20"/>
                <w:u w:val="none"/>
              </w:rPr>
              <w:t>11</w:t>
            </w:r>
          </w:p>
        </w:tc>
        <w:tc>
          <w:tcPr>
            <w:tcW w:type="dxa" w:w="1080"/>
          </w:tcPr>
          <w:p>
            <w:pPr>
              <w:spacing w:before="60" w:after="60" w:line="360" w:lineRule="auto"/>
            </w:pPr>
            <w:r/>
            <w:r>
              <w:rPr>
                <w:rFonts w:ascii="Times New Roman" w:hAnsi="Times New Roman" w:cs="Times New Roman"/>
                <w:b w:val="0"/>
                <w:i w:val="0"/>
                <w:sz w:val="20"/>
                <w:u w:val="none"/>
              </w:rPr>
              <w:t>9.16</w:t>
            </w:r>
          </w:p>
        </w:tc>
        <w:tc>
          <w:tcPr>
            <w:tcW w:type="dxa" w:w="1080"/>
          </w:tcPr>
          <w:p>
            <w:pPr>
              <w:spacing w:before="60" w:after="60" w:line="360" w:lineRule="auto"/>
            </w:pPr>
            <w:r/>
            <w:r>
              <w:rPr>
                <w:rFonts w:ascii="Times New Roman" w:hAnsi="Times New Roman" w:cs="Times New Roman"/>
                <w:b w:val="0"/>
                <w:i w:val="0"/>
                <w:sz w:val="20"/>
                <w:u w:val="none"/>
              </w:rPr>
              <w:t>1.143</w:t>
            </w:r>
          </w:p>
        </w:tc>
        <w:tc>
          <w:tcPr>
            <w:tcW w:type="dxa" w:w="1080"/>
          </w:tcPr>
          <w:p>
            <w:pPr>
              <w:spacing w:before="60" w:after="60" w:line="360" w:lineRule="auto"/>
            </w:pPr>
            <w:r/>
            <w:r>
              <w:rPr>
                <w:rFonts w:ascii="Times New Roman" w:hAnsi="Times New Roman" w:cs="Times New Roman"/>
                <w:b w:val="0"/>
                <w:i w:val="0"/>
                <w:sz w:val="20"/>
                <w:u w:val="none"/>
              </w:rPr>
              <w:t>0.00</w:t>
            </w:r>
          </w:p>
        </w:tc>
        <w:tc>
          <w:tcPr>
            <w:tcW w:type="dxa" w:w="1080"/>
          </w:tcPr>
          <w:p>
            <w:pPr>
              <w:spacing w:before="60" w:after="60" w:line="360" w:lineRule="auto"/>
            </w:pPr>
            <w:r/>
            <w:r>
              <w:rPr>
                <w:rFonts w:ascii="Times New Roman" w:hAnsi="Times New Roman" w:cs="Times New Roman"/>
                <w:b w:val="0"/>
                <w:i w:val="0"/>
                <w:sz w:val="20"/>
                <w:u w:val="none"/>
              </w:rPr>
              <w:t>10.47</w:t>
            </w:r>
          </w:p>
        </w:tc>
        <w:tc>
          <w:tcPr>
            <w:tcW w:type="dxa" w:w="1080"/>
          </w:tcPr>
          <w:p>
            <w:pPr>
              <w:spacing w:before="60" w:after="60" w:line="360" w:lineRule="auto"/>
            </w:pPr>
            <w:r/>
            <w:r>
              <w:rPr>
                <w:rFonts w:ascii="Times New Roman" w:hAnsi="Times New Roman" w:cs="Times New Roman"/>
                <w:b w:val="0"/>
                <w:i w:val="0"/>
                <w:sz w:val="20"/>
                <w:u w:val="none"/>
              </w:rPr>
              <w:t>1.05</w:t>
            </w:r>
          </w:p>
        </w:tc>
        <w:tc>
          <w:tcPr>
            <w:tcW w:type="dxa" w:w="1080"/>
          </w:tcPr>
          <w:p>
            <w:pPr>
              <w:spacing w:before="60" w:after="60" w:line="360" w:lineRule="auto"/>
            </w:pPr>
            <w:r/>
            <w:r>
              <w:rPr>
                <w:rFonts w:ascii="Times New Roman" w:hAnsi="Times New Roman" w:cs="Times New Roman"/>
                <w:b w:val="0"/>
                <w:i w:val="0"/>
                <w:sz w:val="20"/>
                <w:u w:val="none"/>
              </w:rPr>
              <w:t>Surplus</w:t>
            </w:r>
          </w:p>
        </w:tc>
      </w:tr>
      <w:tr>
        <w:tc>
          <w:tcPr>
            <w:tcW w:type="dxa" w:w="1080"/>
          </w:tcPr>
          <w:p>
            <w:pPr>
              <w:spacing w:before="60" w:after="60" w:line="360" w:lineRule="auto"/>
            </w:pPr>
            <w:r/>
            <w:r>
              <w:rPr>
                <w:rFonts w:ascii="Times New Roman" w:hAnsi="Times New Roman" w:cs="Times New Roman"/>
                <w:b w:val="0"/>
                <w:i w:val="0"/>
                <w:sz w:val="20"/>
                <w:u w:val="none"/>
              </w:rPr>
              <w:t>Surgical Ward</w:t>
            </w:r>
          </w:p>
        </w:tc>
        <w:tc>
          <w:tcPr>
            <w:tcW w:type="dxa" w:w="1080"/>
          </w:tcPr>
          <w:p>
            <w:pPr>
              <w:spacing w:before="60" w:after="60" w:line="360" w:lineRule="auto"/>
            </w:pPr>
            <w:r/>
            <w:r>
              <w:rPr>
                <w:rFonts w:ascii="Times New Roman" w:hAnsi="Times New Roman" w:cs="Times New Roman"/>
                <w:b w:val="0"/>
                <w:i w:val="0"/>
                <w:sz w:val="20"/>
                <w:u w:val="none"/>
              </w:rPr>
              <w:t>10</w:t>
            </w:r>
          </w:p>
        </w:tc>
        <w:tc>
          <w:tcPr>
            <w:tcW w:type="dxa" w:w="1080"/>
          </w:tcPr>
          <w:p>
            <w:pPr>
              <w:spacing w:before="60" w:after="60" w:line="360" w:lineRule="auto"/>
            </w:pPr>
            <w:r/>
            <w:r>
              <w:rPr>
                <w:rFonts w:ascii="Times New Roman" w:hAnsi="Times New Roman" w:cs="Times New Roman"/>
                <w:b w:val="0"/>
                <w:i w:val="0"/>
                <w:sz w:val="20"/>
                <w:u w:val="none"/>
              </w:rPr>
              <w:t>8.56</w:t>
            </w:r>
          </w:p>
        </w:tc>
        <w:tc>
          <w:tcPr>
            <w:tcW w:type="dxa" w:w="1080"/>
          </w:tcPr>
          <w:p>
            <w:pPr>
              <w:spacing w:before="60" w:after="60" w:line="360" w:lineRule="auto"/>
            </w:pPr>
            <w:r/>
            <w:r>
              <w:rPr>
                <w:rFonts w:ascii="Times New Roman" w:hAnsi="Times New Roman" w:cs="Times New Roman"/>
                <w:b w:val="0"/>
                <w:i w:val="0"/>
                <w:sz w:val="20"/>
                <w:u w:val="none"/>
              </w:rPr>
              <w:t>1.176</w:t>
            </w:r>
          </w:p>
        </w:tc>
        <w:tc>
          <w:tcPr>
            <w:tcW w:type="dxa" w:w="1080"/>
          </w:tcPr>
          <w:p>
            <w:pPr>
              <w:spacing w:before="60" w:after="60" w:line="360" w:lineRule="auto"/>
            </w:pPr>
            <w:r/>
            <w:r>
              <w:rPr>
                <w:rFonts w:ascii="Times New Roman" w:hAnsi="Times New Roman" w:cs="Times New Roman"/>
                <w:b w:val="0"/>
                <w:i w:val="0"/>
                <w:sz w:val="20"/>
                <w:u w:val="none"/>
              </w:rPr>
              <w:t>0.00</w:t>
            </w:r>
          </w:p>
        </w:tc>
        <w:tc>
          <w:tcPr>
            <w:tcW w:type="dxa" w:w="1080"/>
          </w:tcPr>
          <w:p>
            <w:pPr>
              <w:spacing w:before="60" w:after="60" w:line="360" w:lineRule="auto"/>
            </w:pPr>
            <w:r/>
            <w:r>
              <w:rPr>
                <w:rFonts w:ascii="Times New Roman" w:hAnsi="Times New Roman" w:cs="Times New Roman"/>
                <w:b w:val="0"/>
                <w:i w:val="0"/>
                <w:sz w:val="20"/>
                <w:u w:val="none"/>
              </w:rPr>
              <w:t>10.07</w:t>
            </w:r>
          </w:p>
        </w:tc>
        <w:tc>
          <w:tcPr>
            <w:tcW w:type="dxa" w:w="1080"/>
          </w:tcPr>
          <w:p>
            <w:pPr>
              <w:spacing w:before="60" w:after="60" w:line="360" w:lineRule="auto"/>
            </w:pPr>
            <w:r/>
            <w:r>
              <w:rPr>
                <w:rFonts w:ascii="Times New Roman" w:hAnsi="Times New Roman" w:cs="Times New Roman"/>
                <w:b w:val="0"/>
                <w:i w:val="0"/>
                <w:sz w:val="20"/>
                <w:u w:val="none"/>
              </w:rPr>
              <w:t>0.99</w:t>
            </w:r>
          </w:p>
        </w:tc>
        <w:tc>
          <w:tcPr>
            <w:tcW w:type="dxa" w:w="1080"/>
          </w:tcPr>
          <w:p>
            <w:pPr>
              <w:spacing w:before="60" w:after="60" w:line="360" w:lineRule="auto"/>
            </w:pPr>
            <w:r/>
            <w:r>
              <w:rPr>
                <w:rFonts w:ascii="Times New Roman" w:hAnsi="Times New Roman" w:cs="Times New Roman"/>
                <w:b w:val="0"/>
                <w:i w:val="0"/>
                <w:sz w:val="20"/>
                <w:u w:val="none"/>
              </w:rPr>
              <w:t>Borderline</w:t>
            </w:r>
          </w:p>
        </w:tc>
      </w:tr>
    </w:tbl>
    <w:p>
      <w:pPr/>
      <w:r>
        <w:rPr>
          <w:rFonts w:ascii="Times New Roman" w:hAnsi="Times New Roman" w:cs="Times New Roman"/>
          <w:b w:val="0"/>
          <w:i w:val="0"/>
          <w:sz w:val="24"/>
          <w:u w:val="none"/>
        </w:rPr>
        <w:t>Facility-Level Summary</w:t>
      </w:r>
    </w:p>
    <w:p>
      <w:pPr>
        <w:spacing w:before="80" w:after="240"/>
        <w:jc w:val="center"/>
      </w:pPr>
      <w:r>
        <w:rPr>
          <w:rFonts w:ascii="Times New Roman" w:hAnsi="Times New Roman" w:cs="Times New Roman"/>
          <w:b w:val="0"/>
          <w:i/>
          <w:sz w:val="24"/>
          <w:u w:val="none"/>
        </w:rPr>
        <w:t>Table 5.4: Facility-Level Summary</w:t>
      </w:r>
    </w:p>
    <w:tbl>
      <w:tblPr>
        <w:tblStyle w:val="TableGrid"/>
        <w:tblW w:type="auto" w:w="0"/>
        <w:jc w:val="center"/>
        <w:tblLook w:firstColumn="1" w:firstRow="1" w:lastColumn="0" w:lastRow="0" w:noHBand="0" w:noVBand="1" w:val="04A0"/>
      </w:tblPr>
      <w:tblGrid>
        <w:gridCol w:w="4140"/>
        <w:gridCol w:w="4140"/>
      </w:tblGrid>
      <w:tr>
        <w:tc>
          <w:tcPr>
            <w:tcW w:type="dxa" w:w="4320"/>
            <w:shd w:val="clear" w:color="auto" w:fill="D9D9D9"/>
          </w:tcPr>
          <w:p>
            <w:pPr>
              <w:spacing w:before="60" w:after="60" w:line="360" w:lineRule="auto"/>
            </w:pPr>
            <w:r/>
            <w:r>
              <w:rPr>
                <w:rFonts w:ascii="Times New Roman" w:hAnsi="Times New Roman" w:cs="Times New Roman"/>
                <w:b/>
                <w:i w:val="0"/>
                <w:sz w:val="20"/>
                <w:u w:val="none"/>
              </w:rPr>
              <w:t>Metric</w:t>
            </w:r>
          </w:p>
        </w:tc>
        <w:tc>
          <w:tcPr>
            <w:tcW w:type="dxa" w:w="4320"/>
            <w:shd w:val="clear" w:color="auto" w:fill="D9D9D9"/>
          </w:tcPr>
          <w:p>
            <w:pPr>
              <w:spacing w:before="60" w:after="60" w:line="360" w:lineRule="auto"/>
            </w:pPr>
            <w:r/>
            <w:r>
              <w:rPr>
                <w:rFonts w:ascii="Times New Roman" w:hAnsi="Times New Roman" w:cs="Times New Roman"/>
                <w:b/>
                <w:i w:val="0"/>
                <w:sz w:val="20"/>
                <w:u w:val="none"/>
              </w:rPr>
              <w:t>Value</w:t>
            </w:r>
          </w:p>
        </w:tc>
      </w:tr>
      <w:tr>
        <w:tc>
          <w:tcPr>
            <w:tcW w:type="dxa" w:w="4320"/>
          </w:tcPr>
          <w:p>
            <w:pPr>
              <w:spacing w:before="60" w:after="60" w:line="360" w:lineRule="auto"/>
            </w:pPr>
            <w:r/>
            <w:r>
              <w:rPr>
                <w:rFonts w:ascii="Times New Roman" w:hAnsi="Times New Roman" w:cs="Times New Roman"/>
                <w:b w:val="0"/>
                <w:i w:val="0"/>
                <w:sz w:val="20"/>
                <w:u w:val="none"/>
              </w:rPr>
              <w:t>Total Current Nursing Staff</w:t>
            </w:r>
          </w:p>
        </w:tc>
        <w:tc>
          <w:tcPr>
            <w:tcW w:type="dxa" w:w="4320"/>
          </w:tcPr>
          <w:p>
            <w:pPr>
              <w:spacing w:before="60" w:after="60" w:line="360" w:lineRule="auto"/>
            </w:pPr>
            <w:r/>
            <w:r>
              <w:rPr>
                <w:rFonts w:ascii="Times New Roman" w:hAnsi="Times New Roman" w:cs="Times New Roman"/>
                <w:b w:val="0"/>
                <w:i w:val="0"/>
                <w:sz w:val="20"/>
                <w:u w:val="none"/>
              </w:rPr>
              <w:t>34</w:t>
            </w:r>
          </w:p>
        </w:tc>
      </w:tr>
      <w:tr>
        <w:tc>
          <w:tcPr>
            <w:tcW w:type="dxa" w:w="4320"/>
          </w:tcPr>
          <w:p>
            <w:pPr>
              <w:spacing w:before="60" w:after="60" w:line="360" w:lineRule="auto"/>
            </w:pPr>
            <w:r/>
            <w:r>
              <w:rPr>
                <w:rFonts w:ascii="Times New Roman" w:hAnsi="Times New Roman" w:cs="Times New Roman"/>
                <w:b w:val="0"/>
                <w:i w:val="0"/>
                <w:sz w:val="20"/>
                <w:u w:val="none"/>
              </w:rPr>
              <w:t>Total Required Nursing Staff (WISN-calculated)</w:t>
            </w:r>
          </w:p>
        </w:tc>
        <w:tc>
          <w:tcPr>
            <w:tcW w:type="dxa" w:w="4320"/>
          </w:tcPr>
          <w:p>
            <w:pPr>
              <w:spacing w:before="60" w:after="60" w:line="360" w:lineRule="auto"/>
            </w:pPr>
            <w:r/>
            <w:r>
              <w:rPr>
                <w:rFonts w:ascii="Times New Roman" w:hAnsi="Times New Roman" w:cs="Times New Roman"/>
                <w:b w:val="0"/>
                <w:i w:val="0"/>
                <w:sz w:val="20"/>
                <w:u w:val="none"/>
              </w:rPr>
              <w:t>37.93</w:t>
            </w:r>
          </w:p>
        </w:tc>
      </w:tr>
      <w:tr>
        <w:tc>
          <w:tcPr>
            <w:tcW w:type="dxa" w:w="4320"/>
          </w:tcPr>
          <w:p>
            <w:pPr>
              <w:spacing w:before="60" w:after="60" w:line="360" w:lineRule="auto"/>
            </w:pPr>
            <w:r/>
            <w:r>
              <w:rPr>
                <w:rFonts w:ascii="Times New Roman" w:hAnsi="Times New Roman" w:cs="Times New Roman"/>
                <w:b w:val="0"/>
                <w:i w:val="0"/>
                <w:sz w:val="20"/>
                <w:u w:val="none"/>
              </w:rPr>
              <w:t>Facility WISN Ratio</w:t>
            </w:r>
          </w:p>
        </w:tc>
        <w:tc>
          <w:tcPr>
            <w:tcW w:type="dxa" w:w="4320"/>
          </w:tcPr>
          <w:p>
            <w:pPr>
              <w:spacing w:before="60" w:after="60" w:line="360" w:lineRule="auto"/>
            </w:pPr>
            <w:r/>
            <w:r>
              <w:rPr>
                <w:rFonts w:ascii="Times New Roman" w:hAnsi="Times New Roman" w:cs="Times New Roman"/>
                <w:b w:val="0"/>
                <w:i w:val="0"/>
                <w:sz w:val="20"/>
                <w:u w:val="none"/>
              </w:rPr>
              <w:t>0.90 (Borderline)</w:t>
            </w:r>
          </w:p>
        </w:tc>
      </w:tr>
      <w:tr>
        <w:tc>
          <w:tcPr>
            <w:tcW w:type="dxa" w:w="4320"/>
          </w:tcPr>
          <w:p>
            <w:pPr>
              <w:spacing w:before="60" w:after="60" w:line="360" w:lineRule="auto"/>
            </w:pPr>
            <w:r/>
            <w:r>
              <w:rPr>
                <w:rFonts w:ascii="Times New Roman" w:hAnsi="Times New Roman" w:cs="Times New Roman"/>
                <w:b w:val="0"/>
                <w:i w:val="0"/>
                <w:sz w:val="20"/>
                <w:u w:val="none"/>
              </w:rPr>
              <w:t>Total Staffing Gap</w:t>
            </w:r>
          </w:p>
        </w:tc>
        <w:tc>
          <w:tcPr>
            <w:tcW w:type="dxa" w:w="4320"/>
          </w:tcPr>
          <w:p>
            <w:pPr>
              <w:spacing w:before="60" w:after="60" w:line="360" w:lineRule="auto"/>
            </w:pPr>
            <w:r/>
            <w:r>
              <w:rPr>
                <w:rFonts w:ascii="Times New Roman" w:hAnsi="Times New Roman" w:cs="Times New Roman"/>
                <w:b w:val="0"/>
                <w:i w:val="0"/>
                <w:sz w:val="20"/>
                <w:u w:val="none"/>
              </w:rPr>
              <w:t>− 3.93 FTE</w:t>
            </w:r>
          </w:p>
        </w:tc>
      </w:tr>
    </w:tbl>
    <w:p>
      <w:pPr/>
      <w:r>
        <w:rPr>
          <w:rFonts w:ascii="Times New Roman" w:hAnsi="Times New Roman" w:cs="Times New Roman"/>
          <w:b w:val="0"/>
          <w:i w:val="0"/>
          <w:sz w:val="24"/>
          <w:u w:val="none"/>
        </w:rPr>
        <w:t>WISN Ratio Interpretation — Status Distribution</w:t>
      </w:r>
    </w:p>
    <w:p>
      <w:pPr>
        <w:spacing w:before="80" w:after="240"/>
        <w:jc w:val="center"/>
      </w:pPr>
      <w:r>
        <w:rPr>
          <w:rFonts w:ascii="Times New Roman" w:hAnsi="Times New Roman" w:cs="Times New Roman"/>
          <w:b w:val="0"/>
          <w:i/>
          <w:sz w:val="24"/>
          <w:u w:val="none"/>
        </w:rPr>
        <w:t>Table 5.5: WISN Ratio Status Distribution</w:t>
      </w:r>
    </w:p>
    <w:tbl>
      <w:tblPr>
        <w:tblStyle w:val="TableGrid"/>
        <w:tblW w:type="auto" w:w="0"/>
        <w:jc w:val="center"/>
        <w:tblLook w:firstColumn="1" w:firstRow="1" w:lastColumn="0" w:lastRow="0" w:noHBand="0" w:noVBand="1" w:val="04A0"/>
      </w:tblPr>
      <w:tblGrid>
        <w:gridCol w:w="2760"/>
        <w:gridCol w:w="2760"/>
        <w:gridCol w:w="2760"/>
      </w:tblGrid>
      <w:tr>
        <w:tc>
          <w:tcPr>
            <w:tcW w:type="dxa" w:w="2880"/>
            <w:shd w:val="clear" w:color="auto" w:fill="D9D9D9"/>
          </w:tcPr>
          <w:p>
            <w:pPr>
              <w:spacing w:before="60" w:after="60" w:line="360" w:lineRule="auto"/>
            </w:pPr>
            <w:r/>
            <w:r>
              <w:rPr>
                <w:rFonts w:ascii="Times New Roman" w:hAnsi="Times New Roman" w:cs="Times New Roman"/>
                <w:b/>
                <w:i w:val="0"/>
                <w:sz w:val="20"/>
                <w:u w:val="none"/>
              </w:rPr>
              <w:t>Status</w:t>
            </w:r>
          </w:p>
        </w:tc>
        <w:tc>
          <w:tcPr>
            <w:tcW w:type="dxa" w:w="2880"/>
            <w:shd w:val="clear" w:color="auto" w:fill="D9D9D9"/>
          </w:tcPr>
          <w:p>
            <w:pPr>
              <w:spacing w:before="60" w:after="60" w:line="360" w:lineRule="auto"/>
            </w:pPr>
            <w:r/>
            <w:r>
              <w:rPr>
                <w:rFonts w:ascii="Times New Roman" w:hAnsi="Times New Roman" w:cs="Times New Roman"/>
                <w:b/>
                <w:i w:val="0"/>
                <w:sz w:val="20"/>
                <w:u w:val="none"/>
              </w:rPr>
              <w:t>Count</w:t>
            </w:r>
          </w:p>
        </w:tc>
        <w:tc>
          <w:tcPr>
            <w:tcW w:type="dxa" w:w="2880"/>
            <w:shd w:val="clear" w:color="auto" w:fill="D9D9D9"/>
          </w:tcPr>
          <w:p>
            <w:pPr>
              <w:spacing w:before="60" w:after="60" w:line="360" w:lineRule="auto"/>
            </w:pPr>
            <w:r/>
            <w:r>
              <w:rPr>
                <w:rFonts w:ascii="Times New Roman" w:hAnsi="Times New Roman" w:cs="Times New Roman"/>
                <w:b/>
                <w:i w:val="0"/>
                <w:sz w:val="20"/>
                <w:u w:val="none"/>
              </w:rPr>
              <w:t>Departments</w:t>
            </w:r>
          </w:p>
        </w:tc>
      </w:tr>
      <w:tr>
        <w:tc>
          <w:tcPr>
            <w:tcW w:type="dxa" w:w="2880"/>
          </w:tcPr>
          <w:p>
            <w:pPr>
              <w:spacing w:before="60" w:after="60" w:line="360" w:lineRule="auto"/>
            </w:pPr>
            <w:r/>
            <w:r>
              <w:rPr>
                <w:rFonts w:ascii="Times New Roman" w:hAnsi="Times New Roman" w:cs="Times New Roman"/>
                <w:b w:val="0"/>
                <w:i w:val="0"/>
                <w:sz w:val="20"/>
                <w:u w:val="none"/>
              </w:rPr>
              <w:t>Critical (Red)</w:t>
            </w:r>
          </w:p>
        </w:tc>
        <w:tc>
          <w:tcPr>
            <w:tcW w:type="dxa" w:w="2880"/>
          </w:tcPr>
          <w:p>
            <w:pPr>
              <w:spacing w:before="60" w:after="60" w:line="360" w:lineRule="auto"/>
            </w:pPr>
            <w:r/>
            <w:r>
              <w:rPr>
                <w:rFonts w:ascii="Times New Roman" w:hAnsi="Times New Roman" w:cs="Times New Roman"/>
                <w:b w:val="0"/>
                <w:i w:val="0"/>
                <w:sz w:val="20"/>
                <w:u w:val="none"/>
              </w:rPr>
              <w:t>2</w:t>
            </w:r>
          </w:p>
        </w:tc>
        <w:tc>
          <w:tcPr>
            <w:tcW w:type="dxa" w:w="2880"/>
          </w:tcPr>
          <w:p>
            <w:pPr>
              <w:spacing w:before="60" w:after="60" w:line="360" w:lineRule="auto"/>
            </w:pPr>
            <w:r/>
            <w:r>
              <w:rPr>
                <w:rFonts w:ascii="Times New Roman" w:hAnsi="Times New Roman" w:cs="Times New Roman"/>
                <w:b w:val="0"/>
                <w:i w:val="0"/>
                <w:sz w:val="20"/>
                <w:u w:val="none"/>
              </w:rPr>
              <w:t>ICU, Emergency Department</w:t>
            </w:r>
          </w:p>
        </w:tc>
      </w:tr>
      <w:tr>
        <w:tc>
          <w:tcPr>
            <w:tcW w:type="dxa" w:w="2880"/>
          </w:tcPr>
          <w:p>
            <w:pPr>
              <w:spacing w:before="60" w:after="60" w:line="360" w:lineRule="auto"/>
            </w:pPr>
            <w:r/>
            <w:r>
              <w:rPr>
                <w:rFonts w:ascii="Times New Roman" w:hAnsi="Times New Roman" w:cs="Times New Roman"/>
                <w:b w:val="0"/>
                <w:i w:val="0"/>
                <w:sz w:val="20"/>
                <w:u w:val="none"/>
              </w:rPr>
              <w:t>Borderline (Yellow)</w:t>
            </w:r>
          </w:p>
        </w:tc>
        <w:tc>
          <w:tcPr>
            <w:tcW w:type="dxa" w:w="2880"/>
          </w:tcPr>
          <w:p>
            <w:pPr>
              <w:spacing w:before="60" w:after="60" w:line="360" w:lineRule="auto"/>
            </w:pPr>
            <w:r/>
            <w:r>
              <w:rPr>
                <w:rFonts w:ascii="Times New Roman" w:hAnsi="Times New Roman" w:cs="Times New Roman"/>
                <w:b w:val="0"/>
                <w:i w:val="0"/>
                <w:sz w:val="20"/>
                <w:u w:val="none"/>
              </w:rPr>
              <w:t>1</w:t>
            </w:r>
          </w:p>
        </w:tc>
        <w:tc>
          <w:tcPr>
            <w:tcW w:type="dxa" w:w="2880"/>
          </w:tcPr>
          <w:p>
            <w:pPr>
              <w:spacing w:before="60" w:after="60" w:line="360" w:lineRule="auto"/>
            </w:pPr>
            <w:r/>
            <w:r>
              <w:rPr>
                <w:rFonts w:ascii="Times New Roman" w:hAnsi="Times New Roman" w:cs="Times New Roman"/>
                <w:b w:val="0"/>
                <w:i w:val="0"/>
                <w:sz w:val="20"/>
                <w:u w:val="none"/>
              </w:rPr>
              <w:t>Surgical Ward</w:t>
            </w:r>
          </w:p>
        </w:tc>
      </w:tr>
      <w:tr>
        <w:tc>
          <w:tcPr>
            <w:tcW w:type="dxa" w:w="2880"/>
          </w:tcPr>
          <w:p>
            <w:pPr>
              <w:spacing w:before="60" w:after="60" w:line="360" w:lineRule="auto"/>
            </w:pPr>
            <w:r/>
            <w:r>
              <w:rPr>
                <w:rFonts w:ascii="Times New Roman" w:hAnsi="Times New Roman" w:cs="Times New Roman"/>
                <w:b w:val="0"/>
                <w:i w:val="0"/>
                <w:sz w:val="20"/>
                <w:u w:val="none"/>
              </w:rPr>
              <w:t>Adequate (Green)</w:t>
            </w:r>
          </w:p>
        </w:tc>
        <w:tc>
          <w:tcPr>
            <w:tcW w:type="dxa" w:w="2880"/>
          </w:tcPr>
          <w:p>
            <w:pPr>
              <w:spacing w:before="60" w:after="60" w:line="360" w:lineRule="auto"/>
            </w:pPr>
            <w:r/>
            <w:r>
              <w:rPr>
                <w:rFonts w:ascii="Times New Roman" w:hAnsi="Times New Roman" w:cs="Times New Roman"/>
                <w:b w:val="0"/>
                <w:i w:val="0"/>
                <w:sz w:val="20"/>
                <w:u w:val="none"/>
              </w:rPr>
              <w:t>0</w:t>
            </w:r>
          </w:p>
        </w:tc>
        <w:tc>
          <w:tcPr>
            <w:tcW w:type="dxa" w:w="2880"/>
          </w:tcPr>
          <w:p>
            <w:pPr>
              <w:spacing w:before="60" w:after="60" w:line="360" w:lineRule="auto"/>
            </w:pPr>
            <w:r/>
            <w:r>
              <w:rPr>
                <w:rFonts w:ascii="Times New Roman" w:hAnsi="Times New Roman" w:cs="Times New Roman"/>
                <w:b w:val="0"/>
                <w:i w:val="0"/>
                <w:sz w:val="20"/>
                <w:u w:val="none"/>
              </w:rPr>
              <w:t>—</w:t>
            </w:r>
          </w:p>
        </w:tc>
      </w:tr>
      <w:tr>
        <w:tc>
          <w:tcPr>
            <w:tcW w:type="dxa" w:w="2880"/>
          </w:tcPr>
          <w:p>
            <w:pPr>
              <w:spacing w:before="60" w:after="60" w:line="360" w:lineRule="auto"/>
            </w:pPr>
            <w:r/>
            <w:r>
              <w:rPr>
                <w:rFonts w:ascii="Times New Roman" w:hAnsi="Times New Roman" w:cs="Times New Roman"/>
                <w:b w:val="0"/>
                <w:i w:val="0"/>
                <w:sz w:val="20"/>
                <w:u w:val="none"/>
              </w:rPr>
              <w:t>Surplus (Blue)</w:t>
            </w:r>
          </w:p>
        </w:tc>
        <w:tc>
          <w:tcPr>
            <w:tcW w:type="dxa" w:w="2880"/>
          </w:tcPr>
          <w:p>
            <w:pPr>
              <w:spacing w:before="60" w:after="60" w:line="360" w:lineRule="auto"/>
            </w:pPr>
            <w:r/>
            <w:r>
              <w:rPr>
                <w:rFonts w:ascii="Times New Roman" w:hAnsi="Times New Roman" w:cs="Times New Roman"/>
                <w:b w:val="0"/>
                <w:i w:val="0"/>
                <w:sz w:val="20"/>
                <w:u w:val="none"/>
              </w:rPr>
              <w:t>1</w:t>
            </w:r>
          </w:p>
        </w:tc>
        <w:tc>
          <w:tcPr>
            <w:tcW w:type="dxa" w:w="2880"/>
          </w:tcPr>
          <w:p>
            <w:pPr>
              <w:spacing w:before="60" w:after="60" w:line="360" w:lineRule="auto"/>
            </w:pPr>
            <w:r/>
            <w:r>
              <w:rPr>
                <w:rFonts w:ascii="Times New Roman" w:hAnsi="Times New Roman" w:cs="Times New Roman"/>
                <w:b w:val="0"/>
                <w:i w:val="0"/>
                <w:sz w:val="20"/>
                <w:u w:val="none"/>
              </w:rPr>
              <w:t>General Medical Ward</w:t>
            </w:r>
          </w:p>
        </w:tc>
      </w:tr>
    </w:tbl>
    <w:p>
      <w:pPr>
        <w:pStyle w:val="Heading2"/>
      </w:pPr>
      <w:r>
        <w:rPr>
          <w:rFonts w:ascii="Times New Roman" w:hAnsi="Times New Roman" w:cs="Times New Roman"/>
          <w:b/>
          <w:i w:val="0"/>
          <w:sz w:val="32"/>
          <w:u w:val="none"/>
        </w:rPr>
        <w:t>5.3 Comparison</w:t>
      </w:r>
    </w:p>
    <w:p>
      <w:pPr/>
      <w:r>
        <w:rPr>
          <w:rFonts w:ascii="Times New Roman" w:hAnsi="Times New Roman" w:cs="Times New Roman"/>
          <w:b w:val="0"/>
          <w:i w:val="0"/>
          <w:sz w:val="24"/>
          <w:u w:val="none"/>
        </w:rPr>
        <w:t>Digital vs. Manual WISN Calculation</w:t>
      </w:r>
    </w:p>
    <w:p>
      <w:pPr/>
      <w:r>
        <w:rPr>
          <w:rFonts w:ascii="Times New Roman" w:hAnsi="Times New Roman" w:cs="Times New Roman"/>
          <w:b w:val="0"/>
          <w:i w:val="0"/>
          <w:sz w:val="24"/>
          <w:u w:val="none"/>
        </w:rPr>
        <w:t>The system's calculations were verified against manual WHO-standard calculations performed independently in a spreadsheet, using the same input data as the seeded departments.</w:t>
      </w:r>
    </w:p>
    <w:p>
      <w:pPr>
        <w:spacing w:before="80" w:after="240"/>
        <w:jc w:val="center"/>
      </w:pPr>
      <w:r>
        <w:rPr>
          <w:rFonts w:ascii="Times New Roman" w:hAnsi="Times New Roman" w:cs="Times New Roman"/>
          <w:b w:val="0"/>
          <w:i/>
          <w:sz w:val="24"/>
          <w:u w:val="none"/>
        </w:rPr>
        <w:t>Table 5.6: Digital vs. Manual Calculation Comparison</w:t>
      </w:r>
    </w:p>
    <w:tbl>
      <w:tblPr>
        <w:tblStyle w:val="TableGrid"/>
        <w:tblW w:type="auto" w:w="0"/>
        <w:jc w:val="center"/>
        <w:tblLook w:firstColumn="1" w:firstRow="1" w:lastColumn="0" w:lastRow="0" w:noHBand="0" w:noVBand="1" w:val="04A0"/>
      </w:tblPr>
      <w:tblGrid>
        <w:gridCol w:w="1656"/>
        <w:gridCol w:w="1656"/>
        <w:gridCol w:w="1656"/>
        <w:gridCol w:w="1656"/>
        <w:gridCol w:w="1656"/>
      </w:tblGrid>
      <w:tr>
        <w:tc>
          <w:tcPr>
            <w:tcW w:type="dxa" w:w="1728"/>
            <w:shd w:val="clear" w:color="auto" w:fill="D9D9D9"/>
          </w:tcPr>
          <w:p>
            <w:pPr>
              <w:spacing w:before="60" w:after="60" w:line="360" w:lineRule="auto"/>
            </w:pPr>
            <w:r/>
            <w:r>
              <w:rPr>
                <w:rFonts w:ascii="Times New Roman" w:hAnsi="Times New Roman" w:cs="Times New Roman"/>
                <w:b/>
                <w:i w:val="0"/>
                <w:sz w:val="20"/>
                <w:u w:val="none"/>
              </w:rPr>
              <w:t>Department</w:t>
            </w:r>
          </w:p>
        </w:tc>
        <w:tc>
          <w:tcPr>
            <w:tcW w:type="dxa" w:w="1728"/>
            <w:shd w:val="clear" w:color="auto" w:fill="D9D9D9"/>
          </w:tcPr>
          <w:p>
            <w:pPr>
              <w:spacing w:before="60" w:after="60" w:line="360" w:lineRule="auto"/>
            </w:pPr>
            <w:r/>
            <w:r>
              <w:rPr>
                <w:rFonts w:ascii="Times New Roman" w:hAnsi="Times New Roman" w:cs="Times New Roman"/>
                <w:b/>
                <w:i w:val="0"/>
                <w:sz w:val="20"/>
                <w:u w:val="none"/>
              </w:rPr>
              <w:t>Manual Required</w:t>
            </w:r>
          </w:p>
        </w:tc>
        <w:tc>
          <w:tcPr>
            <w:tcW w:type="dxa" w:w="1728"/>
            <w:shd w:val="clear" w:color="auto" w:fill="D9D9D9"/>
          </w:tcPr>
          <w:p>
            <w:pPr>
              <w:spacing w:before="60" w:after="60" w:line="360" w:lineRule="auto"/>
            </w:pPr>
            <w:r/>
            <w:r>
              <w:rPr>
                <w:rFonts w:ascii="Times New Roman" w:hAnsi="Times New Roman" w:cs="Times New Roman"/>
                <w:b/>
                <w:i w:val="0"/>
                <w:sz w:val="20"/>
                <w:u w:val="none"/>
              </w:rPr>
              <w:t>Digital Required</w:t>
            </w:r>
          </w:p>
        </w:tc>
        <w:tc>
          <w:tcPr>
            <w:tcW w:type="dxa" w:w="1728"/>
            <w:shd w:val="clear" w:color="auto" w:fill="D9D9D9"/>
          </w:tcPr>
          <w:p>
            <w:pPr>
              <w:spacing w:before="60" w:after="60" w:line="360" w:lineRule="auto"/>
            </w:pPr>
            <w:r/>
            <w:r>
              <w:rPr>
                <w:rFonts w:ascii="Times New Roman" w:hAnsi="Times New Roman" w:cs="Times New Roman"/>
                <w:b/>
                <w:i w:val="0"/>
                <w:sz w:val="20"/>
                <w:u w:val="none"/>
              </w:rPr>
              <w:t>Difference</w:t>
            </w:r>
          </w:p>
        </w:tc>
        <w:tc>
          <w:tcPr>
            <w:tcW w:type="dxa" w:w="1728"/>
            <w:shd w:val="clear" w:color="auto" w:fill="D9D9D9"/>
          </w:tcPr>
          <w:p>
            <w:pPr>
              <w:spacing w:before="60" w:after="60" w:line="360" w:lineRule="auto"/>
            </w:pPr>
            <w:r/>
            <w:r>
              <w:rPr>
                <w:rFonts w:ascii="Times New Roman" w:hAnsi="Times New Roman" w:cs="Times New Roman"/>
                <w:b/>
                <w:i w:val="0"/>
                <w:sz w:val="20"/>
                <w:u w:val="none"/>
              </w:rPr>
              <w:t>Result</w:t>
            </w:r>
          </w:p>
        </w:tc>
      </w:tr>
      <w:tr>
        <w:tc>
          <w:tcPr>
            <w:tcW w:type="dxa" w:w="1728"/>
          </w:tcPr>
          <w:p>
            <w:pPr>
              <w:spacing w:before="60" w:after="60" w:line="360" w:lineRule="auto"/>
            </w:pPr>
            <w:r/>
            <w:r>
              <w:rPr>
                <w:rFonts w:ascii="Times New Roman" w:hAnsi="Times New Roman" w:cs="Times New Roman"/>
                <w:b w:val="0"/>
                <w:i w:val="0"/>
                <w:sz w:val="20"/>
                <w:u w:val="none"/>
              </w:rPr>
              <w:t>ICU</w:t>
            </w:r>
          </w:p>
        </w:tc>
        <w:tc>
          <w:tcPr>
            <w:tcW w:type="dxa" w:w="1728"/>
          </w:tcPr>
          <w:p>
            <w:pPr>
              <w:spacing w:before="60" w:after="60" w:line="360" w:lineRule="auto"/>
            </w:pPr>
            <w:r/>
            <w:r>
              <w:rPr>
                <w:rFonts w:ascii="Times New Roman" w:hAnsi="Times New Roman" w:cs="Times New Roman"/>
                <w:b w:val="0"/>
                <w:i w:val="0"/>
                <w:sz w:val="20"/>
                <w:u w:val="none"/>
              </w:rPr>
              <w:t>9.10</w:t>
            </w:r>
          </w:p>
        </w:tc>
        <w:tc>
          <w:tcPr>
            <w:tcW w:type="dxa" w:w="1728"/>
          </w:tcPr>
          <w:p>
            <w:pPr>
              <w:spacing w:before="60" w:after="60" w:line="360" w:lineRule="auto"/>
            </w:pPr>
            <w:r/>
            <w:r>
              <w:rPr>
                <w:rFonts w:ascii="Times New Roman" w:hAnsi="Times New Roman" w:cs="Times New Roman"/>
                <w:b w:val="0"/>
                <w:i w:val="0"/>
                <w:sz w:val="20"/>
                <w:u w:val="none"/>
              </w:rPr>
              <w:t>9.10</w:t>
            </w:r>
          </w:p>
        </w:tc>
        <w:tc>
          <w:tcPr>
            <w:tcW w:type="dxa" w:w="1728"/>
          </w:tcPr>
          <w:p>
            <w:pPr>
              <w:spacing w:before="60" w:after="60" w:line="360" w:lineRule="auto"/>
            </w:pPr>
            <w:r/>
            <w:r>
              <w:rPr>
                <w:rFonts w:ascii="Times New Roman" w:hAnsi="Times New Roman" w:cs="Times New Roman"/>
                <w:b w:val="0"/>
                <w:i w:val="0"/>
                <w:sz w:val="20"/>
                <w:u w:val="none"/>
              </w:rPr>
              <w:t>0.00</w:t>
            </w:r>
          </w:p>
        </w:tc>
        <w:tc>
          <w:tcPr>
            <w:tcW w:type="dxa" w:w="1728"/>
          </w:tcPr>
          <w:p>
            <w:pPr>
              <w:spacing w:before="60" w:after="60" w:line="360" w:lineRule="auto"/>
            </w:pPr>
            <w:r/>
            <w:r>
              <w:rPr>
                <w:rFonts w:ascii="Times New Roman" w:hAnsi="Times New Roman" w:cs="Times New Roman"/>
                <w:b w:val="0"/>
                <w:i w:val="0"/>
                <w:sz w:val="20"/>
                <w:u w:val="none"/>
              </w:rPr>
              <w:t>Exact match</w:t>
            </w:r>
          </w:p>
        </w:tc>
      </w:tr>
      <w:tr>
        <w:tc>
          <w:tcPr>
            <w:tcW w:type="dxa" w:w="1728"/>
          </w:tcPr>
          <w:p>
            <w:pPr>
              <w:spacing w:before="60" w:after="60" w:line="360" w:lineRule="auto"/>
            </w:pPr>
            <w:r/>
            <w:r>
              <w:rPr>
                <w:rFonts w:ascii="Times New Roman" w:hAnsi="Times New Roman" w:cs="Times New Roman"/>
                <w:b w:val="0"/>
                <w:i w:val="0"/>
                <w:sz w:val="20"/>
                <w:u w:val="none"/>
              </w:rPr>
              <w:t>Emergency Department</w:t>
            </w:r>
          </w:p>
        </w:tc>
        <w:tc>
          <w:tcPr>
            <w:tcW w:type="dxa" w:w="1728"/>
          </w:tcPr>
          <w:p>
            <w:pPr>
              <w:spacing w:before="60" w:after="60" w:line="360" w:lineRule="auto"/>
            </w:pPr>
            <w:r/>
            <w:r>
              <w:rPr>
                <w:rFonts w:ascii="Times New Roman" w:hAnsi="Times New Roman" w:cs="Times New Roman"/>
                <w:b w:val="0"/>
                <w:i w:val="0"/>
                <w:sz w:val="20"/>
                <w:u w:val="none"/>
              </w:rPr>
              <w:t>8.29</w:t>
            </w:r>
          </w:p>
        </w:tc>
        <w:tc>
          <w:tcPr>
            <w:tcW w:type="dxa" w:w="1728"/>
          </w:tcPr>
          <w:p>
            <w:pPr>
              <w:spacing w:before="60" w:after="60" w:line="360" w:lineRule="auto"/>
            </w:pPr>
            <w:r/>
            <w:r>
              <w:rPr>
                <w:rFonts w:ascii="Times New Roman" w:hAnsi="Times New Roman" w:cs="Times New Roman"/>
                <w:b w:val="0"/>
                <w:i w:val="0"/>
                <w:sz w:val="20"/>
                <w:u w:val="none"/>
              </w:rPr>
              <w:t>8.29</w:t>
            </w:r>
          </w:p>
        </w:tc>
        <w:tc>
          <w:tcPr>
            <w:tcW w:type="dxa" w:w="1728"/>
          </w:tcPr>
          <w:p>
            <w:pPr>
              <w:spacing w:before="60" w:after="60" w:line="360" w:lineRule="auto"/>
            </w:pPr>
            <w:r/>
            <w:r>
              <w:rPr>
                <w:rFonts w:ascii="Times New Roman" w:hAnsi="Times New Roman" w:cs="Times New Roman"/>
                <w:b w:val="0"/>
                <w:i w:val="0"/>
                <w:sz w:val="20"/>
                <w:u w:val="none"/>
              </w:rPr>
              <w:t>0.00</w:t>
            </w:r>
          </w:p>
        </w:tc>
        <w:tc>
          <w:tcPr>
            <w:tcW w:type="dxa" w:w="1728"/>
          </w:tcPr>
          <w:p>
            <w:pPr>
              <w:spacing w:before="60" w:after="60" w:line="360" w:lineRule="auto"/>
            </w:pPr>
            <w:r/>
            <w:r>
              <w:rPr>
                <w:rFonts w:ascii="Times New Roman" w:hAnsi="Times New Roman" w:cs="Times New Roman"/>
                <w:b w:val="0"/>
                <w:i w:val="0"/>
                <w:sz w:val="20"/>
                <w:u w:val="none"/>
              </w:rPr>
              <w:t>Exact match</w:t>
            </w:r>
          </w:p>
        </w:tc>
      </w:tr>
      <w:tr>
        <w:tc>
          <w:tcPr>
            <w:tcW w:type="dxa" w:w="1728"/>
          </w:tcPr>
          <w:p>
            <w:pPr>
              <w:spacing w:before="60" w:after="60" w:line="360" w:lineRule="auto"/>
            </w:pPr>
            <w:r/>
            <w:r>
              <w:rPr>
                <w:rFonts w:ascii="Times New Roman" w:hAnsi="Times New Roman" w:cs="Times New Roman"/>
                <w:b w:val="0"/>
                <w:i w:val="0"/>
                <w:sz w:val="20"/>
                <w:u w:val="none"/>
              </w:rPr>
              <w:t>General Medical Ward</w:t>
            </w:r>
          </w:p>
        </w:tc>
        <w:tc>
          <w:tcPr>
            <w:tcW w:type="dxa" w:w="1728"/>
          </w:tcPr>
          <w:p>
            <w:pPr>
              <w:spacing w:before="60" w:after="60" w:line="360" w:lineRule="auto"/>
            </w:pPr>
            <w:r/>
            <w:r>
              <w:rPr>
                <w:rFonts w:ascii="Times New Roman" w:hAnsi="Times New Roman" w:cs="Times New Roman"/>
                <w:b w:val="0"/>
                <w:i w:val="0"/>
                <w:sz w:val="20"/>
                <w:u w:val="none"/>
              </w:rPr>
              <w:t>10.47</w:t>
            </w:r>
          </w:p>
        </w:tc>
        <w:tc>
          <w:tcPr>
            <w:tcW w:type="dxa" w:w="1728"/>
          </w:tcPr>
          <w:p>
            <w:pPr>
              <w:spacing w:before="60" w:after="60" w:line="360" w:lineRule="auto"/>
            </w:pPr>
            <w:r/>
            <w:r>
              <w:rPr>
                <w:rFonts w:ascii="Times New Roman" w:hAnsi="Times New Roman" w:cs="Times New Roman"/>
                <w:b w:val="0"/>
                <w:i w:val="0"/>
                <w:sz w:val="20"/>
                <w:u w:val="none"/>
              </w:rPr>
              <w:t>10.47</w:t>
            </w:r>
          </w:p>
        </w:tc>
        <w:tc>
          <w:tcPr>
            <w:tcW w:type="dxa" w:w="1728"/>
          </w:tcPr>
          <w:p>
            <w:pPr>
              <w:spacing w:before="60" w:after="60" w:line="360" w:lineRule="auto"/>
            </w:pPr>
            <w:r/>
            <w:r>
              <w:rPr>
                <w:rFonts w:ascii="Times New Roman" w:hAnsi="Times New Roman" w:cs="Times New Roman"/>
                <w:b w:val="0"/>
                <w:i w:val="0"/>
                <w:sz w:val="20"/>
                <w:u w:val="none"/>
              </w:rPr>
              <w:t>0.00</w:t>
            </w:r>
          </w:p>
        </w:tc>
        <w:tc>
          <w:tcPr>
            <w:tcW w:type="dxa" w:w="1728"/>
          </w:tcPr>
          <w:p>
            <w:pPr>
              <w:spacing w:before="60" w:after="60" w:line="360" w:lineRule="auto"/>
            </w:pPr>
            <w:r/>
            <w:r>
              <w:rPr>
                <w:rFonts w:ascii="Times New Roman" w:hAnsi="Times New Roman" w:cs="Times New Roman"/>
                <w:b w:val="0"/>
                <w:i w:val="0"/>
                <w:sz w:val="20"/>
                <w:u w:val="none"/>
              </w:rPr>
              <w:t>Exact match</w:t>
            </w:r>
          </w:p>
        </w:tc>
      </w:tr>
      <w:tr>
        <w:tc>
          <w:tcPr>
            <w:tcW w:type="dxa" w:w="1728"/>
          </w:tcPr>
          <w:p>
            <w:pPr>
              <w:spacing w:before="60" w:after="60" w:line="360" w:lineRule="auto"/>
            </w:pPr>
            <w:r/>
            <w:r>
              <w:rPr>
                <w:rFonts w:ascii="Times New Roman" w:hAnsi="Times New Roman" w:cs="Times New Roman"/>
                <w:b w:val="0"/>
                <w:i w:val="0"/>
                <w:sz w:val="20"/>
                <w:u w:val="none"/>
              </w:rPr>
              <w:t>Surgical Ward</w:t>
            </w:r>
          </w:p>
        </w:tc>
        <w:tc>
          <w:tcPr>
            <w:tcW w:type="dxa" w:w="1728"/>
          </w:tcPr>
          <w:p>
            <w:pPr>
              <w:spacing w:before="60" w:after="60" w:line="360" w:lineRule="auto"/>
            </w:pPr>
            <w:r/>
            <w:r>
              <w:rPr>
                <w:rFonts w:ascii="Times New Roman" w:hAnsi="Times New Roman" w:cs="Times New Roman"/>
                <w:b w:val="0"/>
                <w:i w:val="0"/>
                <w:sz w:val="20"/>
                <w:u w:val="none"/>
              </w:rPr>
              <w:t>10.07</w:t>
            </w:r>
          </w:p>
        </w:tc>
        <w:tc>
          <w:tcPr>
            <w:tcW w:type="dxa" w:w="1728"/>
          </w:tcPr>
          <w:p>
            <w:pPr>
              <w:spacing w:before="60" w:after="60" w:line="360" w:lineRule="auto"/>
            </w:pPr>
            <w:r/>
            <w:r>
              <w:rPr>
                <w:rFonts w:ascii="Times New Roman" w:hAnsi="Times New Roman" w:cs="Times New Roman"/>
                <w:b w:val="0"/>
                <w:i w:val="0"/>
                <w:sz w:val="20"/>
                <w:u w:val="none"/>
              </w:rPr>
              <w:t>10.07</w:t>
            </w:r>
          </w:p>
        </w:tc>
        <w:tc>
          <w:tcPr>
            <w:tcW w:type="dxa" w:w="1728"/>
          </w:tcPr>
          <w:p>
            <w:pPr>
              <w:spacing w:before="60" w:after="60" w:line="360" w:lineRule="auto"/>
            </w:pPr>
            <w:r/>
            <w:r>
              <w:rPr>
                <w:rFonts w:ascii="Times New Roman" w:hAnsi="Times New Roman" w:cs="Times New Roman"/>
                <w:b w:val="0"/>
                <w:i w:val="0"/>
                <w:sz w:val="20"/>
                <w:u w:val="none"/>
              </w:rPr>
              <w:t>0.00</w:t>
            </w:r>
          </w:p>
        </w:tc>
        <w:tc>
          <w:tcPr>
            <w:tcW w:type="dxa" w:w="1728"/>
          </w:tcPr>
          <w:p>
            <w:pPr>
              <w:spacing w:before="60" w:after="60" w:line="360" w:lineRule="auto"/>
            </w:pPr>
            <w:r/>
            <w:r>
              <w:rPr>
                <w:rFonts w:ascii="Times New Roman" w:hAnsi="Times New Roman" w:cs="Times New Roman"/>
                <w:b w:val="0"/>
                <w:i w:val="0"/>
                <w:sz w:val="20"/>
                <w:u w:val="none"/>
              </w:rPr>
              <w:t>Exact match</w:t>
            </w:r>
          </w:p>
        </w:tc>
      </w:tr>
    </w:tbl>
    <w:p>
      <w:pPr/>
      <w:r>
        <w:rPr>
          <w:rFonts w:ascii="Times New Roman" w:hAnsi="Times New Roman" w:cs="Times New Roman"/>
          <w:b w:val="0"/>
          <w:i w:val="0"/>
          <w:sz w:val="24"/>
          <w:u w:val="none"/>
        </w:rPr>
        <w:t>All digital calculations matched the manual calculations with zero discrepancy, confirming the arithmetic accuracy of the implementation.</w:t>
      </w:r>
    </w:p>
    <w:p>
      <w:pPr/>
      <w:r>
        <w:rPr>
          <w:rFonts w:ascii="Times New Roman" w:hAnsi="Times New Roman" w:cs="Times New Roman"/>
          <w:b w:val="0"/>
          <w:i w:val="0"/>
          <w:sz w:val="24"/>
          <w:u w:val="none"/>
        </w:rPr>
        <w:t>Comparison Against Nepal Staffing Norms</w:t>
      </w:r>
    </w:p>
    <w:p>
      <w:pPr>
        <w:spacing w:before="80" w:after="240"/>
        <w:jc w:val="center"/>
      </w:pPr>
      <w:r>
        <w:rPr>
          <w:rFonts w:ascii="Times New Roman" w:hAnsi="Times New Roman" w:cs="Times New Roman"/>
          <w:b w:val="0"/>
          <w:i/>
          <w:sz w:val="24"/>
          <w:u w:val="none"/>
        </w:rPr>
        <w:t>Table 5.7: Comparison Against Nepal Staffing Norms (NHFS 2021)</w:t>
      </w:r>
    </w:p>
    <w:tbl>
      <w:tblPr>
        <w:tblStyle w:val="TableGrid"/>
        <w:tblW w:type="auto" w:w="0"/>
        <w:jc w:val="center"/>
        <w:tblLook w:firstColumn="1" w:firstRow="1" w:lastColumn="0" w:lastRow="0" w:noHBand="0" w:noVBand="1" w:val="04A0"/>
      </w:tblPr>
      <w:tblGrid>
        <w:gridCol w:w="2070"/>
        <w:gridCol w:w="2070"/>
        <w:gridCol w:w="2070"/>
        <w:gridCol w:w="2070"/>
      </w:tblGrid>
      <w:tr>
        <w:tc>
          <w:tcPr>
            <w:tcW w:type="dxa" w:w="2160"/>
            <w:shd w:val="clear" w:color="auto" w:fill="D9D9D9"/>
          </w:tcPr>
          <w:p>
            <w:pPr>
              <w:spacing w:before="60" w:after="60" w:line="360" w:lineRule="auto"/>
            </w:pPr>
            <w:r/>
            <w:r>
              <w:rPr>
                <w:rFonts w:ascii="Times New Roman" w:hAnsi="Times New Roman" w:cs="Times New Roman"/>
                <w:b/>
                <w:i w:val="0"/>
                <w:sz w:val="20"/>
                <w:u w:val="none"/>
              </w:rPr>
              <w:t>Facility Type</w:t>
            </w:r>
          </w:p>
        </w:tc>
        <w:tc>
          <w:tcPr>
            <w:tcW w:type="dxa" w:w="2160"/>
            <w:shd w:val="clear" w:color="auto" w:fill="D9D9D9"/>
          </w:tcPr>
          <w:p>
            <w:pPr>
              <w:spacing w:before="60" w:after="60" w:line="360" w:lineRule="auto"/>
            </w:pPr>
            <w:r/>
            <w:r>
              <w:rPr>
                <w:rFonts w:ascii="Times New Roman" w:hAnsi="Times New Roman" w:cs="Times New Roman"/>
                <w:b/>
                <w:i w:val="0"/>
                <w:sz w:val="20"/>
                <w:u w:val="none"/>
              </w:rPr>
              <w:t>NHFS Median Nurses</w:t>
            </w:r>
          </w:p>
        </w:tc>
        <w:tc>
          <w:tcPr>
            <w:tcW w:type="dxa" w:w="2160"/>
            <w:shd w:val="clear" w:color="auto" w:fill="D9D9D9"/>
          </w:tcPr>
          <w:p>
            <w:pPr>
              <w:spacing w:before="60" w:after="60" w:line="360" w:lineRule="auto"/>
            </w:pPr>
            <w:r/>
            <w:r>
              <w:rPr>
                <w:rFonts w:ascii="Times New Roman" w:hAnsi="Times New Roman" w:cs="Times New Roman"/>
                <w:b/>
                <w:i w:val="0"/>
                <w:sz w:val="20"/>
                <w:u w:val="none"/>
              </w:rPr>
              <w:t>WISN-Calculated Required</w:t>
            </w:r>
          </w:p>
        </w:tc>
        <w:tc>
          <w:tcPr>
            <w:tcW w:type="dxa" w:w="2160"/>
            <w:shd w:val="clear" w:color="auto" w:fill="D9D9D9"/>
          </w:tcPr>
          <w:p>
            <w:pPr>
              <w:spacing w:before="60" w:after="60" w:line="360" w:lineRule="auto"/>
            </w:pPr>
            <w:r/>
            <w:r>
              <w:rPr>
                <w:rFonts w:ascii="Times New Roman" w:hAnsi="Times New Roman" w:cs="Times New Roman"/>
                <w:b/>
                <w:i w:val="0"/>
                <w:sz w:val="20"/>
                <w:u w:val="none"/>
              </w:rPr>
              <w:t>Gap</w:t>
            </w:r>
          </w:p>
        </w:tc>
      </w:tr>
      <w:tr>
        <w:tc>
          <w:tcPr>
            <w:tcW w:type="dxa" w:w="2160"/>
          </w:tcPr>
          <w:p>
            <w:pPr>
              <w:spacing w:before="60" w:after="60" w:line="360" w:lineRule="auto"/>
            </w:pPr>
            <w:r/>
            <w:r>
              <w:rPr>
                <w:rFonts w:ascii="Times New Roman" w:hAnsi="Times New Roman" w:cs="Times New Roman"/>
                <w:b w:val="0"/>
                <w:i w:val="0"/>
                <w:sz w:val="20"/>
                <w:u w:val="none"/>
              </w:rPr>
              <w:t>Federal/Provincial-Level Hospital</w:t>
            </w:r>
          </w:p>
        </w:tc>
        <w:tc>
          <w:tcPr>
            <w:tcW w:type="dxa" w:w="2160"/>
          </w:tcPr>
          <w:p>
            <w:pPr>
              <w:spacing w:before="60" w:after="60" w:line="360" w:lineRule="auto"/>
            </w:pPr>
            <w:r/>
            <w:r>
              <w:rPr>
                <w:rFonts w:ascii="Times New Roman" w:hAnsi="Times New Roman" w:cs="Times New Roman"/>
                <w:b w:val="0"/>
                <w:i w:val="0"/>
                <w:sz w:val="20"/>
                <w:u w:val="none"/>
              </w:rPr>
              <w:t>9.9</w:t>
            </w:r>
          </w:p>
        </w:tc>
        <w:tc>
          <w:tcPr>
            <w:tcW w:type="dxa" w:w="2160"/>
          </w:tcPr>
          <w:p>
            <w:pPr>
              <w:spacing w:before="60" w:after="60" w:line="360" w:lineRule="auto"/>
            </w:pPr>
            <w:r/>
            <w:r>
              <w:rPr>
                <w:rFonts w:ascii="Times New Roman" w:hAnsi="Times New Roman" w:cs="Times New Roman"/>
                <w:b w:val="0"/>
                <w:i w:val="0"/>
                <w:sz w:val="20"/>
                <w:u w:val="none"/>
              </w:rPr>
              <w:t>~37.93 (facility total)</w:t>
            </w:r>
          </w:p>
        </w:tc>
        <w:tc>
          <w:tcPr>
            <w:tcW w:type="dxa" w:w="2160"/>
          </w:tcPr>
          <w:p>
            <w:pPr>
              <w:spacing w:before="60" w:after="60" w:line="360" w:lineRule="auto"/>
            </w:pPr>
            <w:r/>
            <w:r>
              <w:rPr>
                <w:rFonts w:ascii="Times New Roman" w:hAnsi="Times New Roman" w:cs="Times New Roman"/>
                <w:b w:val="0"/>
                <w:i w:val="0"/>
                <w:sz w:val="20"/>
                <w:u w:val="none"/>
              </w:rPr>
              <w:t>N/A (different unit)</w:t>
            </w:r>
          </w:p>
        </w:tc>
      </w:tr>
      <w:tr>
        <w:tc>
          <w:tcPr>
            <w:tcW w:type="dxa" w:w="2160"/>
          </w:tcPr>
          <w:p>
            <w:pPr>
              <w:spacing w:before="60" w:after="60" w:line="360" w:lineRule="auto"/>
            </w:pPr>
            <w:r/>
            <w:r>
              <w:rPr>
                <w:rFonts w:ascii="Times New Roman" w:hAnsi="Times New Roman" w:cs="Times New Roman"/>
                <w:b w:val="0"/>
                <w:i w:val="0"/>
                <w:sz w:val="20"/>
                <w:u w:val="none"/>
              </w:rPr>
              <w:t>Local-Level Hospital</w:t>
            </w:r>
          </w:p>
        </w:tc>
        <w:tc>
          <w:tcPr>
            <w:tcW w:type="dxa" w:w="2160"/>
          </w:tcPr>
          <w:p>
            <w:pPr>
              <w:spacing w:before="60" w:after="60" w:line="360" w:lineRule="auto"/>
            </w:pPr>
            <w:r/>
            <w:r>
              <w:rPr>
                <w:rFonts w:ascii="Times New Roman" w:hAnsi="Times New Roman" w:cs="Times New Roman"/>
                <w:b w:val="0"/>
                <w:i w:val="0"/>
                <w:sz w:val="20"/>
                <w:u w:val="none"/>
              </w:rPr>
              <w:t>4.0</w:t>
            </w:r>
          </w:p>
        </w:tc>
        <w:tc>
          <w:tcPr>
            <w:tcW w:type="dxa" w:w="2160"/>
          </w:tcPr>
          <w:p>
            <w:pPr>
              <w:spacing w:before="60" w:after="60" w:line="360" w:lineRule="auto"/>
            </w:pPr>
            <w:r/>
            <w:r>
              <w:rPr>
                <w:rFonts w:ascii="Times New Roman" w:hAnsi="Times New Roman" w:cs="Times New Roman"/>
                <w:b w:val="0"/>
                <w:i w:val="0"/>
                <w:sz w:val="20"/>
                <w:u w:val="none"/>
              </w:rPr>
              <w:t>8–10 per department</w:t>
            </w:r>
          </w:p>
        </w:tc>
        <w:tc>
          <w:tcPr>
            <w:tcW w:type="dxa" w:w="2160"/>
          </w:tcPr>
          <w:p>
            <w:pPr>
              <w:spacing w:before="60" w:after="60" w:line="360" w:lineRule="auto"/>
            </w:pPr>
            <w:r/>
            <w:r>
              <w:rPr>
                <w:rFonts w:ascii="Times New Roman" w:hAnsi="Times New Roman" w:cs="Times New Roman"/>
                <w:b w:val="0"/>
                <w:i w:val="0"/>
                <w:sz w:val="20"/>
                <w:u w:val="none"/>
              </w:rPr>
              <w:t>Significant shortfall at local level</w:t>
            </w:r>
          </w:p>
        </w:tc>
      </w:tr>
    </w:tbl>
    <w:p>
      <w:pPr/>
      <w:r>
        <w:rPr>
          <w:rFonts w:ascii="Times New Roman" w:hAnsi="Times New Roman" w:cs="Times New Roman"/>
          <w:b w:val="0"/>
          <w:i w:val="0"/>
          <w:sz w:val="24"/>
          <w:u w:val="none"/>
        </w:rPr>
        <w:t>Direct comparison at the facility level is not possible, since the NHFS reports facility-wide medians while WISN calculates per-department requirements. However, the seeded current staff values (6–11 per department) fall within the range reported by the NHFS for provincial and local-level hospitals, confirming that the demonstration data is representative of Nepalese hospital conditions.</w:t>
      </w:r>
    </w:p>
    <w:p>
      <w:pPr>
        <w:pStyle w:val="Heading2"/>
      </w:pPr>
      <w:r>
        <w:rPr>
          <w:rFonts w:ascii="Times New Roman" w:hAnsi="Times New Roman" w:cs="Times New Roman"/>
          <w:b/>
          <w:i w:val="0"/>
          <w:sz w:val="32"/>
          <w:u w:val="none"/>
        </w:rPr>
        <w:t>5.4 Discussion of Findings</w:t>
      </w:r>
    </w:p>
    <w:p>
      <w:pPr/>
      <w:r>
        <w:rPr>
          <w:rFonts w:ascii="Times New Roman" w:hAnsi="Times New Roman" w:cs="Times New Roman"/>
          <w:b w:val="0"/>
          <w:i w:val="0"/>
          <w:sz w:val="24"/>
          <w:u w:val="none"/>
        </w:rPr>
        <w:t>Critical staffing gaps in high-acuity departments: The ICU (WISN ratio 0.66) and Emergency Department (0.84) show critical understaffing. These departments handle the highest-acuity patients yet have the largest gap between current staff and WISN-calculated requirements — a finding consistent with the NHFS observation that emergency departments reported the sharpest staffing deficits.</w:t>
      </w:r>
    </w:p>
    <w:p>
      <w:pPr/>
      <w:r>
        <w:rPr>
          <w:rFonts w:ascii="Times New Roman" w:hAnsi="Times New Roman" w:cs="Times New Roman"/>
          <w:b w:val="0"/>
          <w:i w:val="0"/>
          <w:sz w:val="24"/>
          <w:u w:val="none"/>
        </w:rPr>
        <w:t>Support activity impact: CAF values range from 1.143 to 1.200, meaning support activities (handover, rounds, documentation) account for 14%–20% of each nurse's effective working time. This non-trivial overhead confirms that a staffing model based purely on patient volume would systematically underestimate requirements.</w:t>
      </w:r>
    </w:p>
    <w:p>
      <w:pPr/>
      <w:r>
        <w:rPr>
          <w:rFonts w:ascii="Times New Roman" w:hAnsi="Times New Roman" w:cs="Times New Roman"/>
          <w:b w:val="0"/>
          <w:i w:val="0"/>
          <w:sz w:val="24"/>
          <w:u w:val="none"/>
        </w:rPr>
        <w:t>Uneven staffing distribution: Despite the General Medical Ward showing a surplus (ratio 1.05), the facility as a whole faces a borderline staffing situation (ratio 0.90). This pattern suggests that staff may be allocated across departments based on historical precedent rather than workload analysis.</w:t>
      </w:r>
    </w:p>
    <w:p>
      <w:pPr/>
      <w:r>
        <w:rPr>
          <w:rFonts w:ascii="Times New Roman" w:hAnsi="Times New Roman" w:cs="Times New Roman"/>
          <w:b w:val="0"/>
          <w:i w:val="0"/>
          <w:sz w:val="24"/>
          <w:u w:val="none"/>
        </w:rPr>
        <w:t>Methodology validation: The exact match between digital and manual calculations validates the correctness of the implementation. There is no discrepancy between the formula as specified in the WHO WISN manual and as coded in WisnCalculatorService.</w:t>
      </w:r>
    </w:p>
    <w:p>
      <w:pPr/>
      <w:r>
        <w:rPr>
          <w:rFonts w:ascii="Times New Roman" w:hAnsi="Times New Roman" w:cs="Times New Roman"/>
          <w:b w:val="0"/>
          <w:i w:val="0"/>
          <w:sz w:val="24"/>
          <w:u w:val="none"/>
        </w:rPr>
        <w:t>Workforce planning implications: A facility-level WISN ratio of 0.90 indicates a borderline overall staffing situation. Without intervention, continued growth in patient volumes — projected at 5–8% annually for Kathmandu Valley hospitals — will push this ratio into the critical range within two to three years.</w:t>
      </w:r>
    </w:p>
    <w:p>
      <w:pPr/>
      <w:r>
        <w:rPr>
          <w:rFonts w:ascii="Times New Roman" w:hAnsi="Times New Roman" w:cs="Times New Roman"/>
          <w:b w:val="0"/>
          <w:i w:val="0"/>
          <w:sz w:val="24"/>
          <w:u w:val="none"/>
        </w:rPr>
        <w:t>Limitations: These results are based on simulated data derived from published literature and WHO standard time values. Actual facility data would be needed to generate actionable staffing plans. Additionally, the prototype currently models only nursing staff; extending to other cadres (physicians, support workers) would require additional workload categories.</w:t>
      </w:r>
    </w:p>
    <w:p>
      <w:pPr>
        <w:pStyle w:val="Heading2"/>
      </w:pPr>
      <w:r>
        <w:rPr>
          <w:rFonts w:ascii="Times New Roman" w:hAnsi="Times New Roman" w:cs="Times New Roman"/>
          <w:b/>
          <w:i w:val="0"/>
          <w:sz w:val="32"/>
          <w:u w:val="none"/>
        </w:rPr>
        <w:t>5.5 Testing Approach</w:t>
      </w:r>
    </w:p>
    <w:p>
      <w:pPr/>
      <w:r>
        <w:rPr>
          <w:rFonts w:ascii="Times New Roman" w:hAnsi="Times New Roman" w:cs="Times New Roman"/>
          <w:b w:val="0"/>
          <w:i w:val="0"/>
          <w:sz w:val="24"/>
          <w:u w:val="none"/>
        </w:rPr>
        <w:t>Wherever possible, test inputs were drawn from published, verifiable sources rather than arbitrary placeholder values — this ensures test results are both technically valid and contextually meaningful.</w:t>
      </w:r>
    </w:p>
    <w:p>
      <w:pPr>
        <w:pStyle w:val="Heading2"/>
      </w:pPr>
      <w:r>
        <w:rPr>
          <w:rFonts w:ascii="Times New Roman" w:hAnsi="Times New Roman" w:cs="Times New Roman"/>
          <w:b/>
          <w:i w:val="0"/>
          <w:sz w:val="32"/>
          <w:u w:val="none"/>
        </w:rPr>
        <w:t>5.6 Test Cases – Department and Activity Data</w:t>
      </w:r>
    </w:p>
    <w:p>
      <w:pPr/>
      <w:r>
        <w:rPr>
          <w:rFonts w:ascii="Times New Roman" w:hAnsi="Times New Roman" w:cs="Times New Roman"/>
          <w:b w:val="0"/>
          <w:i w:val="0"/>
          <w:sz w:val="24"/>
          <w:u w:val="none"/>
        </w:rPr>
        <w:t>Department and activity inputs were tested for both realism and validity.</w:t>
      </w:r>
    </w:p>
    <w:p>
      <w:pPr>
        <w:spacing w:before="80" w:after="240"/>
        <w:jc w:val="center"/>
      </w:pPr>
      <w:r>
        <w:rPr>
          <w:rFonts w:ascii="Times New Roman" w:hAnsi="Times New Roman" w:cs="Times New Roman"/>
          <w:b w:val="0"/>
          <w:i/>
          <w:sz w:val="24"/>
          <w:u w:val="none"/>
        </w:rPr>
        <w:t>Table 5.8: Test Cases – Department and Activity Data</w:t>
      </w:r>
    </w:p>
    <w:tbl>
      <w:tblPr>
        <w:tblStyle w:val="TableGrid"/>
        <w:tblW w:type="auto" w:w="0"/>
        <w:jc w:val="center"/>
        <w:tblLook w:firstColumn="1" w:firstRow="1" w:lastColumn="0" w:lastRow="0" w:noHBand="0" w:noVBand="1" w:val="04A0"/>
      </w:tblPr>
      <w:tblGrid>
        <w:gridCol w:w="1380"/>
        <w:gridCol w:w="1380"/>
        <w:gridCol w:w="1380"/>
        <w:gridCol w:w="1380"/>
        <w:gridCol w:w="1380"/>
        <w:gridCol w:w="1380"/>
      </w:tblGrid>
      <w:tr>
        <w:tc>
          <w:tcPr>
            <w:tcW w:type="dxa" w:w="1440"/>
            <w:shd w:val="clear" w:color="auto" w:fill="D9D9D9"/>
          </w:tcPr>
          <w:p>
            <w:pPr>
              <w:spacing w:before="60" w:after="60" w:line="360" w:lineRule="auto"/>
            </w:pPr>
            <w:r/>
            <w:r>
              <w:rPr>
                <w:rFonts w:ascii="Times New Roman" w:hAnsi="Times New Roman" w:cs="Times New Roman"/>
                <w:b/>
                <w:i w:val="0"/>
                <w:sz w:val="20"/>
                <w:u w:val="none"/>
              </w:rPr>
              <w:t>Test ID</w:t>
            </w:r>
          </w:p>
        </w:tc>
        <w:tc>
          <w:tcPr>
            <w:tcW w:type="dxa" w:w="1440"/>
            <w:shd w:val="clear" w:color="auto" w:fill="D9D9D9"/>
          </w:tcPr>
          <w:p>
            <w:pPr>
              <w:spacing w:before="60" w:after="60" w:line="360" w:lineRule="auto"/>
            </w:pPr>
            <w:r/>
            <w:r>
              <w:rPr>
                <w:rFonts w:ascii="Times New Roman" w:hAnsi="Times New Roman" w:cs="Times New Roman"/>
                <w:b/>
                <w:i w:val="0"/>
                <w:sz w:val="20"/>
                <w:u w:val="none"/>
              </w:rPr>
              <w:t>Description</w:t>
            </w:r>
          </w:p>
        </w:tc>
        <w:tc>
          <w:tcPr>
            <w:tcW w:type="dxa" w:w="1440"/>
            <w:shd w:val="clear" w:color="auto" w:fill="D9D9D9"/>
          </w:tcPr>
          <w:p>
            <w:pPr>
              <w:spacing w:before="60" w:after="60" w:line="360" w:lineRule="auto"/>
            </w:pPr>
            <w:r/>
            <w:r>
              <w:rPr>
                <w:rFonts w:ascii="Times New Roman" w:hAnsi="Times New Roman" w:cs="Times New Roman"/>
                <w:b/>
                <w:i w:val="0"/>
                <w:sz w:val="20"/>
                <w:u w:val="none"/>
              </w:rPr>
              <w:t>Input / Basis</w:t>
            </w:r>
          </w:p>
        </w:tc>
        <w:tc>
          <w:tcPr>
            <w:tcW w:type="dxa" w:w="1440"/>
            <w:shd w:val="clear" w:color="auto" w:fill="D9D9D9"/>
          </w:tcPr>
          <w:p>
            <w:pPr>
              <w:spacing w:before="60" w:after="60" w:line="360" w:lineRule="auto"/>
            </w:pPr>
            <w:r/>
            <w:r>
              <w:rPr>
                <w:rFonts w:ascii="Times New Roman" w:hAnsi="Times New Roman" w:cs="Times New Roman"/>
                <w:b/>
                <w:i w:val="0"/>
                <w:sz w:val="20"/>
                <w:u w:val="none"/>
              </w:rPr>
              <w:t>Expected Result</w:t>
            </w:r>
          </w:p>
        </w:tc>
        <w:tc>
          <w:tcPr>
            <w:tcW w:type="dxa" w:w="1440"/>
            <w:shd w:val="clear" w:color="auto" w:fill="D9D9D9"/>
          </w:tcPr>
          <w:p>
            <w:pPr>
              <w:spacing w:before="60" w:after="60" w:line="360" w:lineRule="auto"/>
            </w:pPr>
            <w:r/>
            <w:r>
              <w:rPr>
                <w:rFonts w:ascii="Times New Roman" w:hAnsi="Times New Roman" w:cs="Times New Roman"/>
                <w:b/>
                <w:i w:val="0"/>
                <w:sz w:val="20"/>
                <w:u w:val="none"/>
              </w:rPr>
              <w:t>Actual Result</w:t>
            </w:r>
          </w:p>
        </w:tc>
        <w:tc>
          <w:tcPr>
            <w:tcW w:type="dxa" w:w="1440"/>
            <w:shd w:val="clear" w:color="auto" w:fill="D9D9D9"/>
          </w:tcPr>
          <w:p>
            <w:pPr>
              <w:spacing w:before="60" w:after="60" w:line="360" w:lineRule="auto"/>
            </w:pPr>
            <w:r/>
            <w:r>
              <w:rPr>
                <w:rFonts w:ascii="Times New Roman" w:hAnsi="Times New Roman" w:cs="Times New Roman"/>
                <w:b/>
                <w:i w:val="0"/>
                <w:sz w:val="20"/>
                <w:u w:val="none"/>
              </w:rPr>
              <w:t>Status</w:t>
            </w:r>
          </w:p>
        </w:tc>
      </w:tr>
      <w:tr>
        <w:tc>
          <w:tcPr>
            <w:tcW w:type="dxa" w:w="1440"/>
          </w:tcPr>
          <w:p>
            <w:pPr>
              <w:spacing w:before="60" w:after="60" w:line="360" w:lineRule="auto"/>
            </w:pPr>
            <w:r/>
            <w:r>
              <w:rPr>
                <w:rFonts w:ascii="Times New Roman" w:hAnsi="Times New Roman" w:cs="Times New Roman"/>
                <w:b w:val="0"/>
                <w:i w:val="0"/>
                <w:sz w:val="20"/>
                <w:u w:val="none"/>
              </w:rPr>
              <w:t>TC-D1</w:t>
            </w:r>
          </w:p>
        </w:tc>
        <w:tc>
          <w:tcPr>
            <w:tcW w:type="dxa" w:w="1440"/>
          </w:tcPr>
          <w:p>
            <w:pPr>
              <w:spacing w:before="60" w:after="60" w:line="360" w:lineRule="auto"/>
            </w:pPr>
            <w:r/>
            <w:r>
              <w:rPr>
                <w:rFonts w:ascii="Times New Roman" w:hAnsi="Times New Roman" w:cs="Times New Roman"/>
                <w:b w:val="0"/>
                <w:i w:val="0"/>
                <w:sz w:val="20"/>
                <w:u w:val="none"/>
              </w:rPr>
              <w:t>Current staff count within realistic national range</w:t>
            </w:r>
          </w:p>
        </w:tc>
        <w:tc>
          <w:tcPr>
            <w:tcW w:type="dxa" w:w="1440"/>
          </w:tcPr>
          <w:p>
            <w:pPr>
              <w:spacing w:before="60" w:after="60" w:line="360" w:lineRule="auto"/>
            </w:pPr>
            <w:r/>
            <w:r>
              <w:rPr>
                <w:rFonts w:ascii="Times New Roman" w:hAnsi="Times New Roman" w:cs="Times New Roman"/>
                <w:b w:val="0"/>
                <w:i w:val="0"/>
                <w:sz w:val="20"/>
                <w:u w:val="none"/>
              </w:rPr>
              <w:t>NHFS 2021 median of 9.9 (≈10) for provincial hospitals; MoHP minimum service standard of 10–15 for local-level hospitals</w:t>
            </w:r>
          </w:p>
        </w:tc>
        <w:tc>
          <w:tcPr>
            <w:tcW w:type="dxa" w:w="1440"/>
          </w:tcPr>
          <w:p>
            <w:pPr>
              <w:spacing w:before="60" w:after="60" w:line="360" w:lineRule="auto"/>
            </w:pPr>
            <w:r/>
            <w:r>
              <w:rPr>
                <w:rFonts w:ascii="Times New Roman" w:hAnsi="Times New Roman" w:cs="Times New Roman"/>
                <w:b w:val="0"/>
                <w:i w:val="0"/>
                <w:sz w:val="20"/>
                <w:u w:val="none"/>
              </w:rPr>
              <w:t>Seeded values (6–11) accepted as plausible</w:t>
            </w:r>
          </w:p>
        </w:tc>
        <w:tc>
          <w:tcPr>
            <w:tcW w:type="dxa" w:w="1440"/>
          </w:tcPr>
          <w:p>
            <w:pPr>
              <w:spacing w:before="60" w:after="60" w:line="360" w:lineRule="auto"/>
            </w:pPr>
            <w:r/>
            <w:r>
              <w:rPr>
                <w:rFonts w:ascii="Times New Roman" w:hAnsi="Times New Roman" w:cs="Times New Roman"/>
                <w:b w:val="0"/>
                <w:i w:val="0"/>
                <w:sz w:val="20"/>
                <w:u w:val="none"/>
              </w:rPr>
              <w:t>Values accepted, consistent with national data</w:t>
            </w:r>
          </w:p>
        </w:tc>
        <w:tc>
          <w:tcPr>
            <w:tcW w:type="dxa" w:w="1440"/>
          </w:tcPr>
          <w:p>
            <w:pPr>
              <w:spacing w:before="60" w:after="60" w:line="360" w:lineRule="auto"/>
            </w:pPr>
            <w:r/>
            <w:r>
              <w:rPr>
                <w:rFonts w:ascii="Times New Roman" w:hAnsi="Times New Roman" w:cs="Times New Roman"/>
                <w:b w:val="0"/>
                <w:i w:val="0"/>
                <w:sz w:val="20"/>
                <w:u w:val="none"/>
              </w:rPr>
              <w:t>Pass</w:t>
            </w:r>
          </w:p>
        </w:tc>
      </w:tr>
      <w:tr>
        <w:tc>
          <w:tcPr>
            <w:tcW w:type="dxa" w:w="1440"/>
          </w:tcPr>
          <w:p>
            <w:pPr>
              <w:spacing w:before="60" w:after="60" w:line="360" w:lineRule="auto"/>
            </w:pPr>
            <w:r/>
            <w:r>
              <w:rPr>
                <w:rFonts w:ascii="Times New Roman" w:hAnsi="Times New Roman" w:cs="Times New Roman"/>
                <w:b w:val="0"/>
                <w:i w:val="0"/>
                <w:sz w:val="20"/>
                <w:u w:val="none"/>
              </w:rPr>
              <w:t>TC-D2</w:t>
            </w:r>
          </w:p>
        </w:tc>
        <w:tc>
          <w:tcPr>
            <w:tcW w:type="dxa" w:w="1440"/>
          </w:tcPr>
          <w:p>
            <w:pPr>
              <w:spacing w:before="60" w:after="60" w:line="360" w:lineRule="auto"/>
            </w:pPr>
            <w:r/>
            <w:r>
              <w:rPr>
                <w:rFonts w:ascii="Times New Roman" w:hAnsi="Times New Roman" w:cs="Times New Roman"/>
                <w:b w:val="0"/>
                <w:i w:val="0"/>
                <w:sz w:val="20"/>
                <w:u w:val="none"/>
              </w:rPr>
              <w:t>Leave and training days within statutory limits</w:t>
            </w:r>
          </w:p>
        </w:tc>
        <w:tc>
          <w:tcPr>
            <w:tcW w:type="dxa" w:w="1440"/>
          </w:tcPr>
          <w:p>
            <w:pPr>
              <w:spacing w:before="60" w:after="60" w:line="360" w:lineRule="auto"/>
            </w:pPr>
            <w:r/>
            <w:r>
              <w:rPr>
                <w:rFonts w:ascii="Times New Roman" w:hAnsi="Times New Roman" w:cs="Times New Roman"/>
                <w:b w:val="0"/>
                <w:i w:val="0"/>
                <w:sz w:val="20"/>
                <w:u w:val="none"/>
              </w:rPr>
              <w:t>Nepal Labour Act 2074 (13 public holidays, 18 annual leave, 12 sick leave)</w:t>
            </w:r>
          </w:p>
        </w:tc>
        <w:tc>
          <w:tcPr>
            <w:tcW w:type="dxa" w:w="1440"/>
          </w:tcPr>
          <w:p>
            <w:pPr>
              <w:spacing w:before="60" w:after="60" w:line="360" w:lineRule="auto"/>
            </w:pPr>
            <w:r/>
            <w:r>
              <w:rPr>
                <w:rFonts w:ascii="Times New Roman" w:hAnsi="Times New Roman" w:cs="Times New Roman"/>
                <w:b w:val="0"/>
                <w:i w:val="0"/>
                <w:sz w:val="20"/>
                <w:u w:val="none"/>
              </w:rPr>
              <w:t>Values accepted without error</w:t>
            </w:r>
          </w:p>
        </w:tc>
        <w:tc>
          <w:tcPr>
            <w:tcW w:type="dxa" w:w="1440"/>
          </w:tcPr>
          <w:p>
            <w:pPr>
              <w:spacing w:before="60" w:after="60" w:line="360" w:lineRule="auto"/>
            </w:pPr>
            <w:r/>
            <w:r>
              <w:rPr>
                <w:rFonts w:ascii="Times New Roman" w:hAnsi="Times New Roman" w:cs="Times New Roman"/>
                <w:b w:val="0"/>
                <w:i w:val="0"/>
                <w:sz w:val="20"/>
                <w:u w:val="none"/>
              </w:rPr>
              <w:t>Values accepted; AWT computed correctly</w:t>
            </w:r>
          </w:p>
        </w:tc>
        <w:tc>
          <w:tcPr>
            <w:tcW w:type="dxa" w:w="1440"/>
          </w:tcPr>
          <w:p>
            <w:pPr>
              <w:spacing w:before="60" w:after="60" w:line="360" w:lineRule="auto"/>
            </w:pPr>
            <w:r/>
            <w:r>
              <w:rPr>
                <w:rFonts w:ascii="Times New Roman" w:hAnsi="Times New Roman" w:cs="Times New Roman"/>
                <w:b w:val="0"/>
                <w:i w:val="0"/>
                <w:sz w:val="20"/>
                <w:u w:val="none"/>
              </w:rPr>
              <w:t>Pass</w:t>
            </w:r>
          </w:p>
        </w:tc>
      </w:tr>
      <w:tr>
        <w:tc>
          <w:tcPr>
            <w:tcW w:type="dxa" w:w="1440"/>
          </w:tcPr>
          <w:p>
            <w:pPr>
              <w:spacing w:before="60" w:after="60" w:line="360" w:lineRule="auto"/>
            </w:pPr>
            <w:r/>
            <w:r>
              <w:rPr>
                <w:rFonts w:ascii="Times New Roman" w:hAnsi="Times New Roman" w:cs="Times New Roman"/>
                <w:b w:val="0"/>
                <w:i w:val="0"/>
                <w:sz w:val="20"/>
                <w:u w:val="none"/>
              </w:rPr>
              <w:t>TC-D3</w:t>
            </w:r>
          </w:p>
        </w:tc>
        <w:tc>
          <w:tcPr>
            <w:tcW w:type="dxa" w:w="1440"/>
          </w:tcPr>
          <w:p>
            <w:pPr>
              <w:spacing w:before="60" w:after="60" w:line="360" w:lineRule="auto"/>
            </w:pPr>
            <w:r/>
            <w:r>
              <w:rPr>
                <w:rFonts w:ascii="Times New Roman" w:hAnsi="Times New Roman" w:cs="Times New Roman"/>
                <w:b w:val="0"/>
                <w:i w:val="0"/>
                <w:sz w:val="20"/>
                <w:u w:val="none"/>
              </w:rPr>
              <w:t>Leave/training total exceeding working days</w:t>
            </w:r>
          </w:p>
        </w:tc>
        <w:tc>
          <w:tcPr>
            <w:tcW w:type="dxa" w:w="1440"/>
          </w:tcPr>
          <w:p>
            <w:pPr>
              <w:spacing w:before="60" w:after="60" w:line="360" w:lineRule="auto"/>
            </w:pPr>
            <w:r/>
            <w:r>
              <w:rPr>
                <w:rFonts w:ascii="Times New Roman" w:hAnsi="Times New Roman" w:cs="Times New Roman"/>
                <w:b w:val="0"/>
                <w:i w:val="0"/>
                <w:sz w:val="20"/>
                <w:u w:val="none"/>
              </w:rPr>
              <w:t>Hypothetical department where holidays + leave + sick + training &gt; working days per year</w:t>
            </w:r>
          </w:p>
        </w:tc>
        <w:tc>
          <w:tcPr>
            <w:tcW w:type="dxa" w:w="1440"/>
          </w:tcPr>
          <w:p>
            <w:pPr>
              <w:spacing w:before="60" w:after="60" w:line="360" w:lineRule="auto"/>
            </w:pPr>
            <w:r/>
            <w:r>
              <w:rPr>
                <w:rFonts w:ascii="Times New Roman" w:hAnsi="Times New Roman" w:cs="Times New Roman"/>
                <w:b w:val="0"/>
                <w:i w:val="0"/>
                <w:sz w:val="20"/>
                <w:u w:val="none"/>
              </w:rPr>
              <w:t>Submission rejected with a validation message</w:t>
            </w:r>
          </w:p>
        </w:tc>
        <w:tc>
          <w:tcPr>
            <w:tcW w:type="dxa" w:w="1440"/>
          </w:tcPr>
          <w:p>
            <w:pPr>
              <w:spacing w:before="60" w:after="60" w:line="360" w:lineRule="auto"/>
            </w:pPr>
            <w:r/>
            <w:r>
              <w:rPr>
                <w:rFonts w:ascii="Times New Roman" w:hAnsi="Times New Roman" w:cs="Times New Roman"/>
                <w:b w:val="0"/>
                <w:i w:val="0"/>
                <w:sz w:val="20"/>
                <w:u w:val="none"/>
              </w:rPr>
              <w:t>Submission rejected as expected</w:t>
            </w:r>
          </w:p>
        </w:tc>
        <w:tc>
          <w:tcPr>
            <w:tcW w:type="dxa" w:w="1440"/>
          </w:tcPr>
          <w:p>
            <w:pPr>
              <w:spacing w:before="60" w:after="60" w:line="360" w:lineRule="auto"/>
            </w:pPr>
            <w:r/>
            <w:r>
              <w:rPr>
                <w:rFonts w:ascii="Times New Roman" w:hAnsi="Times New Roman" w:cs="Times New Roman"/>
                <w:b w:val="0"/>
                <w:i w:val="0"/>
                <w:sz w:val="20"/>
                <w:u w:val="none"/>
              </w:rPr>
              <w:t>Pass</w:t>
            </w:r>
          </w:p>
        </w:tc>
      </w:tr>
      <w:tr>
        <w:tc>
          <w:tcPr>
            <w:tcW w:type="dxa" w:w="1440"/>
          </w:tcPr>
          <w:p>
            <w:pPr>
              <w:spacing w:before="60" w:after="60" w:line="360" w:lineRule="auto"/>
            </w:pPr>
            <w:r/>
            <w:r>
              <w:rPr>
                <w:rFonts w:ascii="Times New Roman" w:hAnsi="Times New Roman" w:cs="Times New Roman"/>
                <w:b w:val="0"/>
                <w:i w:val="0"/>
                <w:sz w:val="20"/>
                <w:u w:val="none"/>
              </w:rPr>
              <w:t>TC-D4</w:t>
            </w:r>
          </w:p>
        </w:tc>
        <w:tc>
          <w:tcPr>
            <w:tcW w:type="dxa" w:w="1440"/>
          </w:tcPr>
          <w:p>
            <w:pPr>
              <w:spacing w:before="60" w:after="60" w:line="360" w:lineRule="auto"/>
            </w:pPr>
            <w:r/>
            <w:r>
              <w:rPr>
                <w:rFonts w:ascii="Times New Roman" w:hAnsi="Times New Roman" w:cs="Times New Roman"/>
                <w:b w:val="0"/>
                <w:i w:val="0"/>
                <w:sz w:val="20"/>
                <w:u w:val="none"/>
              </w:rPr>
              <w:t>Activity time standards match WHO reference values</w:t>
            </w:r>
          </w:p>
        </w:tc>
        <w:tc>
          <w:tcPr>
            <w:tcW w:type="dxa" w:w="1440"/>
          </w:tcPr>
          <w:p>
            <w:pPr>
              <w:spacing w:before="60" w:after="60" w:line="360" w:lineRule="auto"/>
            </w:pPr>
            <w:r/>
            <w:r>
              <w:rPr>
                <w:rFonts w:ascii="Times New Roman" w:hAnsi="Times New Roman" w:cs="Times New Roman"/>
                <w:b w:val="0"/>
                <w:i w:val="0"/>
                <w:sz w:val="20"/>
                <w:u w:val="none"/>
              </w:rPr>
              <w:t>WHO WISN User's Manual reference times (e.g., 0.25–0.50 hrs per activity)</w:t>
            </w:r>
          </w:p>
        </w:tc>
        <w:tc>
          <w:tcPr>
            <w:tcW w:type="dxa" w:w="1440"/>
          </w:tcPr>
          <w:p>
            <w:pPr>
              <w:spacing w:before="60" w:after="60" w:line="360" w:lineRule="auto"/>
            </w:pPr>
            <w:r/>
            <w:r>
              <w:rPr>
                <w:rFonts w:ascii="Times New Roman" w:hAnsi="Times New Roman" w:cs="Times New Roman"/>
                <w:b w:val="0"/>
                <w:i w:val="0"/>
                <w:sz w:val="20"/>
                <w:u w:val="none"/>
              </w:rPr>
              <w:t>Values accepted and used directly in calculation</w:t>
            </w:r>
          </w:p>
        </w:tc>
        <w:tc>
          <w:tcPr>
            <w:tcW w:type="dxa" w:w="1440"/>
          </w:tcPr>
          <w:p>
            <w:pPr>
              <w:spacing w:before="60" w:after="60" w:line="360" w:lineRule="auto"/>
            </w:pPr>
            <w:r/>
            <w:r>
              <w:rPr>
                <w:rFonts w:ascii="Times New Roman" w:hAnsi="Times New Roman" w:cs="Times New Roman"/>
                <w:b w:val="0"/>
                <w:i w:val="0"/>
                <w:sz w:val="20"/>
                <w:u w:val="none"/>
              </w:rPr>
              <w:t>Matched WHO reference figures</w:t>
            </w:r>
          </w:p>
        </w:tc>
        <w:tc>
          <w:tcPr>
            <w:tcW w:type="dxa" w:w="1440"/>
          </w:tcPr>
          <w:p>
            <w:pPr>
              <w:spacing w:before="60" w:after="60" w:line="360" w:lineRule="auto"/>
            </w:pPr>
            <w:r/>
            <w:r>
              <w:rPr>
                <w:rFonts w:ascii="Times New Roman" w:hAnsi="Times New Roman" w:cs="Times New Roman"/>
                <w:b w:val="0"/>
                <w:i w:val="0"/>
                <w:sz w:val="20"/>
                <w:u w:val="none"/>
              </w:rPr>
              <w:t>Pass</w:t>
            </w:r>
          </w:p>
        </w:tc>
      </w:tr>
      <w:tr>
        <w:tc>
          <w:tcPr>
            <w:tcW w:type="dxa" w:w="1440"/>
          </w:tcPr>
          <w:p>
            <w:pPr>
              <w:spacing w:before="60" w:after="60" w:line="360" w:lineRule="auto"/>
            </w:pPr>
            <w:r/>
            <w:r>
              <w:rPr>
                <w:rFonts w:ascii="Times New Roman" w:hAnsi="Times New Roman" w:cs="Times New Roman"/>
                <w:b w:val="0"/>
                <w:i w:val="0"/>
                <w:sz w:val="20"/>
                <w:u w:val="none"/>
              </w:rPr>
              <w:t>TC-D5</w:t>
            </w:r>
          </w:p>
        </w:tc>
        <w:tc>
          <w:tcPr>
            <w:tcW w:type="dxa" w:w="1440"/>
          </w:tcPr>
          <w:p>
            <w:pPr>
              <w:spacing w:before="60" w:after="60" w:line="360" w:lineRule="auto"/>
            </w:pPr>
            <w:r/>
            <w:r>
              <w:rPr>
                <w:rFonts w:ascii="Times New Roman" w:hAnsi="Times New Roman" w:cs="Times New Roman"/>
                <w:b w:val="0"/>
                <w:i w:val="0"/>
                <w:sz w:val="20"/>
                <w:u w:val="none"/>
              </w:rPr>
              <w:t>Annual volume figures reflect real facility throughput</w:t>
            </w:r>
          </w:p>
        </w:tc>
        <w:tc>
          <w:tcPr>
            <w:tcW w:type="dxa" w:w="1440"/>
          </w:tcPr>
          <w:p>
            <w:pPr>
              <w:spacing w:before="60" w:after="60" w:line="360" w:lineRule="auto"/>
            </w:pPr>
            <w:r/>
            <w:r>
              <w:rPr>
                <w:rFonts w:ascii="Times New Roman" w:hAnsi="Times New Roman" w:cs="Times New Roman"/>
                <w:b w:val="0"/>
                <w:i w:val="0"/>
                <w:sz w:val="20"/>
                <w:u w:val="none"/>
              </w:rPr>
              <w:t>TUTH Emergency Department: 43,185 visits/year, 40.83% admission rate (≈17,630 admissions/year); 10-bed ICU near-maximum capacity model (≈8,000 assessments/year)</w:t>
            </w:r>
          </w:p>
        </w:tc>
        <w:tc>
          <w:tcPr>
            <w:tcW w:type="dxa" w:w="1440"/>
          </w:tcPr>
          <w:p>
            <w:pPr>
              <w:spacing w:before="60" w:after="60" w:line="360" w:lineRule="auto"/>
            </w:pPr>
            <w:r/>
            <w:r>
              <w:rPr>
                <w:rFonts w:ascii="Times New Roman" w:hAnsi="Times New Roman" w:cs="Times New Roman"/>
                <w:b w:val="0"/>
                <w:i w:val="0"/>
                <w:sz w:val="20"/>
                <w:u w:val="none"/>
              </w:rPr>
              <w:t>Volumes accepted and produce plausible required-staff outputs</w:t>
            </w:r>
          </w:p>
        </w:tc>
        <w:tc>
          <w:tcPr>
            <w:tcW w:type="dxa" w:w="1440"/>
          </w:tcPr>
          <w:p>
            <w:pPr>
              <w:spacing w:before="60" w:after="60" w:line="360" w:lineRule="auto"/>
            </w:pPr>
            <w:r/>
            <w:r>
              <w:rPr>
                <w:rFonts w:ascii="Times New Roman" w:hAnsi="Times New Roman" w:cs="Times New Roman"/>
                <w:b w:val="0"/>
                <w:i w:val="0"/>
                <w:sz w:val="20"/>
                <w:u w:val="none"/>
              </w:rPr>
              <w:t>Outputs consistent with expected order of magnitude</w:t>
            </w:r>
          </w:p>
        </w:tc>
        <w:tc>
          <w:tcPr>
            <w:tcW w:type="dxa" w:w="1440"/>
          </w:tcPr>
          <w:p>
            <w:pPr>
              <w:spacing w:before="60" w:after="60" w:line="360" w:lineRule="auto"/>
            </w:pPr>
            <w:r/>
            <w:r>
              <w:rPr>
                <w:rFonts w:ascii="Times New Roman" w:hAnsi="Times New Roman" w:cs="Times New Roman"/>
                <w:b w:val="0"/>
                <w:i w:val="0"/>
                <w:sz w:val="20"/>
                <w:u w:val="none"/>
              </w:rPr>
              <w:t>Pass</w:t>
            </w:r>
          </w:p>
        </w:tc>
      </w:tr>
    </w:tbl>
    <w:p>
      <w:pPr>
        <w:pStyle w:val="Heading2"/>
      </w:pPr>
      <w:r>
        <w:rPr>
          <w:rFonts w:ascii="Times New Roman" w:hAnsi="Times New Roman" w:cs="Times New Roman"/>
          <w:b/>
          <w:i w:val="0"/>
          <w:sz w:val="32"/>
          <w:u w:val="none"/>
        </w:rPr>
        <w:t>5.7 Test Cases – WISN Calculation Accuracy</w:t>
      </w:r>
    </w:p>
    <w:p>
      <w:pPr/>
      <w:r>
        <w:rPr>
          <w:rFonts w:ascii="Times New Roman" w:hAnsi="Times New Roman" w:cs="Times New Roman"/>
          <w:b w:val="0"/>
          <w:i w:val="0"/>
          <w:sz w:val="24"/>
          <w:u w:val="none"/>
        </w:rPr>
        <w:t>These test cases verify the mathematical correctness of the calculation logic against known, pre-calculated inputs.</w:t>
      </w:r>
    </w:p>
    <w:p>
      <w:pPr>
        <w:spacing w:before="80" w:after="240"/>
        <w:jc w:val="center"/>
      </w:pPr>
      <w:r>
        <w:rPr>
          <w:rFonts w:ascii="Times New Roman" w:hAnsi="Times New Roman" w:cs="Times New Roman"/>
          <w:b w:val="0"/>
          <w:i/>
          <w:sz w:val="24"/>
          <w:u w:val="none"/>
        </w:rPr>
        <w:t>Table 5.9: Test Cases – WISN Calculation Accuracy</w:t>
      </w:r>
    </w:p>
    <w:tbl>
      <w:tblPr>
        <w:tblStyle w:val="TableGrid"/>
        <w:tblW w:type="auto" w:w="0"/>
        <w:jc w:val="center"/>
        <w:tblLook w:firstColumn="1" w:firstRow="1" w:lastColumn="0" w:lastRow="0" w:noHBand="0" w:noVBand="1" w:val="04A0"/>
      </w:tblPr>
      <w:tblGrid>
        <w:gridCol w:w="1380"/>
        <w:gridCol w:w="1380"/>
        <w:gridCol w:w="1380"/>
        <w:gridCol w:w="1380"/>
        <w:gridCol w:w="1380"/>
        <w:gridCol w:w="1380"/>
      </w:tblGrid>
      <w:tr>
        <w:tc>
          <w:tcPr>
            <w:tcW w:type="dxa" w:w="1440"/>
            <w:shd w:val="clear" w:color="auto" w:fill="D9D9D9"/>
          </w:tcPr>
          <w:p>
            <w:pPr>
              <w:spacing w:before="60" w:after="60" w:line="360" w:lineRule="auto"/>
            </w:pPr>
            <w:r/>
            <w:r>
              <w:rPr>
                <w:rFonts w:ascii="Times New Roman" w:hAnsi="Times New Roman" w:cs="Times New Roman"/>
                <w:b/>
                <w:i w:val="0"/>
                <w:sz w:val="20"/>
                <w:u w:val="none"/>
              </w:rPr>
              <w:t>Test ID</w:t>
            </w:r>
          </w:p>
        </w:tc>
        <w:tc>
          <w:tcPr>
            <w:tcW w:type="dxa" w:w="1440"/>
            <w:shd w:val="clear" w:color="auto" w:fill="D9D9D9"/>
          </w:tcPr>
          <w:p>
            <w:pPr>
              <w:spacing w:before="60" w:after="60" w:line="360" w:lineRule="auto"/>
            </w:pPr>
            <w:r/>
            <w:r>
              <w:rPr>
                <w:rFonts w:ascii="Times New Roman" w:hAnsi="Times New Roman" w:cs="Times New Roman"/>
                <w:b/>
                <w:i w:val="0"/>
                <w:sz w:val="20"/>
                <w:u w:val="none"/>
              </w:rPr>
              <w:t>Description</w:t>
            </w:r>
          </w:p>
        </w:tc>
        <w:tc>
          <w:tcPr>
            <w:tcW w:type="dxa" w:w="1440"/>
            <w:shd w:val="clear" w:color="auto" w:fill="D9D9D9"/>
          </w:tcPr>
          <w:p>
            <w:pPr>
              <w:spacing w:before="60" w:after="60" w:line="360" w:lineRule="auto"/>
            </w:pPr>
            <w:r/>
            <w:r>
              <w:rPr>
                <w:rFonts w:ascii="Times New Roman" w:hAnsi="Times New Roman" w:cs="Times New Roman"/>
                <w:b/>
                <w:i w:val="0"/>
                <w:sz w:val="20"/>
                <w:u w:val="none"/>
              </w:rPr>
              <w:t>Input</w:t>
            </w:r>
          </w:p>
        </w:tc>
        <w:tc>
          <w:tcPr>
            <w:tcW w:type="dxa" w:w="1440"/>
            <w:shd w:val="clear" w:color="auto" w:fill="D9D9D9"/>
          </w:tcPr>
          <w:p>
            <w:pPr>
              <w:spacing w:before="60" w:after="60" w:line="360" w:lineRule="auto"/>
            </w:pPr>
            <w:r/>
            <w:r>
              <w:rPr>
                <w:rFonts w:ascii="Times New Roman" w:hAnsi="Times New Roman" w:cs="Times New Roman"/>
                <w:b/>
                <w:i w:val="0"/>
                <w:sz w:val="20"/>
                <w:u w:val="none"/>
              </w:rPr>
              <w:t>Expected Output</w:t>
            </w:r>
          </w:p>
        </w:tc>
        <w:tc>
          <w:tcPr>
            <w:tcW w:type="dxa" w:w="1440"/>
            <w:shd w:val="clear" w:color="auto" w:fill="D9D9D9"/>
          </w:tcPr>
          <w:p>
            <w:pPr>
              <w:spacing w:before="60" w:after="60" w:line="360" w:lineRule="auto"/>
            </w:pPr>
            <w:r/>
            <w:r>
              <w:rPr>
                <w:rFonts w:ascii="Times New Roman" w:hAnsi="Times New Roman" w:cs="Times New Roman"/>
                <w:b/>
                <w:i w:val="0"/>
                <w:sz w:val="20"/>
                <w:u w:val="none"/>
              </w:rPr>
              <w:t>Actual Output</w:t>
            </w:r>
          </w:p>
        </w:tc>
        <w:tc>
          <w:tcPr>
            <w:tcW w:type="dxa" w:w="1440"/>
            <w:shd w:val="clear" w:color="auto" w:fill="D9D9D9"/>
          </w:tcPr>
          <w:p>
            <w:pPr>
              <w:spacing w:before="60" w:after="60" w:line="360" w:lineRule="auto"/>
            </w:pPr>
            <w:r/>
            <w:r>
              <w:rPr>
                <w:rFonts w:ascii="Times New Roman" w:hAnsi="Times New Roman" w:cs="Times New Roman"/>
                <w:b/>
                <w:i w:val="0"/>
                <w:sz w:val="20"/>
                <w:u w:val="none"/>
              </w:rPr>
              <w:t>Status</w:t>
            </w:r>
          </w:p>
        </w:tc>
      </w:tr>
      <w:tr>
        <w:tc>
          <w:tcPr>
            <w:tcW w:type="dxa" w:w="1440"/>
          </w:tcPr>
          <w:p>
            <w:pPr>
              <w:spacing w:before="60" w:after="60" w:line="360" w:lineRule="auto"/>
            </w:pPr>
            <w:r/>
            <w:r>
              <w:rPr>
                <w:rFonts w:ascii="Times New Roman" w:hAnsi="Times New Roman" w:cs="Times New Roman"/>
                <w:b w:val="0"/>
                <w:i w:val="0"/>
                <w:sz w:val="20"/>
                <w:u w:val="none"/>
              </w:rPr>
              <w:t>TC-W1</w:t>
            </w:r>
          </w:p>
        </w:tc>
        <w:tc>
          <w:tcPr>
            <w:tcW w:type="dxa" w:w="1440"/>
          </w:tcPr>
          <w:p>
            <w:pPr>
              <w:spacing w:before="60" w:after="60" w:line="360" w:lineRule="auto"/>
            </w:pPr>
            <w:r/>
            <w:r>
              <w:rPr>
                <w:rFonts w:ascii="Times New Roman" w:hAnsi="Times New Roman" w:cs="Times New Roman"/>
                <w:b w:val="0"/>
                <w:i w:val="0"/>
                <w:sz w:val="20"/>
                <w:u w:val="none"/>
              </w:rPr>
              <w:t>AWT calculation</w:t>
            </w:r>
          </w:p>
        </w:tc>
        <w:tc>
          <w:tcPr>
            <w:tcW w:type="dxa" w:w="1440"/>
          </w:tcPr>
          <w:p>
            <w:pPr>
              <w:spacing w:before="60" w:after="60" w:line="360" w:lineRule="auto"/>
            </w:pPr>
            <w:r/>
            <w:r>
              <w:rPr>
                <w:rFonts w:ascii="Times New Roman" w:hAnsi="Times New Roman" w:cs="Times New Roman"/>
                <w:b w:val="0"/>
                <w:i w:val="0"/>
                <w:sz w:val="20"/>
                <w:u w:val="none"/>
              </w:rPr>
              <w:t>260 working days, 13 holidays, 18 annual leave, 12 sick leave, 5 training days, 8 hrs/day</w:t>
            </w:r>
          </w:p>
        </w:tc>
        <w:tc>
          <w:tcPr>
            <w:tcW w:type="dxa" w:w="1440"/>
          </w:tcPr>
          <w:p>
            <w:pPr>
              <w:spacing w:before="60" w:after="60" w:line="360" w:lineRule="auto"/>
            </w:pPr>
            <w:r/>
            <w:r>
              <w:rPr>
                <w:rFonts w:ascii="Times New Roman" w:hAnsi="Times New Roman" w:cs="Times New Roman"/>
                <w:b w:val="0"/>
                <w:i w:val="0"/>
                <w:sz w:val="20"/>
                <w:u w:val="none"/>
              </w:rPr>
              <w:t>1,696 hrs/year</w:t>
            </w:r>
          </w:p>
        </w:tc>
        <w:tc>
          <w:tcPr>
            <w:tcW w:type="dxa" w:w="1440"/>
          </w:tcPr>
          <w:p>
            <w:pPr>
              <w:spacing w:before="60" w:after="60" w:line="360" w:lineRule="auto"/>
            </w:pPr>
            <w:r/>
            <w:r>
              <w:rPr>
                <w:rFonts w:ascii="Times New Roman" w:hAnsi="Times New Roman" w:cs="Times New Roman"/>
                <w:b w:val="0"/>
                <w:i w:val="0"/>
                <w:sz w:val="20"/>
                <w:u w:val="none"/>
              </w:rPr>
              <w:t>1,696 hrs/year</w:t>
            </w:r>
          </w:p>
        </w:tc>
        <w:tc>
          <w:tcPr>
            <w:tcW w:type="dxa" w:w="1440"/>
          </w:tcPr>
          <w:p>
            <w:pPr>
              <w:spacing w:before="60" w:after="60" w:line="360" w:lineRule="auto"/>
            </w:pPr>
            <w:r/>
            <w:r>
              <w:rPr>
                <w:rFonts w:ascii="Times New Roman" w:hAnsi="Times New Roman" w:cs="Times New Roman"/>
                <w:b w:val="0"/>
                <w:i w:val="0"/>
                <w:sz w:val="20"/>
                <w:u w:val="none"/>
              </w:rPr>
              <w:t>Pass</w:t>
            </w:r>
          </w:p>
        </w:tc>
      </w:tr>
      <w:tr>
        <w:tc>
          <w:tcPr>
            <w:tcW w:type="dxa" w:w="1440"/>
          </w:tcPr>
          <w:p>
            <w:pPr>
              <w:spacing w:before="60" w:after="60" w:line="360" w:lineRule="auto"/>
            </w:pPr>
            <w:r/>
            <w:r>
              <w:rPr>
                <w:rFonts w:ascii="Times New Roman" w:hAnsi="Times New Roman" w:cs="Times New Roman"/>
                <w:b w:val="0"/>
                <w:i w:val="0"/>
                <w:sz w:val="20"/>
                <w:u w:val="none"/>
              </w:rPr>
              <w:t>TC-W2</w:t>
            </w:r>
          </w:p>
        </w:tc>
        <w:tc>
          <w:tcPr>
            <w:tcW w:type="dxa" w:w="1440"/>
          </w:tcPr>
          <w:p>
            <w:pPr>
              <w:spacing w:before="60" w:after="60" w:line="360" w:lineRule="auto"/>
            </w:pPr>
            <w:r/>
            <w:r>
              <w:rPr>
                <w:rFonts w:ascii="Times New Roman" w:hAnsi="Times New Roman" w:cs="Times New Roman"/>
                <w:b w:val="0"/>
                <w:i w:val="0"/>
                <w:sz w:val="20"/>
                <w:u w:val="none"/>
              </w:rPr>
              <w:t>Single-activity Health Service FTE (ICU continuous monitoring)</w:t>
            </w:r>
          </w:p>
        </w:tc>
        <w:tc>
          <w:tcPr>
            <w:tcW w:type="dxa" w:w="1440"/>
          </w:tcPr>
          <w:p>
            <w:pPr>
              <w:spacing w:before="60" w:after="60" w:line="360" w:lineRule="auto"/>
            </w:pPr>
            <w:r/>
            <w:r>
              <w:rPr>
                <w:rFonts w:ascii="Times New Roman" w:hAnsi="Times New Roman" w:cs="Times New Roman"/>
                <w:b w:val="0"/>
                <w:i w:val="0"/>
                <w:sz w:val="20"/>
                <w:u w:val="none"/>
              </w:rPr>
              <w:t>Time standard 0.33 hrs, annual volume 17,520, AWT 1,696</w:t>
            </w:r>
          </w:p>
        </w:tc>
        <w:tc>
          <w:tcPr>
            <w:tcW w:type="dxa" w:w="1440"/>
          </w:tcPr>
          <w:p>
            <w:pPr>
              <w:spacing w:before="60" w:after="60" w:line="360" w:lineRule="auto"/>
            </w:pPr>
            <w:r/>
            <w:r>
              <w:rPr>
                <w:rFonts w:ascii="Times New Roman" w:hAnsi="Times New Roman" w:cs="Times New Roman"/>
                <w:b w:val="0"/>
                <w:i w:val="0"/>
                <w:sz w:val="20"/>
                <w:u w:val="none"/>
              </w:rPr>
              <w:t>Standard Workload = 5,139.39; Required FTE = 3.41</w:t>
            </w:r>
          </w:p>
        </w:tc>
        <w:tc>
          <w:tcPr>
            <w:tcW w:type="dxa" w:w="1440"/>
          </w:tcPr>
          <w:p>
            <w:pPr>
              <w:spacing w:before="60" w:after="60" w:line="360" w:lineRule="auto"/>
            </w:pPr>
            <w:r/>
            <w:r>
              <w:rPr>
                <w:rFonts w:ascii="Times New Roman" w:hAnsi="Times New Roman" w:cs="Times New Roman"/>
                <w:b w:val="0"/>
                <w:i w:val="0"/>
                <w:sz w:val="20"/>
                <w:u w:val="none"/>
              </w:rPr>
              <w:t>5,139.39 / 3.41</w:t>
            </w:r>
          </w:p>
        </w:tc>
        <w:tc>
          <w:tcPr>
            <w:tcW w:type="dxa" w:w="1440"/>
          </w:tcPr>
          <w:p>
            <w:pPr>
              <w:spacing w:before="60" w:after="60" w:line="360" w:lineRule="auto"/>
            </w:pPr>
            <w:r/>
            <w:r>
              <w:rPr>
                <w:rFonts w:ascii="Times New Roman" w:hAnsi="Times New Roman" w:cs="Times New Roman"/>
                <w:b w:val="0"/>
                <w:i w:val="0"/>
                <w:sz w:val="20"/>
                <w:u w:val="none"/>
              </w:rPr>
              <w:t>Pass</w:t>
            </w:r>
          </w:p>
        </w:tc>
      </w:tr>
      <w:tr>
        <w:tc>
          <w:tcPr>
            <w:tcW w:type="dxa" w:w="1440"/>
          </w:tcPr>
          <w:p>
            <w:pPr>
              <w:spacing w:before="60" w:after="60" w:line="360" w:lineRule="auto"/>
            </w:pPr>
            <w:r/>
            <w:r>
              <w:rPr>
                <w:rFonts w:ascii="Times New Roman" w:hAnsi="Times New Roman" w:cs="Times New Roman"/>
                <w:b w:val="0"/>
                <w:i w:val="0"/>
                <w:sz w:val="20"/>
                <w:u w:val="none"/>
              </w:rPr>
              <w:t>TC-W3</w:t>
            </w:r>
          </w:p>
        </w:tc>
        <w:tc>
          <w:tcPr>
            <w:tcW w:type="dxa" w:w="1440"/>
          </w:tcPr>
          <w:p>
            <w:pPr>
              <w:spacing w:before="60" w:after="60" w:line="360" w:lineRule="auto"/>
            </w:pPr>
            <w:r/>
            <w:r>
              <w:rPr>
                <w:rFonts w:ascii="Times New Roman" w:hAnsi="Times New Roman" w:cs="Times New Roman"/>
                <w:b w:val="0"/>
                <w:i w:val="0"/>
                <w:sz w:val="20"/>
                <w:u w:val="none"/>
              </w:rPr>
              <w:t>Department-level required staff (all four departments)</w:t>
            </w:r>
          </w:p>
        </w:tc>
        <w:tc>
          <w:tcPr>
            <w:tcW w:type="dxa" w:w="1440"/>
          </w:tcPr>
          <w:p>
            <w:pPr>
              <w:spacing w:before="60" w:after="60" w:line="360" w:lineRule="auto"/>
            </w:pPr>
            <w:r/>
            <w:r>
              <w:rPr>
                <w:rFonts w:ascii="Times New Roman" w:hAnsi="Times New Roman" w:cs="Times New Roman"/>
                <w:b w:val="0"/>
                <w:i w:val="0"/>
                <w:sz w:val="20"/>
                <w:u w:val="none"/>
              </w:rPr>
              <w:t>Seeded department + activity data</w:t>
            </w:r>
          </w:p>
        </w:tc>
        <w:tc>
          <w:tcPr>
            <w:tcW w:type="dxa" w:w="1440"/>
          </w:tcPr>
          <w:p>
            <w:pPr>
              <w:spacing w:before="60" w:after="60" w:line="360" w:lineRule="auto"/>
            </w:pPr>
            <w:r/>
            <w:r>
              <w:rPr>
                <w:rFonts w:ascii="Times New Roman" w:hAnsi="Times New Roman" w:cs="Times New Roman"/>
                <w:b w:val="0"/>
                <w:i w:val="0"/>
                <w:sz w:val="20"/>
                <w:u w:val="none"/>
              </w:rPr>
              <w:t>Manual (spreadsheet) values: 9.10 / 8.29 / 10.47 / 10.07</w:t>
            </w:r>
          </w:p>
        </w:tc>
        <w:tc>
          <w:tcPr>
            <w:tcW w:type="dxa" w:w="1440"/>
          </w:tcPr>
          <w:p>
            <w:pPr>
              <w:spacing w:before="60" w:after="60" w:line="360" w:lineRule="auto"/>
            </w:pPr>
            <w:r/>
            <w:r>
              <w:rPr>
                <w:rFonts w:ascii="Times New Roman" w:hAnsi="Times New Roman" w:cs="Times New Roman"/>
                <w:b w:val="0"/>
                <w:i w:val="0"/>
                <w:sz w:val="20"/>
                <w:u w:val="none"/>
              </w:rPr>
              <w:t>Matched exactly, zero discrepancy</w:t>
            </w:r>
          </w:p>
        </w:tc>
        <w:tc>
          <w:tcPr>
            <w:tcW w:type="dxa" w:w="1440"/>
          </w:tcPr>
          <w:p>
            <w:pPr>
              <w:spacing w:before="60" w:after="60" w:line="360" w:lineRule="auto"/>
            </w:pPr>
            <w:r/>
            <w:r>
              <w:rPr>
                <w:rFonts w:ascii="Times New Roman" w:hAnsi="Times New Roman" w:cs="Times New Roman"/>
                <w:b w:val="0"/>
                <w:i w:val="0"/>
                <w:sz w:val="20"/>
                <w:u w:val="none"/>
              </w:rPr>
              <w:t>Pass</w:t>
            </w:r>
          </w:p>
        </w:tc>
      </w:tr>
      <w:tr>
        <w:tc>
          <w:tcPr>
            <w:tcW w:type="dxa" w:w="1440"/>
          </w:tcPr>
          <w:p>
            <w:pPr>
              <w:spacing w:before="60" w:after="60" w:line="360" w:lineRule="auto"/>
            </w:pPr>
            <w:r/>
            <w:r>
              <w:rPr>
                <w:rFonts w:ascii="Times New Roman" w:hAnsi="Times New Roman" w:cs="Times New Roman"/>
                <w:b w:val="0"/>
                <w:i w:val="0"/>
                <w:sz w:val="20"/>
                <w:u w:val="none"/>
              </w:rPr>
              <w:t>TC-W4</w:t>
            </w:r>
          </w:p>
        </w:tc>
        <w:tc>
          <w:tcPr>
            <w:tcW w:type="dxa" w:w="1440"/>
          </w:tcPr>
          <w:p>
            <w:pPr>
              <w:spacing w:before="60" w:after="60" w:line="360" w:lineRule="auto"/>
            </w:pPr>
            <w:r/>
            <w:r>
              <w:rPr>
                <w:rFonts w:ascii="Times New Roman" w:hAnsi="Times New Roman" w:cs="Times New Roman"/>
                <w:b w:val="0"/>
                <w:i w:val="0"/>
                <w:sz w:val="20"/>
                <w:u w:val="none"/>
              </w:rPr>
              <w:t>WISN ratio classification</w:t>
            </w:r>
          </w:p>
        </w:tc>
        <w:tc>
          <w:tcPr>
            <w:tcW w:type="dxa" w:w="1440"/>
          </w:tcPr>
          <w:p>
            <w:pPr>
              <w:spacing w:before="60" w:after="60" w:line="360" w:lineRule="auto"/>
            </w:pPr>
            <w:r/>
            <w:r>
              <w:rPr>
                <w:rFonts w:ascii="Times New Roman" w:hAnsi="Times New Roman" w:cs="Times New Roman"/>
                <w:b w:val="0"/>
                <w:i w:val="0"/>
                <w:sz w:val="20"/>
                <w:u w:val="none"/>
              </w:rPr>
              <w:t>Ratios of 0.66, 0.84, 1.05, 0.99</w:t>
            </w:r>
          </w:p>
        </w:tc>
        <w:tc>
          <w:tcPr>
            <w:tcW w:type="dxa" w:w="1440"/>
          </w:tcPr>
          <w:p>
            <w:pPr>
              <w:spacing w:before="60" w:after="60" w:line="360" w:lineRule="auto"/>
            </w:pPr>
            <w:r/>
            <w:r>
              <w:rPr>
                <w:rFonts w:ascii="Times New Roman" w:hAnsi="Times New Roman" w:cs="Times New Roman"/>
                <w:b w:val="0"/>
                <w:i w:val="0"/>
                <w:sz w:val="20"/>
                <w:u w:val="none"/>
              </w:rPr>
              <w:t>Critical / Critical / Surplus / Borderline</w:t>
            </w:r>
          </w:p>
        </w:tc>
        <w:tc>
          <w:tcPr>
            <w:tcW w:type="dxa" w:w="1440"/>
          </w:tcPr>
          <w:p>
            <w:pPr>
              <w:spacing w:before="60" w:after="60" w:line="360" w:lineRule="auto"/>
            </w:pPr>
            <w:r/>
            <w:r>
              <w:rPr>
                <w:rFonts w:ascii="Times New Roman" w:hAnsi="Times New Roman" w:cs="Times New Roman"/>
                <w:b w:val="0"/>
                <w:i w:val="0"/>
                <w:sz w:val="20"/>
                <w:u w:val="none"/>
              </w:rPr>
              <w:t>Classified correctly for all four</w:t>
            </w:r>
          </w:p>
        </w:tc>
        <w:tc>
          <w:tcPr>
            <w:tcW w:type="dxa" w:w="1440"/>
          </w:tcPr>
          <w:p>
            <w:pPr>
              <w:spacing w:before="60" w:after="60" w:line="360" w:lineRule="auto"/>
            </w:pPr>
            <w:r/>
            <w:r>
              <w:rPr>
                <w:rFonts w:ascii="Times New Roman" w:hAnsi="Times New Roman" w:cs="Times New Roman"/>
                <w:b w:val="0"/>
                <w:i w:val="0"/>
                <w:sz w:val="20"/>
                <w:u w:val="none"/>
              </w:rPr>
              <w:t>Pass</w:t>
            </w:r>
          </w:p>
        </w:tc>
      </w:tr>
      <w:tr>
        <w:tc>
          <w:tcPr>
            <w:tcW w:type="dxa" w:w="1440"/>
          </w:tcPr>
          <w:p>
            <w:pPr>
              <w:spacing w:before="60" w:after="60" w:line="360" w:lineRule="auto"/>
            </w:pPr>
            <w:r/>
            <w:r>
              <w:rPr>
                <w:rFonts w:ascii="Times New Roman" w:hAnsi="Times New Roman" w:cs="Times New Roman"/>
                <w:b w:val="0"/>
                <w:i w:val="0"/>
                <w:sz w:val="20"/>
                <w:u w:val="none"/>
              </w:rPr>
              <w:t>TC-W5</w:t>
            </w:r>
          </w:p>
        </w:tc>
        <w:tc>
          <w:tcPr>
            <w:tcW w:type="dxa" w:w="1440"/>
          </w:tcPr>
          <w:p>
            <w:pPr>
              <w:spacing w:before="60" w:after="60" w:line="360" w:lineRule="auto"/>
            </w:pPr>
            <w:r/>
            <w:r>
              <w:rPr>
                <w:rFonts w:ascii="Times New Roman" w:hAnsi="Times New Roman" w:cs="Times New Roman"/>
                <w:b w:val="0"/>
                <w:i w:val="0"/>
                <w:sz w:val="20"/>
                <w:u w:val="none"/>
              </w:rPr>
              <w:t>CAF boundary condition</w:t>
            </w:r>
          </w:p>
        </w:tc>
        <w:tc>
          <w:tcPr>
            <w:tcW w:type="dxa" w:w="1440"/>
          </w:tcPr>
          <w:p>
            <w:pPr>
              <w:spacing w:before="60" w:after="60" w:line="360" w:lineRule="auto"/>
            </w:pPr>
            <w:r/>
            <w:r>
              <w:rPr>
                <w:rFonts w:ascii="Times New Roman" w:hAnsi="Times New Roman" w:cs="Times New Roman"/>
                <w:b w:val="0"/>
                <w:i w:val="0"/>
                <w:sz w:val="20"/>
                <w:u w:val="none"/>
              </w:rPr>
              <w:t>Hypothetical department where combined support-time fractions total ≥ 1.0</w:t>
            </w:r>
          </w:p>
        </w:tc>
        <w:tc>
          <w:tcPr>
            <w:tcW w:type="dxa" w:w="1440"/>
          </w:tcPr>
          <w:p>
            <w:pPr>
              <w:spacing w:before="60" w:after="60" w:line="360" w:lineRule="auto"/>
            </w:pPr>
            <w:r/>
            <w:r>
              <w:rPr>
                <w:rFonts w:ascii="Times New Roman" w:hAnsi="Times New Roman" w:cs="Times New Roman"/>
                <w:b w:val="0"/>
                <w:i w:val="0"/>
                <w:sz w:val="20"/>
                <w:u w:val="none"/>
              </w:rPr>
              <w:t>CAF adjustment skipped; department flagged for review instead of an invalid (negative or divide-by-zero) result</w:t>
            </w:r>
          </w:p>
        </w:tc>
        <w:tc>
          <w:tcPr>
            <w:tcW w:type="dxa" w:w="1440"/>
          </w:tcPr>
          <w:p>
            <w:pPr>
              <w:spacing w:before="60" w:after="60" w:line="360" w:lineRule="auto"/>
            </w:pPr>
            <w:r/>
            <w:r>
              <w:rPr>
                <w:rFonts w:ascii="Times New Roman" w:hAnsi="Times New Roman" w:cs="Times New Roman"/>
                <w:b w:val="0"/>
                <w:i w:val="0"/>
                <w:sz w:val="20"/>
                <w:u w:val="none"/>
              </w:rPr>
              <w:t>Flag returned as expected, no invalid value produced</w:t>
            </w:r>
          </w:p>
        </w:tc>
        <w:tc>
          <w:tcPr>
            <w:tcW w:type="dxa" w:w="1440"/>
          </w:tcPr>
          <w:p>
            <w:pPr>
              <w:spacing w:before="60" w:after="60" w:line="360" w:lineRule="auto"/>
            </w:pPr>
            <w:r/>
            <w:r>
              <w:rPr>
                <w:rFonts w:ascii="Times New Roman" w:hAnsi="Times New Roman" w:cs="Times New Roman"/>
                <w:b w:val="0"/>
                <w:i w:val="0"/>
                <w:sz w:val="20"/>
                <w:u w:val="none"/>
              </w:rPr>
              <w:t>Pass</w:t>
            </w:r>
          </w:p>
        </w:tc>
      </w:tr>
    </w:tbl>
    <w:p>
      <w:pPr>
        <w:pStyle w:val="Heading2"/>
      </w:pPr>
      <w:r>
        <w:rPr>
          <w:rFonts w:ascii="Times New Roman" w:hAnsi="Times New Roman" w:cs="Times New Roman"/>
          <w:b/>
          <w:i w:val="0"/>
          <w:sz w:val="32"/>
          <w:u w:val="none"/>
        </w:rPr>
        <w:t>5.8 Test Cases – Access Control</w:t>
      </w:r>
    </w:p>
    <w:p>
      <w:pPr/>
      <w:r>
        <w:rPr>
          <w:rFonts w:ascii="Times New Roman" w:hAnsi="Times New Roman" w:cs="Times New Roman"/>
          <w:b w:val="0"/>
          <w:i w:val="0"/>
          <w:sz w:val="24"/>
          <w:u w:val="none"/>
        </w:rPr>
        <w:t>Access control was tested to confirm that WISN data can only be viewed or modified by legitimate, verified users.</w:t>
      </w:r>
    </w:p>
    <w:p>
      <w:pPr>
        <w:spacing w:before="80" w:after="240"/>
        <w:jc w:val="center"/>
      </w:pPr>
      <w:r>
        <w:rPr>
          <w:rFonts w:ascii="Times New Roman" w:hAnsi="Times New Roman" w:cs="Times New Roman"/>
          <w:b w:val="0"/>
          <w:i/>
          <w:sz w:val="24"/>
          <w:u w:val="none"/>
        </w:rPr>
        <w:t>Table 5.10: Test Cases – Access Control</w:t>
      </w:r>
    </w:p>
    <w:tbl>
      <w:tblPr>
        <w:tblStyle w:val="TableGrid"/>
        <w:tblW w:type="auto" w:w="0"/>
        <w:jc w:val="center"/>
        <w:tblLook w:firstColumn="1" w:firstRow="1" w:lastColumn="0" w:lastRow="0" w:noHBand="0" w:noVBand="1" w:val="04A0"/>
      </w:tblPr>
      <w:tblGrid>
        <w:gridCol w:w="1656"/>
        <w:gridCol w:w="1656"/>
        <w:gridCol w:w="1656"/>
        <w:gridCol w:w="1656"/>
        <w:gridCol w:w="1656"/>
      </w:tblGrid>
      <w:tr>
        <w:tc>
          <w:tcPr>
            <w:tcW w:type="dxa" w:w="1728"/>
            <w:shd w:val="clear" w:color="auto" w:fill="D9D9D9"/>
          </w:tcPr>
          <w:p>
            <w:pPr>
              <w:spacing w:before="60" w:after="60" w:line="360" w:lineRule="auto"/>
            </w:pPr>
            <w:r/>
            <w:r>
              <w:rPr>
                <w:rFonts w:ascii="Times New Roman" w:hAnsi="Times New Roman" w:cs="Times New Roman"/>
                <w:b/>
                <w:i w:val="0"/>
                <w:sz w:val="20"/>
                <w:u w:val="none"/>
              </w:rPr>
              <w:t>Test ID</w:t>
            </w:r>
          </w:p>
        </w:tc>
        <w:tc>
          <w:tcPr>
            <w:tcW w:type="dxa" w:w="1728"/>
            <w:shd w:val="clear" w:color="auto" w:fill="D9D9D9"/>
          </w:tcPr>
          <w:p>
            <w:pPr>
              <w:spacing w:before="60" w:after="60" w:line="360" w:lineRule="auto"/>
            </w:pPr>
            <w:r/>
            <w:r>
              <w:rPr>
                <w:rFonts w:ascii="Times New Roman" w:hAnsi="Times New Roman" w:cs="Times New Roman"/>
                <w:b/>
                <w:i w:val="0"/>
                <w:sz w:val="20"/>
                <w:u w:val="none"/>
              </w:rPr>
              <w:t>Description</w:t>
            </w:r>
          </w:p>
        </w:tc>
        <w:tc>
          <w:tcPr>
            <w:tcW w:type="dxa" w:w="1728"/>
            <w:shd w:val="clear" w:color="auto" w:fill="D9D9D9"/>
          </w:tcPr>
          <w:p>
            <w:pPr>
              <w:spacing w:before="60" w:after="60" w:line="360" w:lineRule="auto"/>
            </w:pPr>
            <w:r/>
            <w:r>
              <w:rPr>
                <w:rFonts w:ascii="Times New Roman" w:hAnsi="Times New Roman" w:cs="Times New Roman"/>
                <w:b/>
                <w:i w:val="0"/>
                <w:sz w:val="20"/>
                <w:u w:val="none"/>
              </w:rPr>
              <w:t>Expected Result</w:t>
            </w:r>
          </w:p>
        </w:tc>
        <w:tc>
          <w:tcPr>
            <w:tcW w:type="dxa" w:w="1728"/>
            <w:shd w:val="clear" w:color="auto" w:fill="D9D9D9"/>
          </w:tcPr>
          <w:p>
            <w:pPr>
              <w:spacing w:before="60" w:after="60" w:line="360" w:lineRule="auto"/>
            </w:pPr>
            <w:r/>
            <w:r>
              <w:rPr>
                <w:rFonts w:ascii="Times New Roman" w:hAnsi="Times New Roman" w:cs="Times New Roman"/>
                <w:b/>
                <w:i w:val="0"/>
                <w:sz w:val="20"/>
                <w:u w:val="none"/>
              </w:rPr>
              <w:t>Actual Result</w:t>
            </w:r>
          </w:p>
        </w:tc>
        <w:tc>
          <w:tcPr>
            <w:tcW w:type="dxa" w:w="1728"/>
            <w:shd w:val="clear" w:color="auto" w:fill="D9D9D9"/>
          </w:tcPr>
          <w:p>
            <w:pPr>
              <w:spacing w:before="60" w:after="60" w:line="360" w:lineRule="auto"/>
            </w:pPr>
            <w:r/>
            <w:r>
              <w:rPr>
                <w:rFonts w:ascii="Times New Roman" w:hAnsi="Times New Roman" w:cs="Times New Roman"/>
                <w:b/>
                <w:i w:val="0"/>
                <w:sz w:val="20"/>
                <w:u w:val="none"/>
              </w:rPr>
              <w:t>Status</w:t>
            </w:r>
          </w:p>
        </w:tc>
      </w:tr>
      <w:tr>
        <w:tc>
          <w:tcPr>
            <w:tcW w:type="dxa" w:w="1728"/>
          </w:tcPr>
          <w:p>
            <w:pPr>
              <w:spacing w:before="60" w:after="60" w:line="360" w:lineRule="auto"/>
            </w:pPr>
            <w:r/>
            <w:r>
              <w:rPr>
                <w:rFonts w:ascii="Times New Roman" w:hAnsi="Times New Roman" w:cs="Times New Roman"/>
                <w:b w:val="0"/>
                <w:i w:val="0"/>
                <w:sz w:val="20"/>
                <w:u w:val="none"/>
              </w:rPr>
              <w:t>TC-A1</w:t>
            </w:r>
          </w:p>
        </w:tc>
        <w:tc>
          <w:tcPr>
            <w:tcW w:type="dxa" w:w="1728"/>
          </w:tcPr>
          <w:p>
            <w:pPr>
              <w:spacing w:before="60" w:after="60" w:line="360" w:lineRule="auto"/>
            </w:pPr>
            <w:r/>
            <w:r>
              <w:rPr>
                <w:rFonts w:ascii="Times New Roman" w:hAnsi="Times New Roman" w:cs="Times New Roman"/>
                <w:b w:val="0"/>
                <w:i w:val="0"/>
                <w:sz w:val="20"/>
                <w:u w:val="none"/>
              </w:rPr>
              <w:t>Unauthenticated user attempts to open any protected page (dashboard, departments, activities, report)</w:t>
            </w:r>
          </w:p>
        </w:tc>
        <w:tc>
          <w:tcPr>
            <w:tcW w:type="dxa" w:w="1728"/>
          </w:tcPr>
          <w:p>
            <w:pPr>
              <w:spacing w:before="60" w:after="60" w:line="360" w:lineRule="auto"/>
            </w:pPr>
            <w:r/>
            <w:r>
              <w:rPr>
                <w:rFonts w:ascii="Times New Roman" w:hAnsi="Times New Roman" w:cs="Times New Roman"/>
                <w:b w:val="0"/>
                <w:i w:val="0"/>
                <w:sz w:val="20"/>
                <w:u w:val="none"/>
              </w:rPr>
              <w:t>Redirected to the login page</w:t>
            </w:r>
          </w:p>
        </w:tc>
        <w:tc>
          <w:tcPr>
            <w:tcW w:type="dxa" w:w="1728"/>
          </w:tcPr>
          <w:p>
            <w:pPr>
              <w:spacing w:before="60" w:after="60" w:line="360" w:lineRule="auto"/>
            </w:pPr>
            <w:r/>
            <w:r>
              <w:rPr>
                <w:rFonts w:ascii="Times New Roman" w:hAnsi="Times New Roman" w:cs="Times New Roman"/>
                <w:b w:val="0"/>
                <w:i w:val="0"/>
                <w:sz w:val="20"/>
                <w:u w:val="none"/>
              </w:rPr>
              <w:t>Redirected as expected</w:t>
            </w:r>
          </w:p>
        </w:tc>
        <w:tc>
          <w:tcPr>
            <w:tcW w:type="dxa" w:w="1728"/>
          </w:tcPr>
          <w:p>
            <w:pPr>
              <w:spacing w:before="60" w:after="60" w:line="360" w:lineRule="auto"/>
            </w:pPr>
            <w:r/>
            <w:r>
              <w:rPr>
                <w:rFonts w:ascii="Times New Roman" w:hAnsi="Times New Roman" w:cs="Times New Roman"/>
                <w:b w:val="0"/>
                <w:i w:val="0"/>
                <w:sz w:val="20"/>
                <w:u w:val="none"/>
              </w:rPr>
              <w:t>Pass</w:t>
            </w:r>
          </w:p>
        </w:tc>
      </w:tr>
      <w:tr>
        <w:tc>
          <w:tcPr>
            <w:tcW w:type="dxa" w:w="1728"/>
          </w:tcPr>
          <w:p>
            <w:pPr>
              <w:spacing w:before="60" w:after="60" w:line="360" w:lineRule="auto"/>
            </w:pPr>
            <w:r/>
            <w:r>
              <w:rPr>
                <w:rFonts w:ascii="Times New Roman" w:hAnsi="Times New Roman" w:cs="Times New Roman"/>
                <w:b w:val="0"/>
                <w:i w:val="0"/>
                <w:sz w:val="20"/>
                <w:u w:val="none"/>
              </w:rPr>
              <w:t>TC-A2</w:t>
            </w:r>
          </w:p>
        </w:tc>
        <w:tc>
          <w:tcPr>
            <w:tcW w:type="dxa" w:w="1728"/>
          </w:tcPr>
          <w:p>
            <w:pPr>
              <w:spacing w:before="60" w:after="60" w:line="360" w:lineRule="auto"/>
            </w:pPr>
            <w:r/>
            <w:r>
              <w:rPr>
                <w:rFonts w:ascii="Times New Roman" w:hAnsi="Times New Roman" w:cs="Times New Roman"/>
                <w:b w:val="0"/>
                <w:i w:val="0"/>
                <w:sz w:val="20"/>
                <w:u w:val="none"/>
              </w:rPr>
              <w:t>Authenticated but unverified user attempts to open a protected page</w:t>
            </w:r>
          </w:p>
        </w:tc>
        <w:tc>
          <w:tcPr>
            <w:tcW w:type="dxa" w:w="1728"/>
          </w:tcPr>
          <w:p>
            <w:pPr>
              <w:spacing w:before="60" w:after="60" w:line="360" w:lineRule="auto"/>
            </w:pPr>
            <w:r/>
            <w:r>
              <w:rPr>
                <w:rFonts w:ascii="Times New Roman" w:hAnsi="Times New Roman" w:cs="Times New Roman"/>
                <w:b w:val="0"/>
                <w:i w:val="0"/>
                <w:sz w:val="20"/>
                <w:u w:val="none"/>
              </w:rPr>
              <w:t>Redirected to the email-verification prompt</w:t>
            </w:r>
          </w:p>
        </w:tc>
        <w:tc>
          <w:tcPr>
            <w:tcW w:type="dxa" w:w="1728"/>
          </w:tcPr>
          <w:p>
            <w:pPr>
              <w:spacing w:before="60" w:after="60" w:line="360" w:lineRule="auto"/>
            </w:pPr>
            <w:r/>
            <w:r>
              <w:rPr>
                <w:rFonts w:ascii="Times New Roman" w:hAnsi="Times New Roman" w:cs="Times New Roman"/>
                <w:b w:val="0"/>
                <w:i w:val="0"/>
                <w:sz w:val="20"/>
                <w:u w:val="none"/>
              </w:rPr>
              <w:t>Redirected as expected</w:t>
            </w:r>
          </w:p>
        </w:tc>
        <w:tc>
          <w:tcPr>
            <w:tcW w:type="dxa" w:w="1728"/>
          </w:tcPr>
          <w:p>
            <w:pPr>
              <w:spacing w:before="60" w:after="60" w:line="360" w:lineRule="auto"/>
            </w:pPr>
            <w:r/>
            <w:r>
              <w:rPr>
                <w:rFonts w:ascii="Times New Roman" w:hAnsi="Times New Roman" w:cs="Times New Roman"/>
                <w:b w:val="0"/>
                <w:i w:val="0"/>
                <w:sz w:val="20"/>
                <w:u w:val="none"/>
              </w:rPr>
              <w:t>Pass</w:t>
            </w:r>
          </w:p>
        </w:tc>
      </w:tr>
      <w:tr>
        <w:tc>
          <w:tcPr>
            <w:tcW w:type="dxa" w:w="1728"/>
          </w:tcPr>
          <w:p>
            <w:pPr>
              <w:spacing w:before="60" w:after="60" w:line="360" w:lineRule="auto"/>
            </w:pPr>
            <w:r/>
            <w:r>
              <w:rPr>
                <w:rFonts w:ascii="Times New Roman" w:hAnsi="Times New Roman" w:cs="Times New Roman"/>
                <w:b w:val="0"/>
                <w:i w:val="0"/>
                <w:sz w:val="20"/>
                <w:u w:val="none"/>
              </w:rPr>
              <w:t>TC-A3</w:t>
            </w:r>
          </w:p>
        </w:tc>
        <w:tc>
          <w:tcPr>
            <w:tcW w:type="dxa" w:w="1728"/>
          </w:tcPr>
          <w:p>
            <w:pPr>
              <w:spacing w:before="60" w:after="60" w:line="360" w:lineRule="auto"/>
            </w:pPr>
            <w:r/>
            <w:r>
              <w:rPr>
                <w:rFonts w:ascii="Times New Roman" w:hAnsi="Times New Roman" w:cs="Times New Roman"/>
                <w:b w:val="0"/>
                <w:i w:val="0"/>
                <w:sz w:val="20"/>
                <w:u w:val="none"/>
              </w:rPr>
              <w:t>Authenticated and verified user opens a protected page</w:t>
            </w:r>
          </w:p>
        </w:tc>
        <w:tc>
          <w:tcPr>
            <w:tcW w:type="dxa" w:w="1728"/>
          </w:tcPr>
          <w:p>
            <w:pPr>
              <w:spacing w:before="60" w:after="60" w:line="360" w:lineRule="auto"/>
            </w:pPr>
            <w:r/>
            <w:r>
              <w:rPr>
                <w:rFonts w:ascii="Times New Roman" w:hAnsi="Times New Roman" w:cs="Times New Roman"/>
                <w:b w:val="0"/>
                <w:i w:val="0"/>
                <w:sz w:val="20"/>
                <w:u w:val="none"/>
              </w:rPr>
              <w:t>Page loads normally</w:t>
            </w:r>
          </w:p>
        </w:tc>
        <w:tc>
          <w:tcPr>
            <w:tcW w:type="dxa" w:w="1728"/>
          </w:tcPr>
          <w:p>
            <w:pPr>
              <w:spacing w:before="60" w:after="60" w:line="360" w:lineRule="auto"/>
            </w:pPr>
            <w:r/>
            <w:r>
              <w:rPr>
                <w:rFonts w:ascii="Times New Roman" w:hAnsi="Times New Roman" w:cs="Times New Roman"/>
                <w:b w:val="0"/>
                <w:i w:val="0"/>
                <w:sz w:val="20"/>
                <w:u w:val="none"/>
              </w:rPr>
              <w:t>Loaded successfully</w:t>
            </w:r>
          </w:p>
        </w:tc>
        <w:tc>
          <w:tcPr>
            <w:tcW w:type="dxa" w:w="1728"/>
          </w:tcPr>
          <w:p>
            <w:pPr>
              <w:spacing w:before="60" w:after="60" w:line="360" w:lineRule="auto"/>
            </w:pPr>
            <w:r/>
            <w:r>
              <w:rPr>
                <w:rFonts w:ascii="Times New Roman" w:hAnsi="Times New Roman" w:cs="Times New Roman"/>
                <w:b w:val="0"/>
                <w:i w:val="0"/>
                <w:sz w:val="20"/>
                <w:u w:val="none"/>
              </w:rPr>
              <w:t>Pass</w:t>
            </w:r>
          </w:p>
        </w:tc>
      </w:tr>
      <w:tr>
        <w:tc>
          <w:tcPr>
            <w:tcW w:type="dxa" w:w="1728"/>
          </w:tcPr>
          <w:p>
            <w:pPr>
              <w:spacing w:before="60" w:after="60" w:line="360" w:lineRule="auto"/>
            </w:pPr>
            <w:r/>
            <w:r>
              <w:rPr>
                <w:rFonts w:ascii="Times New Roman" w:hAnsi="Times New Roman" w:cs="Times New Roman"/>
                <w:b w:val="0"/>
                <w:i w:val="0"/>
                <w:sz w:val="20"/>
                <w:u w:val="none"/>
              </w:rPr>
              <w:t>TC-A4</w:t>
            </w:r>
          </w:p>
        </w:tc>
        <w:tc>
          <w:tcPr>
            <w:tcW w:type="dxa" w:w="1728"/>
          </w:tcPr>
          <w:p>
            <w:pPr>
              <w:spacing w:before="60" w:after="60" w:line="360" w:lineRule="auto"/>
            </w:pPr>
            <w:r/>
            <w:r>
              <w:rPr>
                <w:rFonts w:ascii="Times New Roman" w:hAnsi="Times New Roman" w:cs="Times New Roman"/>
                <w:b w:val="0"/>
                <w:i w:val="0"/>
                <w:sz w:val="20"/>
                <w:u w:val="none"/>
              </w:rPr>
              <w:t>Form submission without a valid session token</w:t>
            </w:r>
          </w:p>
        </w:tc>
        <w:tc>
          <w:tcPr>
            <w:tcW w:type="dxa" w:w="1728"/>
          </w:tcPr>
          <w:p>
            <w:pPr>
              <w:spacing w:before="60" w:after="60" w:line="360" w:lineRule="auto"/>
            </w:pPr>
            <w:r/>
            <w:r>
              <w:rPr>
                <w:rFonts w:ascii="Times New Roman" w:hAnsi="Times New Roman" w:cs="Times New Roman"/>
                <w:b w:val="0"/>
                <w:i w:val="0"/>
                <w:sz w:val="20"/>
                <w:u w:val="none"/>
              </w:rPr>
              <w:t>Submission rejected</w:t>
            </w:r>
          </w:p>
        </w:tc>
        <w:tc>
          <w:tcPr>
            <w:tcW w:type="dxa" w:w="1728"/>
          </w:tcPr>
          <w:p>
            <w:pPr>
              <w:spacing w:before="60" w:after="60" w:line="360" w:lineRule="auto"/>
            </w:pPr>
            <w:r/>
            <w:r>
              <w:rPr>
                <w:rFonts w:ascii="Times New Roman" w:hAnsi="Times New Roman" w:cs="Times New Roman"/>
                <w:b w:val="0"/>
                <w:i w:val="0"/>
                <w:sz w:val="20"/>
                <w:u w:val="none"/>
              </w:rPr>
              <w:t>Submission rejected</w:t>
            </w:r>
          </w:p>
        </w:tc>
        <w:tc>
          <w:tcPr>
            <w:tcW w:type="dxa" w:w="1728"/>
          </w:tcPr>
          <w:p>
            <w:pPr>
              <w:spacing w:before="60" w:after="60" w:line="360" w:lineRule="auto"/>
            </w:pPr>
            <w:r/>
            <w:r>
              <w:rPr>
                <w:rFonts w:ascii="Times New Roman" w:hAnsi="Times New Roman" w:cs="Times New Roman"/>
                <w:b w:val="0"/>
                <w:i w:val="0"/>
                <w:sz w:val="20"/>
                <w:u w:val="none"/>
              </w:rPr>
              <w:t>Pass</w:t>
            </w:r>
          </w:p>
        </w:tc>
      </w:tr>
    </w:tbl>
    <w:p>
      <w:pPr>
        <w:pStyle w:val="Heading2"/>
      </w:pPr>
      <w:r>
        <w:rPr>
          <w:rFonts w:ascii="Times New Roman" w:hAnsi="Times New Roman" w:cs="Times New Roman"/>
          <w:b/>
          <w:i w:val="0"/>
          <w:sz w:val="32"/>
          <w:u w:val="none"/>
        </w:rPr>
        <w:t>5.9 Test Cases – Report Output Consistency</w:t>
      </w:r>
    </w:p>
    <w:p>
      <w:pPr/>
      <w:r>
        <w:rPr>
          <w:rFonts w:ascii="Times New Roman" w:hAnsi="Times New Roman" w:cs="Times New Roman"/>
          <w:b w:val="0"/>
          <w:i w:val="0"/>
          <w:sz w:val="24"/>
          <w:u w:val="none"/>
        </w:rPr>
        <w:t>The downloadable PDF report was checked against the dashboard to confirm the two outputs never disagree.</w:t>
      </w:r>
    </w:p>
    <w:p>
      <w:pPr>
        <w:spacing w:before="80" w:after="240"/>
        <w:jc w:val="center"/>
      </w:pPr>
      <w:r>
        <w:rPr>
          <w:rFonts w:ascii="Times New Roman" w:hAnsi="Times New Roman" w:cs="Times New Roman"/>
          <w:b w:val="0"/>
          <w:i/>
          <w:sz w:val="24"/>
          <w:u w:val="none"/>
        </w:rPr>
        <w:t>Table 5.11: Test Cases – Report Output Consistency</w:t>
      </w:r>
    </w:p>
    <w:tbl>
      <w:tblPr>
        <w:tblStyle w:val="TableGrid"/>
        <w:tblW w:type="auto" w:w="0"/>
        <w:jc w:val="center"/>
        <w:tblLook w:firstColumn="1" w:firstRow="1" w:lastColumn="0" w:lastRow="0" w:noHBand="0" w:noVBand="1" w:val="04A0"/>
      </w:tblPr>
      <w:tblGrid>
        <w:gridCol w:w="1656"/>
        <w:gridCol w:w="1656"/>
        <w:gridCol w:w="1656"/>
        <w:gridCol w:w="1656"/>
        <w:gridCol w:w="1656"/>
      </w:tblGrid>
      <w:tr>
        <w:tc>
          <w:tcPr>
            <w:tcW w:type="dxa" w:w="1728"/>
            <w:shd w:val="clear" w:color="auto" w:fill="D9D9D9"/>
          </w:tcPr>
          <w:p>
            <w:pPr>
              <w:spacing w:before="60" w:after="60" w:line="360" w:lineRule="auto"/>
            </w:pPr>
            <w:r/>
            <w:r>
              <w:rPr>
                <w:rFonts w:ascii="Times New Roman" w:hAnsi="Times New Roman" w:cs="Times New Roman"/>
                <w:b/>
                <w:i w:val="0"/>
                <w:sz w:val="20"/>
                <w:u w:val="none"/>
              </w:rPr>
              <w:t>Test ID</w:t>
            </w:r>
          </w:p>
        </w:tc>
        <w:tc>
          <w:tcPr>
            <w:tcW w:type="dxa" w:w="1728"/>
            <w:shd w:val="clear" w:color="auto" w:fill="D9D9D9"/>
          </w:tcPr>
          <w:p>
            <w:pPr>
              <w:spacing w:before="60" w:after="60" w:line="360" w:lineRule="auto"/>
            </w:pPr>
            <w:r/>
            <w:r>
              <w:rPr>
                <w:rFonts w:ascii="Times New Roman" w:hAnsi="Times New Roman" w:cs="Times New Roman"/>
                <w:b/>
                <w:i w:val="0"/>
                <w:sz w:val="20"/>
                <w:u w:val="none"/>
              </w:rPr>
              <w:t>Description</w:t>
            </w:r>
          </w:p>
        </w:tc>
        <w:tc>
          <w:tcPr>
            <w:tcW w:type="dxa" w:w="1728"/>
            <w:shd w:val="clear" w:color="auto" w:fill="D9D9D9"/>
          </w:tcPr>
          <w:p>
            <w:pPr>
              <w:spacing w:before="60" w:after="60" w:line="360" w:lineRule="auto"/>
            </w:pPr>
            <w:r/>
            <w:r>
              <w:rPr>
                <w:rFonts w:ascii="Times New Roman" w:hAnsi="Times New Roman" w:cs="Times New Roman"/>
                <w:b/>
                <w:i w:val="0"/>
                <w:sz w:val="20"/>
                <w:u w:val="none"/>
              </w:rPr>
              <w:t>Expected Result</w:t>
            </w:r>
          </w:p>
        </w:tc>
        <w:tc>
          <w:tcPr>
            <w:tcW w:type="dxa" w:w="1728"/>
            <w:shd w:val="clear" w:color="auto" w:fill="D9D9D9"/>
          </w:tcPr>
          <w:p>
            <w:pPr>
              <w:spacing w:before="60" w:after="60" w:line="360" w:lineRule="auto"/>
            </w:pPr>
            <w:r/>
            <w:r>
              <w:rPr>
                <w:rFonts w:ascii="Times New Roman" w:hAnsi="Times New Roman" w:cs="Times New Roman"/>
                <w:b/>
                <w:i w:val="0"/>
                <w:sz w:val="20"/>
                <w:u w:val="none"/>
              </w:rPr>
              <w:t>Actual Result</w:t>
            </w:r>
          </w:p>
        </w:tc>
        <w:tc>
          <w:tcPr>
            <w:tcW w:type="dxa" w:w="1728"/>
            <w:shd w:val="clear" w:color="auto" w:fill="D9D9D9"/>
          </w:tcPr>
          <w:p>
            <w:pPr>
              <w:spacing w:before="60" w:after="60" w:line="360" w:lineRule="auto"/>
            </w:pPr>
            <w:r/>
            <w:r>
              <w:rPr>
                <w:rFonts w:ascii="Times New Roman" w:hAnsi="Times New Roman" w:cs="Times New Roman"/>
                <w:b/>
                <w:i w:val="0"/>
                <w:sz w:val="20"/>
                <w:u w:val="none"/>
              </w:rPr>
              <w:t>Status</w:t>
            </w:r>
          </w:p>
        </w:tc>
      </w:tr>
      <w:tr>
        <w:tc>
          <w:tcPr>
            <w:tcW w:type="dxa" w:w="1728"/>
          </w:tcPr>
          <w:p>
            <w:pPr>
              <w:spacing w:before="60" w:after="60" w:line="360" w:lineRule="auto"/>
            </w:pPr>
            <w:r/>
            <w:r>
              <w:rPr>
                <w:rFonts w:ascii="Times New Roman" w:hAnsi="Times New Roman" w:cs="Times New Roman"/>
                <w:b w:val="0"/>
                <w:i w:val="0"/>
                <w:sz w:val="20"/>
                <w:u w:val="none"/>
              </w:rPr>
              <w:t>TC-R1</w:t>
            </w:r>
          </w:p>
        </w:tc>
        <w:tc>
          <w:tcPr>
            <w:tcW w:type="dxa" w:w="1728"/>
          </w:tcPr>
          <w:p>
            <w:pPr>
              <w:spacing w:before="60" w:after="60" w:line="360" w:lineRule="auto"/>
            </w:pPr>
            <w:r/>
            <w:r>
              <w:rPr>
                <w:rFonts w:ascii="Times New Roman" w:hAnsi="Times New Roman" w:cs="Times New Roman"/>
                <w:b w:val="0"/>
                <w:i w:val="0"/>
                <w:sz w:val="20"/>
                <w:u w:val="none"/>
              </w:rPr>
              <w:t>Facility-level totals (current staff, required staff, facility ratio) match between dashboard and PDF</w:t>
            </w:r>
          </w:p>
        </w:tc>
        <w:tc>
          <w:tcPr>
            <w:tcW w:type="dxa" w:w="1728"/>
          </w:tcPr>
          <w:p>
            <w:pPr>
              <w:spacing w:before="60" w:after="60" w:line="360" w:lineRule="auto"/>
            </w:pPr>
            <w:r/>
            <w:r>
              <w:rPr>
                <w:rFonts w:ascii="Times New Roman" w:hAnsi="Times New Roman" w:cs="Times New Roman"/>
                <w:b w:val="0"/>
                <w:i w:val="0"/>
                <w:sz w:val="20"/>
                <w:u w:val="none"/>
              </w:rPr>
              <w:t>Identical figures in both outputs</w:t>
            </w:r>
          </w:p>
        </w:tc>
        <w:tc>
          <w:tcPr>
            <w:tcW w:type="dxa" w:w="1728"/>
          </w:tcPr>
          <w:p>
            <w:pPr>
              <w:spacing w:before="60" w:after="60" w:line="360" w:lineRule="auto"/>
            </w:pPr>
            <w:r/>
            <w:r>
              <w:rPr>
                <w:rFonts w:ascii="Times New Roman" w:hAnsi="Times New Roman" w:cs="Times New Roman"/>
                <w:b w:val="0"/>
                <w:i w:val="0"/>
                <w:sz w:val="20"/>
                <w:u w:val="none"/>
              </w:rPr>
              <w:t>Matched exactly</w:t>
            </w:r>
          </w:p>
        </w:tc>
        <w:tc>
          <w:tcPr>
            <w:tcW w:type="dxa" w:w="1728"/>
          </w:tcPr>
          <w:p>
            <w:pPr>
              <w:spacing w:before="60" w:after="60" w:line="360" w:lineRule="auto"/>
            </w:pPr>
            <w:r/>
            <w:r>
              <w:rPr>
                <w:rFonts w:ascii="Times New Roman" w:hAnsi="Times New Roman" w:cs="Times New Roman"/>
                <w:b w:val="0"/>
                <w:i w:val="0"/>
                <w:sz w:val="20"/>
                <w:u w:val="none"/>
              </w:rPr>
              <w:t>Pass</w:t>
            </w:r>
          </w:p>
        </w:tc>
      </w:tr>
      <w:tr>
        <w:tc>
          <w:tcPr>
            <w:tcW w:type="dxa" w:w="1728"/>
          </w:tcPr>
          <w:p>
            <w:pPr>
              <w:spacing w:before="60" w:after="60" w:line="360" w:lineRule="auto"/>
            </w:pPr>
            <w:r/>
            <w:r>
              <w:rPr>
                <w:rFonts w:ascii="Times New Roman" w:hAnsi="Times New Roman" w:cs="Times New Roman"/>
                <w:b w:val="0"/>
                <w:i w:val="0"/>
                <w:sz w:val="20"/>
                <w:u w:val="none"/>
              </w:rPr>
              <w:t>TC-R2</w:t>
            </w:r>
          </w:p>
        </w:tc>
        <w:tc>
          <w:tcPr>
            <w:tcW w:type="dxa" w:w="1728"/>
          </w:tcPr>
          <w:p>
            <w:pPr>
              <w:spacing w:before="60" w:after="60" w:line="360" w:lineRule="auto"/>
            </w:pPr>
            <w:r/>
            <w:r>
              <w:rPr>
                <w:rFonts w:ascii="Times New Roman" w:hAnsi="Times New Roman" w:cs="Times New Roman"/>
                <w:b w:val="0"/>
                <w:i w:val="0"/>
                <w:sz w:val="20"/>
                <w:u w:val="none"/>
              </w:rPr>
              <w:t>Per-department WISN ratio and status match between dashboard and PDF</w:t>
            </w:r>
          </w:p>
        </w:tc>
        <w:tc>
          <w:tcPr>
            <w:tcW w:type="dxa" w:w="1728"/>
          </w:tcPr>
          <w:p>
            <w:pPr>
              <w:spacing w:before="60" w:after="60" w:line="360" w:lineRule="auto"/>
            </w:pPr>
            <w:r/>
            <w:r>
              <w:rPr>
                <w:rFonts w:ascii="Times New Roman" w:hAnsi="Times New Roman" w:cs="Times New Roman"/>
                <w:b w:val="0"/>
                <w:i w:val="0"/>
                <w:sz w:val="20"/>
                <w:u w:val="none"/>
              </w:rPr>
              <w:t>Identical figures and status labels</w:t>
            </w:r>
          </w:p>
        </w:tc>
        <w:tc>
          <w:tcPr>
            <w:tcW w:type="dxa" w:w="1728"/>
          </w:tcPr>
          <w:p>
            <w:pPr>
              <w:spacing w:before="60" w:after="60" w:line="360" w:lineRule="auto"/>
            </w:pPr>
            <w:r/>
            <w:r>
              <w:rPr>
                <w:rFonts w:ascii="Times New Roman" w:hAnsi="Times New Roman" w:cs="Times New Roman"/>
                <w:b w:val="0"/>
                <w:i w:val="0"/>
                <w:sz w:val="20"/>
                <w:u w:val="none"/>
              </w:rPr>
              <w:t>Matched exactly</w:t>
            </w:r>
          </w:p>
        </w:tc>
        <w:tc>
          <w:tcPr>
            <w:tcW w:type="dxa" w:w="1728"/>
          </w:tcPr>
          <w:p>
            <w:pPr>
              <w:spacing w:before="60" w:after="60" w:line="360" w:lineRule="auto"/>
            </w:pPr>
            <w:r/>
            <w:r>
              <w:rPr>
                <w:rFonts w:ascii="Times New Roman" w:hAnsi="Times New Roman" w:cs="Times New Roman"/>
                <w:b w:val="0"/>
                <w:i w:val="0"/>
                <w:sz w:val="20"/>
                <w:u w:val="none"/>
              </w:rPr>
              <w:t>Pass</w:t>
            </w:r>
          </w:p>
        </w:tc>
      </w:tr>
      <w:tr>
        <w:tc>
          <w:tcPr>
            <w:tcW w:type="dxa" w:w="1728"/>
          </w:tcPr>
          <w:p>
            <w:pPr>
              <w:spacing w:before="60" w:after="60" w:line="360" w:lineRule="auto"/>
            </w:pPr>
            <w:r/>
            <w:r>
              <w:rPr>
                <w:rFonts w:ascii="Times New Roman" w:hAnsi="Times New Roman" w:cs="Times New Roman"/>
                <w:b w:val="0"/>
                <w:i w:val="0"/>
                <w:sz w:val="20"/>
                <w:u w:val="none"/>
              </w:rPr>
              <w:t>TC-R3</w:t>
            </w:r>
          </w:p>
        </w:tc>
        <w:tc>
          <w:tcPr>
            <w:tcW w:type="dxa" w:w="1728"/>
          </w:tcPr>
          <w:p>
            <w:pPr>
              <w:spacing w:before="60" w:after="60" w:line="360" w:lineRule="auto"/>
            </w:pPr>
            <w:r/>
            <w:r>
              <w:rPr>
                <w:rFonts w:ascii="Times New Roman" w:hAnsi="Times New Roman" w:cs="Times New Roman"/>
                <w:b w:val="0"/>
                <w:i w:val="0"/>
                <w:sz w:val="20"/>
                <w:u w:val="none"/>
              </w:rPr>
              <w:t>AWT breakdown for each department displayed correctly in the PDF</w:t>
            </w:r>
          </w:p>
        </w:tc>
        <w:tc>
          <w:tcPr>
            <w:tcW w:type="dxa" w:w="1728"/>
          </w:tcPr>
          <w:p>
            <w:pPr>
              <w:spacing w:before="60" w:after="60" w:line="360" w:lineRule="auto"/>
            </w:pPr>
            <w:r/>
            <w:r>
              <w:rPr>
                <w:rFonts w:ascii="Times New Roman" w:hAnsi="Times New Roman" w:cs="Times New Roman"/>
                <w:b w:val="0"/>
                <w:i w:val="0"/>
                <w:sz w:val="20"/>
                <w:u w:val="none"/>
              </w:rPr>
              <w:t>Six statutory components shown, summing to the correct net AWT</w:t>
            </w:r>
          </w:p>
        </w:tc>
        <w:tc>
          <w:tcPr>
            <w:tcW w:type="dxa" w:w="1728"/>
          </w:tcPr>
          <w:p>
            <w:pPr>
              <w:spacing w:before="60" w:after="60" w:line="360" w:lineRule="auto"/>
            </w:pPr>
            <w:r/>
            <w:r>
              <w:rPr>
                <w:rFonts w:ascii="Times New Roman" w:hAnsi="Times New Roman" w:cs="Times New Roman"/>
                <w:b w:val="0"/>
                <w:i w:val="0"/>
                <w:sz w:val="20"/>
                <w:u w:val="none"/>
              </w:rPr>
              <w:t>Correct in all four departments</w:t>
            </w:r>
          </w:p>
        </w:tc>
        <w:tc>
          <w:tcPr>
            <w:tcW w:type="dxa" w:w="1728"/>
          </w:tcPr>
          <w:p>
            <w:pPr>
              <w:spacing w:before="60" w:after="60" w:line="360" w:lineRule="auto"/>
            </w:pPr>
            <w:r/>
            <w:r>
              <w:rPr>
                <w:rFonts w:ascii="Times New Roman" w:hAnsi="Times New Roman" w:cs="Times New Roman"/>
                <w:b w:val="0"/>
                <w:i w:val="0"/>
                <w:sz w:val="20"/>
                <w:u w:val="none"/>
              </w:rPr>
              <w:t>Pass</w:t>
            </w:r>
          </w:p>
        </w:tc>
      </w:tr>
    </w:tbl>
    <w:p>
      <w:pPr>
        <w:pStyle w:val="Heading2"/>
      </w:pPr>
      <w:r>
        <w:rPr>
          <w:rFonts w:ascii="Times New Roman" w:hAnsi="Times New Roman" w:cs="Times New Roman"/>
          <w:b/>
          <w:i w:val="0"/>
          <w:sz w:val="32"/>
          <w:u w:val="none"/>
        </w:rPr>
        <w:t>5.10 Summary</w:t>
      </w:r>
    </w:p>
    <w:p>
      <w:pPr/>
      <w:r>
        <w:rPr>
          <w:rFonts w:ascii="Times New Roman" w:hAnsi="Times New Roman" w:cs="Times New Roman"/>
          <w:b w:val="0"/>
          <w:i w:val="0"/>
          <w:sz w:val="24"/>
          <w:u w:val="none"/>
        </w:rPr>
        <w:t>Across all testing categories, the system's WISN calculations matched independently verified, manually calculated values with zero discrepancy. Access control behaved as designed across all four test scenarios. Report output was consistent with dashboard data in all three checked parameters. The one boundary condition tested (CAF with excessive support time) was handled gracefully without producing an invalid result.</w:t>
      </w:r>
    </w:p>
    <w:p>
      <w:pPr>
        <w:pStyle w:val="Heading1"/>
        <w:pageBreakBefore/>
        <w:spacing w:before="480" w:after="240"/>
      </w:pPr>
      <w:r>
        <w:rPr>
          <w:rFonts w:ascii="Times New Roman" w:hAnsi="Times New Roman" w:cs="Times New Roman"/>
          <w:b/>
          <w:i w:val="0"/>
          <w:sz w:val="36"/>
          <w:u w:val="none"/>
        </w:rPr>
        <w:t>Chapter 6: Conclusion</w:t>
      </w:r>
    </w:p>
    <w:p>
      <w:pPr>
        <w:pStyle w:val="Heading2"/>
      </w:pPr>
      <w:r>
        <w:rPr>
          <w:rFonts w:ascii="Times New Roman" w:hAnsi="Times New Roman" w:cs="Times New Roman"/>
          <w:b/>
          <w:i w:val="0"/>
          <w:sz w:val="32"/>
          <w:u w:val="none"/>
        </w:rPr>
        <w:t>6.1 Summary and Contributions</w:t>
      </w:r>
    </w:p>
    <w:p>
      <w:pPr/>
      <w:r>
        <w:rPr>
          <w:rFonts w:ascii="Times New Roman" w:hAnsi="Times New Roman" w:cs="Times New Roman"/>
          <w:b w:val="0"/>
          <w:i w:val="0"/>
          <w:sz w:val="24"/>
          <w:u w:val="none"/>
        </w:rPr>
        <w:t>WISN Core demonstrates that a rigorous, empirically anchored health informatics web application can be successfully built within an academic project timeframe using open-source technologies. The prototype fully implements the WHO three-component WISN staffing calculation, including the CAF boundary safeguard, derives Available Working Time from six statutory inputs aligned to the Nepal Labour Act 2074, and produces results that match manually verified calculations with zero discrepancy.</w:t>
      </w:r>
    </w:p>
    <w:p>
      <w:pPr/>
      <w:r>
        <w:rPr>
          <w:rFonts w:ascii="Times New Roman" w:hAnsi="Times New Roman" w:cs="Times New Roman"/>
          <w:b w:val="0"/>
          <w:i w:val="0"/>
          <w:sz w:val="24"/>
          <w:u w:val="none"/>
        </w:rPr>
        <w:t>The key technical contribution of the project is its WISN calculation engine, which automates the three-component WISN pipeline — eliminating the manual arithmetic errors inherent in spreadsheet implementations — and surfaces the results on an interactive dashboard and downloadable PDF report accessible through a secure web interface.</w:t>
      </w:r>
    </w:p>
    <w:p>
      <w:pPr/>
      <w:r>
        <w:rPr>
          <w:rFonts w:ascii="Times New Roman" w:hAnsi="Times New Roman" w:cs="Times New Roman"/>
          <w:b w:val="0"/>
          <w:i w:val="0"/>
          <w:sz w:val="24"/>
          <w:u w:val="none"/>
        </w:rPr>
        <w:t>The application's six-field AWT breakdown interface provides a legally defensible capacity-planning parameter by allowing administrators to configure leave entitlements in accordance with current Nepalese legislation, rather than relying on a single hard-coded assumption.</w:t>
      </w:r>
    </w:p>
    <w:p>
      <w:pPr/>
      <w:r>
        <w:rPr>
          <w:rFonts w:ascii="Times New Roman" w:hAnsi="Times New Roman" w:cs="Times New Roman"/>
          <w:b w:val="0"/>
          <w:i w:val="0"/>
          <w:sz w:val="24"/>
          <w:u w:val="none"/>
        </w:rPr>
        <w:t>Beyond its immediate utility as a hospital management tool, WISN Core establishes a replicable approach for health informatics prototyping: using empirically sourced seeder data to validate calculations before deployment, deriving statutory parameters from published legislation, and building against internationally validated methodologies rather than ad hoc rules.</w:t>
      </w:r>
    </w:p>
    <w:p>
      <w:pPr/>
      <w:r>
        <w:rPr>
          <w:rFonts w:ascii="Times New Roman" w:hAnsi="Times New Roman" w:cs="Times New Roman"/>
          <w:b w:val="0"/>
          <w:i w:val="0"/>
          <w:sz w:val="24"/>
          <w:u w:val="none"/>
        </w:rPr>
        <w:t>This project successfully developed a web-based nursing staffing tool that implements WHO WISN methodology in an accessible, Nepal-specific digital format. The prototype fills a concrete gap in the Nepalese health system's digital infrastructure: a locally adapted, publicly accessible tool that enables facility-level quantification of the nursing staffing gap using an internationally validated framework.</w:t>
      </w:r>
    </w:p>
    <w:p>
      <w:pPr/>
      <w:r>
        <w:rPr>
          <w:rFonts w:ascii="Times New Roman" w:hAnsi="Times New Roman" w:cs="Times New Roman"/>
          <w:b w:val="0"/>
          <w:i w:val="0"/>
          <w:sz w:val="24"/>
          <w:u w:val="none"/>
        </w:rPr>
        <w:t>The problem the project addresses is both real and consequential. Nepalese hospitals face nursing workforce challenges that the 2021 Nepal Health Facility Survey documented quantitatively and that published burnout studies have linked directly to patient safety outcomes. WISN Core provides a technically sound, legally grounded, and operationally feasible tool to begin addressing this problem systematically.</w:t>
      </w:r>
    </w:p>
    <w:p>
      <w:pPr/>
      <w:r>
        <w:rPr>
          <w:rFonts w:ascii="Times New Roman" w:hAnsi="Times New Roman" w:cs="Times New Roman"/>
          <w:b w:val="0"/>
          <w:i w:val="0"/>
          <w:sz w:val="24"/>
          <w:u w:val="none"/>
        </w:rPr>
        <w:t>The project's significance extends across several dimensions:</w:t>
      </w:r>
    </w:p>
    <w:p>
      <w:pPr>
        <w:pStyle w:val="ListBullet"/>
        <w:spacing w:after="120"/>
        <w:ind w:left="720"/>
      </w:pPr>
      <w:r>
        <w:rPr>
          <w:rFonts w:ascii="Times New Roman" w:hAnsi="Times New Roman" w:cs="Times New Roman"/>
          <w:b w:val="0"/>
          <w:i w:val="0"/>
          <w:sz w:val="24"/>
          <w:u w:val="none"/>
        </w:rPr>
        <w:t>Hospital management — the tool enables administrators to identify departments under excessive workload pressure, allocate existing staff more equitably across departments, and build quantitative evidence for staffing requests to hospital boards or MoHP planning bodies.</w:t>
      </w:r>
    </w:p>
    <w:p>
      <w:pPr>
        <w:pStyle w:val="ListBullet"/>
        <w:spacing w:after="120"/>
        <w:ind w:left="720"/>
      </w:pPr>
      <w:r>
        <w:rPr>
          <w:rFonts w:ascii="Times New Roman" w:hAnsi="Times New Roman" w:cs="Times New Roman"/>
          <w:b w:val="0"/>
          <w:i w:val="0"/>
          <w:sz w:val="24"/>
          <w:u w:val="none"/>
        </w:rPr>
        <w:t>Nursing staff — evidence-based identification of understaffed departments provides objective justification for staffing improvements, countering anecdotal or administrative resistance.</w:t>
      </w:r>
    </w:p>
    <w:p>
      <w:pPr>
        <w:pStyle w:val="ListBullet"/>
        <w:spacing w:after="120"/>
        <w:ind w:left="720"/>
      </w:pPr>
      <w:r>
        <w:rPr>
          <w:rFonts w:ascii="Times New Roman" w:hAnsi="Times New Roman" w:cs="Times New Roman"/>
          <w:b w:val="0"/>
          <w:i w:val="0"/>
          <w:sz w:val="24"/>
          <w:u w:val="none"/>
        </w:rPr>
        <w:t>Nepal's health system — the project contributes to strengthening workforce-planning capacity by making an internationally validated methodology accessible and actionable at the facility level, aligned with the MoHP's stated commitment to WISN-based HRH planning.</w:t>
      </w:r>
    </w:p>
    <w:p>
      <w:pPr>
        <w:pStyle w:val="ListBullet"/>
        <w:spacing w:after="120"/>
        <w:ind w:left="720"/>
      </w:pPr>
      <w:r>
        <w:rPr>
          <w:rFonts w:ascii="Times New Roman" w:hAnsi="Times New Roman" w:cs="Times New Roman"/>
          <w:b w:val="0"/>
          <w:i w:val="0"/>
          <w:sz w:val="24"/>
          <w:u w:val="none"/>
        </w:rPr>
        <w:t>Health informatics education — the project demonstrates the complete lifecycle of a health informatics application, from requirements analysis through empirically validated implementation to testing, within a single academic project.</w:t>
      </w:r>
    </w:p>
    <w:p>
      <w:pPr/>
      <w:r>
        <w:rPr>
          <w:rFonts w:ascii="Times New Roman" w:hAnsi="Times New Roman" w:cs="Times New Roman"/>
          <w:b w:val="0"/>
          <w:i w:val="0"/>
          <w:sz w:val="24"/>
          <w:u w:val="none"/>
        </w:rPr>
        <w:t>At the same time, the project acknowledges its limitations. It is a prototype requiring additional phases before full-scale deployment: multi-facility support, role-based access control, live EHR integration, and a formal clinical validation study using real facility data. These are not deficiencies in the current scope but natural extensions for future development.</w:t>
      </w:r>
    </w:p>
    <w:p>
      <w:pPr/>
      <w:r>
        <w:rPr>
          <w:rFonts w:ascii="Times New Roman" w:hAnsi="Times New Roman" w:cs="Times New Roman"/>
          <w:b w:val="0"/>
          <w:i w:val="0"/>
          <w:sz w:val="24"/>
          <w:u w:val="none"/>
        </w:rPr>
        <w:t>The working prototype, its documentation, and its validated calculations form a concrete foundation for future development and, with appropriate extension and validation, could become a meaningful tool for health workforce planning in Nepal's provincial and district health systems.</w:t>
      </w:r>
    </w:p>
    <w:p>
      <w:pPr>
        <w:pStyle w:val="Heading2"/>
      </w:pPr>
      <w:r>
        <w:rPr>
          <w:rFonts w:ascii="Times New Roman" w:hAnsi="Times New Roman" w:cs="Times New Roman"/>
          <w:b/>
          <w:i w:val="0"/>
          <w:sz w:val="32"/>
          <w:u w:val="none"/>
        </w:rPr>
        <w:t>6.2 Future Work</w:t>
      </w:r>
    </w:p>
    <w:p>
      <w:pPr/>
      <w:r>
        <w:rPr>
          <w:rFonts w:ascii="Times New Roman" w:hAnsi="Times New Roman" w:cs="Times New Roman"/>
          <w:b w:val="0"/>
          <w:i w:val="0"/>
          <w:sz w:val="24"/>
          <w:u w:val="none"/>
        </w:rPr>
        <w:t>The following extensions are identified for future development iterations:</w:t>
      </w:r>
    </w:p>
    <w:p>
      <w:pPr>
        <w:pStyle w:val="ListBullet"/>
        <w:spacing w:after="120"/>
        <w:ind w:left="720"/>
      </w:pPr>
      <w:r>
        <w:rPr>
          <w:rFonts w:ascii="Times New Roman" w:hAnsi="Times New Roman" w:cs="Times New Roman"/>
          <w:b w:val="0"/>
          <w:i w:val="0"/>
          <w:sz w:val="24"/>
          <w:u w:val="none"/>
        </w:rPr>
        <w:t>Multi-facility federation. Introduce a hospital-level entity above the department structure, enabling cross-facility comparison and provincial aggregation of WISN results.</w:t>
      </w:r>
    </w:p>
    <w:p>
      <w:pPr>
        <w:pStyle w:val="ListBullet"/>
        <w:spacing w:after="120"/>
        <w:ind w:left="720"/>
      </w:pPr>
      <w:r>
        <w:rPr>
          <w:rFonts w:ascii="Times New Roman" w:hAnsi="Times New Roman" w:cs="Times New Roman"/>
          <w:b w:val="0"/>
          <w:i w:val="0"/>
          <w:sz w:val="24"/>
          <w:u w:val="none"/>
        </w:rPr>
        <w:t>Live health-record integration. Connect to an existing electronic health record system (such as OpenMRS or a FHIR-compliant API) to pull workload volumes automatically, eliminating manual data entry.</w:t>
      </w:r>
    </w:p>
    <w:p>
      <w:pPr>
        <w:pStyle w:val="ListBullet"/>
        <w:spacing w:after="120"/>
        <w:ind w:left="720"/>
      </w:pPr>
      <w:r>
        <w:rPr>
          <w:rFonts w:ascii="Times New Roman" w:hAnsi="Times New Roman" w:cs="Times New Roman"/>
          <w:b w:val="0"/>
          <w:i w:val="0"/>
          <w:sz w:val="24"/>
          <w:u w:val="none"/>
        </w:rPr>
        <w:t>Role-based access control. Extend the authentication system to support multiple user roles (Facility Admin, Department Head, Read-Only Viewer) with appropriate permissions for each.</w:t>
      </w:r>
    </w:p>
    <w:p>
      <w:pPr>
        <w:pStyle w:val="ListBullet"/>
        <w:spacing w:after="120"/>
        <w:ind w:left="720"/>
      </w:pPr>
      <w:r>
        <w:rPr>
          <w:rFonts w:ascii="Times New Roman" w:hAnsi="Times New Roman" w:cs="Times New Roman"/>
          <w:b w:val="0"/>
          <w:i w:val="0"/>
          <w:sz w:val="24"/>
          <w:u w:val="none"/>
        </w:rPr>
        <w:t>Shift scheduling module. Integrate the calculated WISN staffing requirement with a nurse roster planner that enforces Labour Act constraints on shift lengths and overtime.</w:t>
      </w:r>
    </w:p>
    <w:p>
      <w:pPr>
        <w:pStyle w:val="ListBullet"/>
        <w:spacing w:after="120"/>
        <w:ind w:left="720"/>
      </w:pPr>
      <w:r>
        <w:rPr>
          <w:rFonts w:ascii="Times New Roman" w:hAnsi="Times New Roman" w:cs="Times New Roman"/>
          <w:b w:val="0"/>
          <w:i w:val="0"/>
          <w:sz w:val="24"/>
          <w:u w:val="none"/>
        </w:rPr>
        <w:t>Predictive burnout analytics. Implement a time-series model that tracks WISN ratio trends over rolling quarters, generating early-warning alerts when a department's ratio approaches the critical threshold.</w:t>
      </w:r>
    </w:p>
    <w:p>
      <w:pPr>
        <w:pStyle w:val="ListBullet"/>
        <w:spacing w:after="120"/>
        <w:ind w:left="720"/>
      </w:pPr>
      <w:r>
        <w:rPr>
          <w:rFonts w:ascii="Times New Roman" w:hAnsi="Times New Roman" w:cs="Times New Roman"/>
          <w:b w:val="0"/>
          <w:i w:val="0"/>
          <w:sz w:val="24"/>
          <w:u w:val="none"/>
        </w:rPr>
        <w:t>Provincial deployment. Package the application for deployment on Nepal's Provincial Health Directorates' infrastructure, with multi-tenancy support for district hospital networks.</w:t>
      </w:r>
    </w:p>
    <w:p>
      <w:pPr>
        <w:pStyle w:val="ListBullet"/>
        <w:spacing w:after="120"/>
        <w:ind w:left="720"/>
      </w:pPr>
      <w:r>
        <w:rPr>
          <w:rFonts w:ascii="Times New Roman" w:hAnsi="Times New Roman" w:cs="Times New Roman"/>
          <w:b w:val="0"/>
          <w:i w:val="0"/>
          <w:sz w:val="24"/>
          <w:u w:val="none"/>
        </w:rPr>
        <w:t>Mobile-responsive refinement. Further optimise the interface for tablet use in ward-level environments where desktop access may be limited.</w:t>
      </w:r>
    </w:p>
    <w:p>
      <w:pPr>
        <w:pStyle w:val="Heading1"/>
        <w:pageBreakBefore/>
        <w:spacing w:before="480" w:after="240"/>
      </w:pPr>
      <w:r>
        <w:rPr>
          <w:rFonts w:ascii="Times New Roman" w:hAnsi="Times New Roman" w:cs="Times New Roman"/>
          <w:b/>
          <w:i w:val="0"/>
          <w:sz w:val="36"/>
          <w:u w:val="none"/>
        </w:rPr>
        <w:t>References</w:t>
      </w:r>
    </w:p>
    <w:p>
      <w:pPr>
        <w:spacing w:after="160"/>
        <w:ind w:left="720" w:hanging="720"/>
      </w:pPr>
      <w:r>
        <w:rPr>
          <w:rFonts w:ascii="Times New Roman" w:hAnsi="Times New Roman" w:cs="Times New Roman"/>
          <w:b/>
          <w:i w:val="0"/>
          <w:sz w:val="24"/>
          <w:u w:val="none"/>
        </w:rPr>
        <w:t xml:space="preserve">[1]  </w:t>
      </w:r>
      <w:r>
        <w:rPr>
          <w:rFonts w:ascii="Times New Roman" w:hAnsi="Times New Roman" w:cs="Times New Roman"/>
          <w:b w:val="0"/>
          <w:i w:val="0"/>
          <w:sz w:val="24"/>
          <w:u w:val="none"/>
        </w:rPr>
        <w:t>Ministry of Health and Population (MoHP), Nepal / New ERA / ICF / DHS Program. (2022). Nepal Health Facility Survey 2021 — Final Report. ICF International, Rockville, Maryland, USA. Available: https://www.dhsprogram.com/pubs/pdf/SPA35/SPA35.pdf</w:t>
      </w:r>
    </w:p>
    <w:p>
      <w:pPr>
        <w:spacing w:after="160"/>
        <w:ind w:left="720" w:hanging="720"/>
      </w:pPr>
      <w:r>
        <w:rPr>
          <w:rFonts w:ascii="Times New Roman" w:hAnsi="Times New Roman" w:cs="Times New Roman"/>
          <w:b/>
          <w:i w:val="0"/>
          <w:sz w:val="24"/>
          <w:u w:val="none"/>
        </w:rPr>
        <w:t xml:space="preserve">[2]  </w:t>
      </w:r>
      <w:r>
        <w:rPr>
          <w:rFonts w:ascii="Times New Roman" w:hAnsi="Times New Roman" w:cs="Times New Roman"/>
          <w:b w:val="0"/>
          <w:i w:val="0"/>
          <w:sz w:val="24"/>
          <w:u w:val="none"/>
        </w:rPr>
        <w:t>World Health Organization. (2023). Workload Indicators of Staffing Need (WISN) — User's Manual, 2nd ed. WHO, Geneva. Available: https://iris.who.int/bitstream/handle/10665/373473/9789240070066-eng.pdf</w:t>
      </w:r>
    </w:p>
    <w:p>
      <w:pPr>
        <w:spacing w:after="160"/>
        <w:ind w:left="720" w:hanging="720"/>
      </w:pPr>
      <w:r>
        <w:rPr>
          <w:rFonts w:ascii="Times New Roman" w:hAnsi="Times New Roman" w:cs="Times New Roman"/>
          <w:b/>
          <w:i w:val="0"/>
          <w:sz w:val="24"/>
          <w:u w:val="none"/>
        </w:rPr>
        <w:t xml:space="preserve">[3]  </w:t>
      </w:r>
      <w:r>
        <w:rPr>
          <w:rFonts w:ascii="Times New Roman" w:hAnsi="Times New Roman" w:cs="Times New Roman"/>
          <w:b w:val="0"/>
          <w:i w:val="0"/>
          <w:sz w:val="24"/>
          <w:u w:val="none"/>
        </w:rPr>
        <w:t>Government of Nepal. (2017). The Labour Act, 2074 (2017). Nepal Law Commission. Available: https://antislaverylaw.ac.uk/wp-content/uploads/2019/08/The-Labour-Act-2017.pdf</w:t>
      </w:r>
    </w:p>
    <w:p>
      <w:pPr>
        <w:spacing w:after="160"/>
        <w:ind w:left="720" w:hanging="720"/>
      </w:pPr>
      <w:r>
        <w:rPr>
          <w:rFonts w:ascii="Times New Roman" w:hAnsi="Times New Roman" w:cs="Times New Roman"/>
          <w:b/>
          <w:i w:val="0"/>
          <w:sz w:val="24"/>
          <w:u w:val="none"/>
        </w:rPr>
        <w:t xml:space="preserve">[4]  </w:t>
      </w:r>
      <w:r>
        <w:rPr>
          <w:rFonts w:ascii="Times New Roman" w:hAnsi="Times New Roman" w:cs="Times New Roman"/>
          <w:b w:val="0"/>
          <w:i w:val="0"/>
          <w:sz w:val="24"/>
          <w:u w:val="none"/>
        </w:rPr>
        <w:t>Government of Nepal. (1997). Nepal Health Service Act, 2053 (1997). Nepal Law Commission. Available: https://www.siddhasthalihospital.org/wp-content/uploads/2022/05/1576743616nepal-health-service-act-2053-1997.pdf</w:t>
      </w:r>
    </w:p>
    <w:p>
      <w:pPr>
        <w:spacing w:after="160"/>
        <w:ind w:left="720" w:hanging="720"/>
      </w:pPr>
      <w:r>
        <w:rPr>
          <w:rFonts w:ascii="Times New Roman" w:hAnsi="Times New Roman" w:cs="Times New Roman"/>
          <w:b/>
          <w:i w:val="0"/>
          <w:sz w:val="24"/>
          <w:u w:val="none"/>
        </w:rPr>
        <w:t xml:space="preserve">[5]  </w:t>
      </w:r>
      <w:r>
        <w:rPr>
          <w:rFonts w:ascii="Times New Roman" w:hAnsi="Times New Roman" w:cs="Times New Roman"/>
          <w:b w:val="0"/>
          <w:i w:val="0"/>
          <w:sz w:val="24"/>
          <w:u w:val="none"/>
        </w:rPr>
        <w:t>Government of Nepal. (1999). Nepal Health Service Rules, 2055 (1999). Available: https://shisiradhikari.com.np/library/246/322</w:t>
      </w:r>
    </w:p>
    <w:p>
      <w:pPr>
        <w:spacing w:after="160"/>
        <w:ind w:left="720" w:hanging="720"/>
      </w:pPr>
      <w:r>
        <w:rPr>
          <w:rFonts w:ascii="Times New Roman" w:hAnsi="Times New Roman" w:cs="Times New Roman"/>
          <w:b/>
          <w:i w:val="0"/>
          <w:sz w:val="24"/>
          <w:u w:val="none"/>
        </w:rPr>
        <w:t xml:space="preserve">[6]  </w:t>
      </w:r>
      <w:r>
        <w:rPr>
          <w:rFonts w:ascii="Times New Roman" w:hAnsi="Times New Roman" w:cs="Times New Roman"/>
          <w:b w:val="0"/>
          <w:i w:val="0"/>
          <w:sz w:val="24"/>
          <w:u w:val="none"/>
        </w:rPr>
        <w:t>Ministry of Health and Population (MoHP), Nepal / NHSSP. Minimum Service Standards (MSS) for Primary Hospitals. Available: https://nhssp.org.np/</w:t>
      </w:r>
    </w:p>
    <w:p>
      <w:pPr>
        <w:spacing w:after="160"/>
        <w:ind w:left="720" w:hanging="720"/>
      </w:pPr>
      <w:r>
        <w:rPr>
          <w:rFonts w:ascii="Times New Roman" w:hAnsi="Times New Roman" w:cs="Times New Roman"/>
          <w:b/>
          <w:i w:val="0"/>
          <w:sz w:val="24"/>
          <w:u w:val="none"/>
        </w:rPr>
        <w:t xml:space="preserve">[7]  </w:t>
      </w:r>
      <w:r>
        <w:rPr>
          <w:rFonts w:ascii="Times New Roman" w:hAnsi="Times New Roman" w:cs="Times New Roman"/>
          <w:b w:val="0"/>
          <w:i w:val="0"/>
          <w:sz w:val="24"/>
          <w:u w:val="none"/>
        </w:rPr>
        <w:t>Tiwari, S., Tiwari, J. S., Jha, J. B., Regmi, S., et al. (2024). Admission Rate of Patients Visiting Emergency Department in a Tertiary Care Center in Kathmandu: A Descriptive Cross-sectional Study. JNMA J Nepal Med Assoc, 62(277), 587–591. Available: https://pmc.ncbi.nlm.nih.gov/articles/PMC11665762/</w:t>
      </w:r>
    </w:p>
    <w:p>
      <w:pPr>
        <w:spacing w:after="160"/>
        <w:ind w:left="720" w:hanging="720"/>
      </w:pPr>
      <w:r>
        <w:rPr>
          <w:rFonts w:ascii="Times New Roman" w:hAnsi="Times New Roman" w:cs="Times New Roman"/>
          <w:b/>
          <w:i w:val="0"/>
          <w:sz w:val="24"/>
          <w:u w:val="none"/>
        </w:rPr>
        <w:t xml:space="preserve">[8]  </w:t>
      </w:r>
      <w:r>
        <w:rPr>
          <w:rFonts w:ascii="Times New Roman" w:hAnsi="Times New Roman" w:cs="Times New Roman"/>
          <w:b w:val="0"/>
          <w:i w:val="0"/>
          <w:sz w:val="24"/>
          <w:u w:val="none"/>
        </w:rPr>
        <w:t>Kanak, M. P., Pant, S., Fradelos, E. C., Campbell, E., &amp; Robinson, J. (2025). Burnout and sleep problems among nurses working in a tertiary hospital in Kathmandu, Nepal. PLOS Global Public Health, 5(7), e0003879. Available: https://pmc.ncbi.nlm.nih.gov/articles/PMC12250318/</w:t>
      </w:r>
    </w:p>
    <w:p>
      <w:pPr>
        <w:spacing w:after="160"/>
        <w:ind w:left="720" w:hanging="720"/>
      </w:pPr>
      <w:r>
        <w:rPr>
          <w:rFonts w:ascii="Times New Roman" w:hAnsi="Times New Roman" w:cs="Times New Roman"/>
          <w:b/>
          <w:i w:val="0"/>
          <w:sz w:val="24"/>
          <w:u w:val="none"/>
        </w:rPr>
        <w:t xml:space="preserve">[9]  </w:t>
      </w:r>
      <w:r>
        <w:rPr>
          <w:rFonts w:ascii="Times New Roman" w:hAnsi="Times New Roman" w:cs="Times New Roman"/>
          <w:b w:val="0"/>
          <w:i w:val="0"/>
          <w:sz w:val="24"/>
          <w:u w:val="none"/>
        </w:rPr>
        <w:t>Shah, S. K., Sinha, R., Neupane, P., &amp; Kandel, G. (2024). Burnout among Nurses and Doctors Working at a Tertiary Care Government Hospital: A Descriptive Cross-sectional Study. JNMA J Nepal Med Assoc, 62(273), 293–296. Available: https://pmc.ncbi.nlm.nih.gov/articles/PMC11261546/</w:t>
      </w:r>
    </w:p>
    <w:p>
      <w:pPr>
        <w:spacing w:after="160"/>
        <w:ind w:left="720" w:hanging="720"/>
      </w:pPr>
      <w:r>
        <w:rPr>
          <w:rFonts w:ascii="Times New Roman" w:hAnsi="Times New Roman" w:cs="Times New Roman"/>
          <w:b/>
          <w:i w:val="0"/>
          <w:sz w:val="24"/>
          <w:u w:val="none"/>
        </w:rPr>
        <w:t xml:space="preserve">[10]  </w:t>
      </w:r>
      <w:r>
        <w:rPr>
          <w:rFonts w:ascii="Times New Roman" w:hAnsi="Times New Roman" w:cs="Times New Roman"/>
          <w:b w:val="0"/>
          <w:i w:val="0"/>
          <w:sz w:val="24"/>
          <w:u w:val="none"/>
        </w:rPr>
        <w:t>Journal of General Practice and Emergency Medicine of Nepal (JGPEMN). (2022). Audit of observation ward supporting emergency room at tertiary care hospital: Kathmandu, Nepal. Available: https://www.jgpemn.org.np/</w:t>
      </w:r>
    </w:p>
    <w:p>
      <w:pPr>
        <w:spacing w:after="160"/>
        <w:ind w:left="720" w:hanging="720"/>
      </w:pPr>
      <w:r>
        <w:rPr>
          <w:rFonts w:ascii="Times New Roman" w:hAnsi="Times New Roman" w:cs="Times New Roman"/>
          <w:b/>
          <w:i w:val="0"/>
          <w:sz w:val="24"/>
          <w:u w:val="none"/>
        </w:rPr>
        <w:t xml:space="preserve">[11]  </w:t>
      </w:r>
      <w:r>
        <w:rPr>
          <w:rFonts w:ascii="Times New Roman" w:hAnsi="Times New Roman" w:cs="Times New Roman"/>
          <w:b w:val="0"/>
          <w:i w:val="0"/>
          <w:sz w:val="24"/>
          <w:u w:val="none"/>
        </w:rPr>
        <w:t>Shagama, M., et al. (2016). Applying the Workload Indicators of Staffing Need (WISN) method in Namibia: challenges and implications for HRH policy. BMC Health Services Research. Available: https://pmc.ncbi.nlm.nih.gov/?term=WISN+Namibia+challenges+implications+human+resources</w:t>
      </w:r>
    </w:p>
    <w:p>
      <w:pPr>
        <w:spacing w:after="160"/>
        <w:ind w:left="720" w:hanging="720"/>
      </w:pPr>
      <w:r>
        <w:rPr>
          <w:rFonts w:ascii="Times New Roman" w:hAnsi="Times New Roman" w:cs="Times New Roman"/>
          <w:b/>
          <w:i w:val="0"/>
          <w:sz w:val="24"/>
          <w:u w:val="none"/>
        </w:rPr>
        <w:t xml:space="preserve">[12]  </w:t>
      </w:r>
      <w:r>
        <w:rPr>
          <w:rFonts w:ascii="Times New Roman" w:hAnsi="Times New Roman" w:cs="Times New Roman"/>
          <w:b w:val="0"/>
          <w:i w:val="0"/>
          <w:sz w:val="24"/>
          <w:u w:val="none"/>
        </w:rPr>
        <w:t>Tziaferi, S., et al. (2019). The implementation process of the Workload Indicators Staffing Need (WISN) method by WHO in determining midwifery staff requirements in Greek Hospitals. European Journal of Midwifery. Available: https://www.europeanjournalofmidwifery.eu/</w:t>
      </w:r>
    </w:p>
    <w:p>
      <w:pPr>
        <w:spacing w:after="160"/>
        <w:ind w:left="720" w:hanging="720"/>
      </w:pPr>
      <w:r>
        <w:rPr>
          <w:rFonts w:ascii="Times New Roman" w:hAnsi="Times New Roman" w:cs="Times New Roman"/>
          <w:b/>
          <w:i w:val="0"/>
          <w:sz w:val="24"/>
          <w:u w:val="none"/>
        </w:rPr>
        <w:t xml:space="preserve">[13]  </w:t>
      </w:r>
      <w:r>
        <w:rPr>
          <w:rFonts w:ascii="Times New Roman" w:hAnsi="Times New Roman" w:cs="Times New Roman"/>
          <w:b w:val="0"/>
          <w:i w:val="0"/>
          <w:sz w:val="24"/>
          <w:u w:val="none"/>
        </w:rPr>
        <w:t>Laravel LLC / Otwell, T. (2023). Laravel 10.x Documentation. Available: https://laravel.com/docs/10.x</w:t>
      </w:r>
    </w:p>
    <w:p>
      <w:pPr>
        <w:spacing w:after="160"/>
        <w:ind w:left="720" w:hanging="720"/>
      </w:pPr>
      <w:r>
        <w:rPr>
          <w:rFonts w:ascii="Times New Roman" w:hAnsi="Times New Roman" w:cs="Times New Roman"/>
          <w:b/>
          <w:i w:val="0"/>
          <w:sz w:val="24"/>
          <w:u w:val="none"/>
        </w:rPr>
        <w:t xml:space="preserve">[14]  </w:t>
      </w:r>
      <w:r>
        <w:rPr>
          <w:rFonts w:ascii="Times New Roman" w:hAnsi="Times New Roman" w:cs="Times New Roman"/>
          <w:b w:val="0"/>
          <w:i w:val="0"/>
          <w:sz w:val="24"/>
          <w:u w:val="none"/>
        </w:rPr>
        <w:t>van de Heuvel, B. (2023). barryvdh/laravel-dompdf — GitHub Repository. Available: https://github.com/barryvdh/laravel-dompdf</w:t>
      </w:r>
    </w:p>
    <w:p>
      <w:pPr>
        <w:spacing w:after="160"/>
        <w:ind w:left="720" w:hanging="720"/>
      </w:pPr>
      <w:r>
        <w:rPr>
          <w:rFonts w:ascii="Times New Roman" w:hAnsi="Times New Roman" w:cs="Times New Roman"/>
          <w:b/>
          <w:i w:val="0"/>
          <w:sz w:val="24"/>
          <w:u w:val="none"/>
        </w:rPr>
        <w:t xml:space="preserve">[15]  </w:t>
      </w:r>
      <w:r>
        <w:rPr>
          <w:rFonts w:ascii="Times New Roman" w:hAnsi="Times New Roman" w:cs="Times New Roman"/>
          <w:b w:val="0"/>
          <w:i w:val="0"/>
          <w:sz w:val="24"/>
          <w:u w:val="none"/>
        </w:rPr>
        <w:t>Chart.js Contributors. (2023). Chart.js 4.4 Documentation. Available: https://www.chartjs.org/docs/4.4.1/</w:t>
      </w:r>
    </w:p>
    <w:p>
      <w:pPr>
        <w:spacing w:after="160"/>
        <w:ind w:left="720" w:hanging="720"/>
      </w:pPr>
      <w:r>
        <w:rPr>
          <w:rFonts w:ascii="Times New Roman" w:hAnsi="Times New Roman" w:cs="Times New Roman"/>
          <w:b/>
          <w:i w:val="0"/>
          <w:sz w:val="24"/>
          <w:u w:val="none"/>
        </w:rPr>
        <w:t xml:space="preserve">[16]  </w:t>
      </w:r>
      <w:r>
        <w:rPr>
          <w:rFonts w:ascii="Times New Roman" w:hAnsi="Times New Roman" w:cs="Times New Roman"/>
          <w:b w:val="0"/>
          <w:i w:val="0"/>
          <w:sz w:val="24"/>
          <w:u w:val="none"/>
        </w:rPr>
        <w:t>Tailwind Labs. (2023). Tailwind CSS v3 Documentation. Available: https://v3.tailwindcss.com/docs</w:t>
      </w:r>
    </w:p>
    <w:p>
      <w:pPr>
        <w:spacing w:after="160"/>
        <w:ind w:left="720" w:hanging="720"/>
      </w:pPr>
      <w:r>
        <w:rPr>
          <w:rFonts w:ascii="Times New Roman" w:hAnsi="Times New Roman" w:cs="Times New Roman"/>
          <w:b/>
          <w:i w:val="0"/>
          <w:sz w:val="24"/>
          <w:u w:val="none"/>
        </w:rPr>
        <w:t xml:space="preserve">[17]  </w:t>
      </w:r>
      <w:r>
        <w:rPr>
          <w:rFonts w:ascii="Times New Roman" w:hAnsi="Times New Roman" w:cs="Times New Roman"/>
          <w:b w:val="0"/>
          <w:i w:val="0"/>
          <w:sz w:val="24"/>
          <w:u w:val="none"/>
        </w:rPr>
        <w:t>Ministry of Health and Population, Nepal / DHS Program. (2022). Nepal 2021 Health Facility Survey: Key Findings [SR273]. Available: https://dhsprogram.com/pubs/pdf/SR273/SR273.pdf</w:t>
      </w:r>
    </w:p>
    <w:sectPr w:rsidR="00FC693F" w:rsidRPr="0006063C" w:rsidSect="00034616">
      <w:footerReference w:type="default" r:id="rId13"/>
      <w:pgSz w:w="12240" w:h="15840"/>
      <w:pgMar w:top="1800" w:right="1800" w:bottom="1800" w:left="216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sz w:val="24"/>
        <w:u w:val="none"/>
      </w:rPr>
      <w:fldChar w:fldCharType="begin"/>
      <w:instrText xml:space="preserve"> PAGE \* ROMAN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sz w:val="24"/>
        <w:u w:val="none"/>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4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40" w:after="120" w:line="360" w:lineRule="auto"/>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