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4A8" w:rsidRPr="003D077D" w:rsidRDefault="00E054A8" w:rsidP="00E054A8">
      <w:pPr>
        <w:pStyle w:val="NoSpacing"/>
        <w:rPr>
          <w:b/>
          <w:sz w:val="40"/>
          <w:szCs w:val="40"/>
        </w:rPr>
      </w:pPr>
      <w:r w:rsidRPr="003D077D">
        <w:rPr>
          <w:b/>
          <w:sz w:val="40"/>
          <w:szCs w:val="40"/>
        </w:rPr>
        <w:t>MULTINOMIAL</w:t>
      </w:r>
    </w:p>
    <w:p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rsidR="00E054A8" w:rsidRPr="00E054A8" w:rsidRDefault="00E054A8" w:rsidP="00E054A8">
      <w:pPr>
        <w:pStyle w:val="NoSpacing"/>
      </w:pPr>
    </w:p>
    <w:p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rsidR="00E054A8" w:rsidRPr="00E054A8" w:rsidRDefault="00E054A8" w:rsidP="00E054A8">
      <w:pPr>
        <w:pStyle w:val="NoSpacing"/>
      </w:pPr>
    </w:p>
    <w:p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tblPr>
      <w:tblGrid>
        <w:gridCol w:w="4788"/>
        <w:gridCol w:w="4788"/>
      </w:tblGrid>
      <w:tr w:rsidR="00E054A8" w:rsidTr="00E054A8">
        <w:tc>
          <w:tcPr>
            <w:tcW w:w="4788" w:type="dxa"/>
          </w:tcPr>
          <w:p w:rsidR="00E054A8" w:rsidRDefault="00E054A8" w:rsidP="00E054A8">
            <w:pPr>
              <w:pStyle w:val="NoSpacing"/>
            </w:pPr>
            <w:r>
              <w:t>Alpha</w:t>
            </w:r>
          </w:p>
        </w:tc>
        <w:tc>
          <w:tcPr>
            <w:tcW w:w="4788" w:type="dxa"/>
          </w:tcPr>
          <w:p w:rsidR="00E054A8" w:rsidRDefault="00E054A8" w:rsidP="00E054A8">
            <w:pPr>
              <w:pStyle w:val="NoSpacing"/>
            </w:pPr>
            <w:r>
              <w:t>Accuracy</w:t>
            </w:r>
          </w:p>
        </w:tc>
      </w:tr>
      <w:tr w:rsidR="00E054A8" w:rsidTr="00E054A8">
        <w:tc>
          <w:tcPr>
            <w:tcW w:w="4788" w:type="dxa"/>
          </w:tcPr>
          <w:p w:rsidR="00E054A8" w:rsidRDefault="00E054A8" w:rsidP="00E054A8">
            <w:pPr>
              <w:pStyle w:val="NoSpacing"/>
            </w:pPr>
            <w:r>
              <w:t>0.7</w:t>
            </w:r>
          </w:p>
        </w:tc>
        <w:tc>
          <w:tcPr>
            <w:tcW w:w="4788" w:type="dxa"/>
          </w:tcPr>
          <w:p w:rsidR="00E054A8" w:rsidRDefault="00E054A8" w:rsidP="00225488">
            <w:pPr>
              <w:pStyle w:val="NoSpacing"/>
            </w:pPr>
            <w:r>
              <w:t>92.</w:t>
            </w:r>
            <w:r w:rsidR="00225488">
              <w:t>5</w:t>
            </w:r>
            <w:r>
              <w:t>%</w:t>
            </w:r>
          </w:p>
        </w:tc>
      </w:tr>
      <w:tr w:rsidR="00E054A8" w:rsidTr="00E054A8">
        <w:tc>
          <w:tcPr>
            <w:tcW w:w="4788" w:type="dxa"/>
          </w:tcPr>
          <w:p w:rsidR="00E054A8" w:rsidRDefault="00E054A8" w:rsidP="00E054A8">
            <w:pPr>
              <w:pStyle w:val="NoSpacing"/>
            </w:pPr>
            <w:r>
              <w:t>0.6</w:t>
            </w:r>
          </w:p>
        </w:tc>
        <w:tc>
          <w:tcPr>
            <w:tcW w:w="4788" w:type="dxa"/>
          </w:tcPr>
          <w:p w:rsidR="00E054A8" w:rsidRDefault="00A67AB9" w:rsidP="00E054A8">
            <w:pPr>
              <w:pStyle w:val="NoSpacing"/>
            </w:pPr>
            <w:r>
              <w:t>92.75</w:t>
            </w:r>
            <w:r w:rsidR="00E054A8">
              <w:t>%</w:t>
            </w:r>
          </w:p>
        </w:tc>
      </w:tr>
      <w:tr w:rsidR="00E054A8" w:rsidTr="00E054A8">
        <w:tc>
          <w:tcPr>
            <w:tcW w:w="4788" w:type="dxa"/>
          </w:tcPr>
          <w:p w:rsidR="00E054A8" w:rsidRDefault="00E054A8" w:rsidP="00E054A8">
            <w:pPr>
              <w:pStyle w:val="NoSpacing"/>
            </w:pPr>
            <w:r>
              <w:t>0.5</w:t>
            </w:r>
          </w:p>
        </w:tc>
        <w:tc>
          <w:tcPr>
            <w:tcW w:w="4788" w:type="dxa"/>
          </w:tcPr>
          <w:p w:rsidR="00E054A8" w:rsidRDefault="00E054A8" w:rsidP="00E054A8">
            <w:pPr>
              <w:pStyle w:val="NoSpacing"/>
            </w:pPr>
            <w:r>
              <w:t>93.25%</w:t>
            </w:r>
          </w:p>
        </w:tc>
      </w:tr>
      <w:tr w:rsidR="00E054A8" w:rsidTr="00E054A8">
        <w:tc>
          <w:tcPr>
            <w:tcW w:w="4788" w:type="dxa"/>
          </w:tcPr>
          <w:p w:rsidR="00E054A8" w:rsidRDefault="00E054A8" w:rsidP="00E054A8">
            <w:pPr>
              <w:pStyle w:val="NoSpacing"/>
            </w:pPr>
            <w:r>
              <w:t>0.4</w:t>
            </w:r>
          </w:p>
        </w:tc>
        <w:tc>
          <w:tcPr>
            <w:tcW w:w="4788" w:type="dxa"/>
          </w:tcPr>
          <w:p w:rsidR="00E054A8" w:rsidRDefault="008D3022" w:rsidP="008D3022">
            <w:pPr>
              <w:pStyle w:val="NoSpacing"/>
            </w:pPr>
            <w:r>
              <w:t>93.75</w:t>
            </w:r>
            <w:r w:rsidR="00E054A8">
              <w:t>%</w:t>
            </w:r>
          </w:p>
        </w:tc>
      </w:tr>
      <w:tr w:rsidR="00E054A8" w:rsidTr="00E054A8">
        <w:tc>
          <w:tcPr>
            <w:tcW w:w="4788" w:type="dxa"/>
          </w:tcPr>
          <w:p w:rsidR="00E054A8" w:rsidRDefault="00E054A8" w:rsidP="00E054A8">
            <w:pPr>
              <w:pStyle w:val="NoSpacing"/>
            </w:pPr>
            <w:r>
              <w:t>0.3</w:t>
            </w:r>
          </w:p>
        </w:tc>
        <w:tc>
          <w:tcPr>
            <w:tcW w:w="4788" w:type="dxa"/>
          </w:tcPr>
          <w:p w:rsidR="00E054A8" w:rsidRDefault="00225488" w:rsidP="00A131FE">
            <w:pPr>
              <w:pStyle w:val="NoSpacing"/>
            </w:pPr>
            <w:r>
              <w:t>94.5</w:t>
            </w:r>
            <w:r w:rsidR="00E054A8">
              <w:t>%</w:t>
            </w:r>
          </w:p>
        </w:tc>
      </w:tr>
    </w:tbl>
    <w:p w:rsidR="00E054A8" w:rsidRPr="00E054A8" w:rsidRDefault="00E054A8" w:rsidP="00E054A8">
      <w:pPr>
        <w:pStyle w:val="NoSpacing"/>
      </w:pPr>
    </w:p>
    <w:p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where changing the alpha is not as explicitly overfitting</w:t>
      </w:r>
      <w:r>
        <w:t>.</w:t>
      </w:r>
    </w:p>
    <w:p w:rsidR="00E054A8" w:rsidRPr="00E054A8" w:rsidRDefault="00E054A8" w:rsidP="00E054A8">
      <w:pPr>
        <w:pStyle w:val="NoSpacing"/>
      </w:pPr>
    </w:p>
    <w:p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rsidR="0005669C" w:rsidRDefault="0005669C" w:rsidP="00E054A8">
      <w:pPr>
        <w:pStyle w:val="NoSpacing"/>
      </w:pPr>
    </w:p>
    <w:p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rsidR="00E054A8" w:rsidRPr="00E054A8" w:rsidRDefault="00E054A8" w:rsidP="00E054A8">
      <w:pPr>
        <w:pStyle w:val="NoSpacing"/>
      </w:pPr>
    </w:p>
    <w:p w:rsidR="00E054A8" w:rsidRPr="003D077D" w:rsidRDefault="00E054A8" w:rsidP="00E054A8">
      <w:pPr>
        <w:pStyle w:val="NoSpacing"/>
        <w:rPr>
          <w:b/>
          <w:sz w:val="40"/>
          <w:szCs w:val="40"/>
        </w:rPr>
      </w:pPr>
      <w:r w:rsidRPr="003D077D">
        <w:rPr>
          <w:b/>
          <w:sz w:val="40"/>
          <w:szCs w:val="40"/>
        </w:rPr>
        <w:t>K-FOLD</w:t>
      </w:r>
    </w:p>
    <w:p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rsidR="00D13E95" w:rsidRDefault="00A04E2A" w:rsidP="00E054A8">
      <w:pPr>
        <w:pStyle w:val="NoSpacing"/>
      </w:pPr>
      <w:r w:rsidRPr="00A04E2A">
        <w:rPr>
          <w:noProof/>
        </w:rPr>
        <w:lastRenderedPageBreak/>
        <w:drawing>
          <wp:inline distT="0" distB="0" distL="0" distR="0">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13E95" w:rsidRDefault="00D13E95" w:rsidP="00E054A8">
      <w:pPr>
        <w:pStyle w:val="NoSpacing"/>
      </w:pPr>
      <w:r>
        <w:t>Thi</w:t>
      </w:r>
      <w:r w:rsidR="00A04E2A">
        <w:t xml:space="preserve">s </w:t>
      </w:r>
      <w:r>
        <w:t>trend was the same as the trend</w:t>
      </w:r>
      <w:r w:rsidR="00A04E2A">
        <w:t xml:space="preserve"> before using k-fold</w:t>
      </w:r>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rsidR="00D13E95" w:rsidRDefault="00D13E95" w:rsidP="00E054A8">
      <w:pPr>
        <w:pStyle w:val="NoSpacing"/>
      </w:pPr>
    </w:p>
    <w:p w:rsidR="00697A8D" w:rsidRDefault="00697A8D" w:rsidP="00E054A8">
      <w:pPr>
        <w:pStyle w:val="NoSpacing"/>
      </w:pPr>
      <w:r>
        <w:t>Average accuracy for multinomial without feature selection and alpha 0.5: 82%</w:t>
      </w:r>
    </w:p>
    <w:p w:rsidR="00697A8D" w:rsidRDefault="00697A8D" w:rsidP="00E054A8">
      <w:pPr>
        <w:pStyle w:val="NoSpacing"/>
      </w:pPr>
      <w:r>
        <w:t>Average accuracy for multivariate without feature selection and alpha 0.5: 83%</w:t>
      </w:r>
    </w:p>
    <w:p w:rsidR="00697A8D" w:rsidRDefault="00697A8D" w:rsidP="00E054A8">
      <w:pPr>
        <w:pStyle w:val="NoSpacing"/>
      </w:pPr>
    </w:p>
    <w:p w:rsidR="002839DB" w:rsidRDefault="007E5CF9" w:rsidP="00E054A8">
      <w:pPr>
        <w:pStyle w:val="NoSpacing"/>
      </w:pPr>
      <w:r>
        <w:t>I am c</w:t>
      </w:r>
      <w:r w:rsidR="002839DB">
        <w:t>alculating error as % error = 1</w:t>
      </w:r>
      <w:r>
        <w:t>00%</w:t>
      </w:r>
      <w:r w:rsidR="002839DB">
        <w:t xml:space="preserve"> - % accurate.</w:t>
      </w:r>
    </w:p>
    <w:p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rsidR="00697A8D" w:rsidRDefault="00697A8D" w:rsidP="00E054A8">
      <w:pPr>
        <w:pStyle w:val="NoSpacing"/>
      </w:pPr>
      <w:r>
        <w:t>Error for binomial classifier without feature selection: 17%</w:t>
      </w:r>
    </w:p>
    <w:p w:rsidR="00FB0186" w:rsidRDefault="00FB0186" w:rsidP="00E054A8">
      <w:pPr>
        <w:pStyle w:val="NoSpacing"/>
      </w:pPr>
    </w:p>
    <w:p w:rsidR="00FB0186" w:rsidRDefault="00FB0186" w:rsidP="00FB0186">
      <w:pPr>
        <w:pStyle w:val="NoSpacing"/>
        <w:rPr>
          <w:b/>
          <w:sz w:val="40"/>
          <w:szCs w:val="40"/>
        </w:rPr>
      </w:pPr>
      <w:r>
        <w:rPr>
          <w:b/>
          <w:sz w:val="40"/>
          <w:szCs w:val="40"/>
        </w:rPr>
        <w:t>TWCNB</w:t>
      </w:r>
    </w:p>
    <w:p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t>numOccurrencesWordInDocsOfSame</w:t>
      </w:r>
      <w:r w:rsidRPr="00FB0186">
        <w:t xml:space="preserve">Class </w:t>
      </w:r>
      <w:r>
        <w:t xml:space="preserve"> became </w:t>
      </w:r>
      <w:r w:rsidRPr="00FB0186">
        <w:t>numOccurrencesWordInDocsOfOtherClass</w:t>
      </w:r>
      <w:r>
        <w:t xml:space="preserve"> </w:t>
      </w:r>
    </w:p>
    <w:p w:rsidR="00FB0186" w:rsidRPr="00FB0186" w:rsidRDefault="00FB0186" w:rsidP="00FB0186">
      <w:pPr>
        <w:pStyle w:val="NoSpacing"/>
      </w:pPr>
      <w:r>
        <w:t>numOfWordsInDocsOfSame</w:t>
      </w:r>
      <w:r w:rsidRPr="00FB0186">
        <w:t xml:space="preserve">Class </w:t>
      </w:r>
      <w:r>
        <w:t xml:space="preserve"> became numOfWordsInDocsOfOther</w:t>
      </w:r>
      <w:r w:rsidRPr="00FB0186">
        <w:t xml:space="preserve">Class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rsidR="00FB0186" w:rsidRDefault="00FB0186" w:rsidP="00E054A8">
      <w:pPr>
        <w:pStyle w:val="NoSpacing"/>
      </w:pPr>
    </w:p>
    <w:p w:rsidR="0082744F" w:rsidRPr="00E054A8" w:rsidRDefault="0082744F" w:rsidP="00E054A8">
      <w:pPr>
        <w:pStyle w:val="NoSpacing"/>
      </w:pPr>
      <w:r>
        <w:t xml:space="preserve">Then I implemented WCNB.  </w:t>
      </w:r>
    </w:p>
    <w:sectPr w:rsidR="0082744F" w:rsidRPr="00E054A8" w:rsidSect="005C7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E054A8"/>
    <w:rsid w:val="0005669C"/>
    <w:rsid w:val="000F036D"/>
    <w:rsid w:val="001041B5"/>
    <w:rsid w:val="00117E4D"/>
    <w:rsid w:val="00152205"/>
    <w:rsid w:val="00225488"/>
    <w:rsid w:val="002839DB"/>
    <w:rsid w:val="003D077D"/>
    <w:rsid w:val="005C72D0"/>
    <w:rsid w:val="006024CD"/>
    <w:rsid w:val="00697A8D"/>
    <w:rsid w:val="007124E0"/>
    <w:rsid w:val="00790BC7"/>
    <w:rsid w:val="007E5CF9"/>
    <w:rsid w:val="00804CD4"/>
    <w:rsid w:val="0082744F"/>
    <w:rsid w:val="008B05FB"/>
    <w:rsid w:val="008C5D68"/>
    <w:rsid w:val="008D3022"/>
    <w:rsid w:val="00902ACA"/>
    <w:rsid w:val="00920C33"/>
    <w:rsid w:val="00A04E2A"/>
    <w:rsid w:val="00A131FE"/>
    <w:rsid w:val="00A67AB9"/>
    <w:rsid w:val="00BD6458"/>
    <w:rsid w:val="00D13E95"/>
    <w:rsid w:val="00E054A8"/>
    <w:rsid w:val="00E35B72"/>
    <w:rsid w:val="00FB01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Accuracy vs Alpha</a:t>
            </a:r>
          </a:p>
        </c:rich>
      </c:tx>
    </c:title>
    <c:plotArea>
      <c:layout/>
      <c:scatterChart>
        <c:scatterStyle val="smoothMarker"/>
        <c:ser>
          <c:idx val="0"/>
          <c:order val="0"/>
          <c:xVal>
            <c:numRef>
              <c:f>Sheet1!$A$2:$A$20</c:f>
              <c:numCache>
                <c:formatCode>0.00</c:formatCode>
                <c:ptCount val="19"/>
                <c:pt idx="0">
                  <c:v>0.05</c:v>
                </c:pt>
                <c:pt idx="1">
                  <c:v>0.1</c:v>
                </c:pt>
                <c:pt idx="2">
                  <c:v>0.15000000000000002</c:v>
                </c:pt>
                <c:pt idx="3">
                  <c:v>0.2</c:v>
                </c:pt>
                <c:pt idx="4">
                  <c:v>0.25</c:v>
                </c:pt>
                <c:pt idx="5">
                  <c:v>0.30000000000000004</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c:v>
                </c:pt>
                <c:pt idx="18">
                  <c:v>0.95000000000000007</c:v>
                </c:pt>
              </c:numCache>
            </c:numRef>
          </c:xVal>
          <c:yVal>
            <c:numRef>
              <c:f>Sheet1!$B$2:$B$20</c:f>
              <c:numCache>
                <c:formatCode>0%</c:formatCode>
                <c:ptCount val="19"/>
                <c:pt idx="0">
                  <c:v>0.88</c:v>
                </c:pt>
                <c:pt idx="1">
                  <c:v>0.87000000000000011</c:v>
                </c:pt>
                <c:pt idx="2">
                  <c:v>0.8600000000000001</c:v>
                </c:pt>
                <c:pt idx="3">
                  <c:v>0.8600000000000001</c:v>
                </c:pt>
                <c:pt idx="4">
                  <c:v>0.8600000000000001</c:v>
                </c:pt>
                <c:pt idx="5">
                  <c:v>0.85000000000000009</c:v>
                </c:pt>
                <c:pt idx="6">
                  <c:v>0.85000000000000009</c:v>
                </c:pt>
                <c:pt idx="7">
                  <c:v>0.85000000000000009</c:v>
                </c:pt>
                <c:pt idx="8">
                  <c:v>0.84000000000000008</c:v>
                </c:pt>
                <c:pt idx="9">
                  <c:v>0.84000000000000008</c:v>
                </c:pt>
                <c:pt idx="10">
                  <c:v>0.84000000000000008</c:v>
                </c:pt>
                <c:pt idx="11">
                  <c:v>0.83000000000000007</c:v>
                </c:pt>
                <c:pt idx="12">
                  <c:v>0.83000000000000007</c:v>
                </c:pt>
                <c:pt idx="13">
                  <c:v>0.83000000000000007</c:v>
                </c:pt>
                <c:pt idx="14">
                  <c:v>0.82000000000000006</c:v>
                </c:pt>
                <c:pt idx="15">
                  <c:v>0.82000000000000006</c:v>
                </c:pt>
                <c:pt idx="16">
                  <c:v>0.82000000000000006</c:v>
                </c:pt>
                <c:pt idx="17">
                  <c:v>0.82000000000000006</c:v>
                </c:pt>
                <c:pt idx="18">
                  <c:v>0.82000000000000006</c:v>
                </c:pt>
              </c:numCache>
            </c:numRef>
          </c:yVal>
          <c:smooth val="1"/>
        </c:ser>
        <c:axId val="53987968"/>
        <c:axId val="54181888"/>
      </c:scatterChart>
      <c:valAx>
        <c:axId val="53987968"/>
        <c:scaling>
          <c:orientation val="minMax"/>
        </c:scaling>
        <c:axPos val="b"/>
        <c:title>
          <c:tx>
            <c:rich>
              <a:bodyPr/>
              <a:lstStyle/>
              <a:p>
                <a:pPr>
                  <a:defRPr/>
                </a:pPr>
                <a:r>
                  <a:rPr lang="en-US"/>
                  <a:t>Alpha</a:t>
                </a:r>
              </a:p>
            </c:rich>
          </c:tx>
        </c:title>
        <c:numFmt formatCode="0.00" sourceLinked="1"/>
        <c:tickLblPos val="nextTo"/>
        <c:crossAx val="54181888"/>
        <c:crosses val="autoZero"/>
        <c:crossBetween val="midCat"/>
      </c:valAx>
      <c:valAx>
        <c:axId val="54181888"/>
        <c:scaling>
          <c:orientation val="minMax"/>
        </c:scaling>
        <c:axPos val="l"/>
        <c:majorGridlines/>
        <c:title>
          <c:tx>
            <c:rich>
              <a:bodyPr rot="-5400000" vert="horz"/>
              <a:lstStyle/>
              <a:p>
                <a:pPr>
                  <a:defRPr/>
                </a:pPr>
                <a:r>
                  <a:rPr lang="en-US"/>
                  <a:t>Accuracy</a:t>
                </a:r>
              </a:p>
            </c:rich>
          </c:tx>
        </c:title>
        <c:numFmt formatCode="0%" sourceLinked="1"/>
        <c:tickLblPos val="nextTo"/>
        <c:crossAx val="53987968"/>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22</cp:revision>
  <dcterms:created xsi:type="dcterms:W3CDTF">2011-05-27T07:59:00Z</dcterms:created>
  <dcterms:modified xsi:type="dcterms:W3CDTF">2011-05-31T00:20:00Z</dcterms:modified>
</cp:coreProperties>
</file>