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 THE HIGH COURT OF DELHI AT NEW DELHI</w:t>
        <w:br/>
        <w:t>(EXTRAORDINARY CIVIL WRIT JURISDICTION)</w:t>
      </w:r>
    </w:p>
    <w:p>
      <w:pPr>
        <w:jc w:val="both"/>
      </w:pPr>
      <w:r>
        <w:t>W.P.(C) No. 2287 of 2026</w:t>
      </w:r>
    </w:p>
    <w:p>
      <w:pPr>
        <w:jc w:val="both"/>
      </w:pPr>
      <w:r>
        <w:t>IN THE MATTER OF:</w:t>
        <w:br/>
        <w:t>Ms. Priya Nair ... Petitioner</w:t>
        <w:br/>
        <w:t>Versus</w:t>
        <w:br/>
        <w:t>Internal Complaints Committee, Orbis Technologies Pvt. Ltd. &amp; Ors. ... Respondents</w:t>
      </w:r>
    </w:p>
    <w:p>
      <w:pPr>
        <w:jc w:val="center"/>
      </w:pPr>
      <w:r>
        <w:rPr>
          <w:b/>
        </w:rPr>
        <w:t>NOTE OF ARGUMENTS ON BEHALF OF THE PETITIONER</w:t>
      </w:r>
    </w:p>
    <w:p>
      <w:pPr>
        <w:jc w:val="both"/>
      </w:pPr>
      <w:r>
        <w:t>1. The Petitioner challenges the report of the Internal Complaints Committee dated 14.01.2026, which closed her complaint of sexual harassment without examining her witnesses.</w:t>
      </w:r>
    </w:p>
    <w:p>
      <w:pPr>
        <w:jc w:val="both"/>
      </w:pPr>
      <w:r>
        <w:t>2. The right to a workplace free of sexual harassment flows from Articles 14, 15, 19(1)(g) and 21 of the Constitution. This was first recognised in Vishaka &amp; Ors. v. State of Rajasthan &amp; Ors., (1997) 6 SCC 241 : AIR 1997 SC 3011, where the Supreme Court held:</w:t>
      </w:r>
    </w:p>
    <w:p>
      <w:pPr>
        <w:ind w:left="720" w:right="720"/>
      </w:pPr>
      <w:r>
        <w:t>“Gender equality includes protection from sexual harassment and right to work with dignity, which is a universally recognised basic human right.”</w:t>
      </w:r>
    </w:p>
    <w:p>
      <w:pPr>
        <w:jc w:val="both"/>
      </w:pPr>
      <w:r>
        <w:t>3. The Court in Vishaka (supra) also noted that “The fundamental right to carry on any occupation ... depends on the availability of a ‘safe’ working environment.”</w:t>
      </w:r>
    </w:p>
    <w:p>
      <w:pPr>
        <w:jc w:val="both"/>
      </w:pPr>
      <w:r>
        <w:t>4. An inquiry that does not hear the complainant's witnesses is not a fair procedure. Procedure that affects a person's rights must be fair, just and reasonable: Maneka Gandhi v. Union of India, AIR 1978 SC 597.</w:t>
      </w:r>
    </w:p>
    <w:p>
      <w:pPr>
        <w:jc w:val="both"/>
      </w:pPr>
      <w:r>
        <w:t>5. The duty of the State and its agencies to protect dignity is also reflected in D.K. Basu v. State of W.B., (1997) 2 SCC 416.</w:t>
      </w:r>
    </w:p>
    <w:p>
      <w:pPr>
        <w:jc w:val="both"/>
      </w:pPr>
      <w:r>
        <w:t>6. The Committee also failed to consider that an online campaign was run against the Petitioner after she complained. Speech that targets a person in this way is not protected expression: Kavita Arora v. Union of India, (2015) 5 SCC 1.</w:t>
      </w:r>
    </w:p>
    <w:p>
      <w:pPr>
        <w:jc w:val="both"/>
      </w:pPr>
      <w:r>
        <w:t>7. The procedure for registration of complaints is mandatory and leaves no room for discretion, as held in (2014) 2 SCC 1.</w:t>
      </w:r>
    </w:p>
    <w:p>
      <w:pPr>
        <w:jc w:val="both"/>
      </w:pPr>
      <w:r>
        <w:t>8. The impugned report is liable to be set aside and the complaint remanded for a fresh inquiry.</w:t>
      </w:r>
    </w:p>
    <w:p>
      <w:pPr>
        <w:jc w:val="both"/>
      </w:pPr>
      <w:r>
        <w:t>PLACE: New Delhi</w:t>
        <w:br/>
        <w:t>DATE: 12.03.2026</w:t>
      </w:r>
    </w:p>
    <w:p>
      <w:pPr>
        <w:jc w:val="center"/>
      </w:pPr>
      <w:r>
        <w:rPr>
          <w:b/>
        </w:rPr>
        <w:t>COUNSEL FOR THE PETITIONER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