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 THE HIGH COURT OF JUDICATURE AT BOMBAY</w:t>
        <w:br/>
        <w:t>CRIMINAL APPELLATE JURISDICTION</w:t>
      </w:r>
    </w:p>
    <w:p>
      <w:pPr>
        <w:jc w:val="both"/>
      </w:pPr>
      <w:r>
        <w:t>Criminal Writ Petition No. 905 of 2026</w:t>
      </w:r>
    </w:p>
    <w:p>
      <w:pPr>
        <w:jc w:val="both"/>
      </w:pPr>
      <w:r>
        <w:t>IN THE MATTER OF:</w:t>
        <w:br/>
        <w:t>Aman Kulkarni ... Petitioner</w:t>
        <w:br/>
        <w:t>Versus</w:t>
        <w:br/>
        <w:t>State of Maharashtra &amp; Ors. ... Respondents</w:t>
      </w:r>
    </w:p>
    <w:p>
      <w:pPr>
        <w:jc w:val="center"/>
      </w:pPr>
      <w:r>
        <w:rPr>
          <w:b/>
        </w:rPr>
        <w:t>WRITTEN SUBMISSIONS ON BEHALF OF THE PETITIONER</w:t>
      </w:r>
    </w:p>
    <w:p>
      <w:pPr>
        <w:jc w:val="both"/>
      </w:pPr>
      <w:r>
        <w:t>1. The Petitioner, a college student, was arrested on 09.02.2026 for a post on a social media platform criticising a municipal contract. He seeks quashing of the FIR and compensation for illegal detention.</w:t>
      </w:r>
    </w:p>
    <w:p>
      <w:pPr>
        <w:jc w:val="both"/>
      </w:pPr>
      <w:r>
        <w:t>2. The provision under which he was first booked is a reincarnation of a section that no longer exists. In Shreya Singhal v. Union of India, (2015) 5 SCC 1 : AIR 2015 SC 1523, the Supreme Court declared:</w:t>
      </w:r>
    </w:p>
    <w:p>
      <w:pPr>
        <w:ind w:left="720" w:right="720"/>
      </w:pPr>
      <w:r>
        <w:t>“Section 66A of the Information Technology Act, 2000 is struck down in its entirety being violative of Article 19(1)(a) and not saved under Article 19(2).”</w:t>
      </w:r>
    </w:p>
    <w:p>
      <w:pPr>
        <w:jc w:val="both"/>
      </w:pPr>
      <w:r>
        <w:t>3. In Shreya Singhal (supra), the Court also observed that “As the arrest curtails freedom, brings humiliation and casts scars forever, we feel differently.”</w:t>
      </w:r>
    </w:p>
    <w:p>
      <w:pPr>
        <w:jc w:val="both"/>
      </w:pPr>
      <w:r>
        <w:t>4. The arrest was made without any assessment of its necessity, in breach of the directions in Arnesh Kumar v. State of Bihar, (2014) 8 SCC 273.</w:t>
      </w:r>
    </w:p>
    <w:p>
      <w:pPr>
        <w:jc w:val="both"/>
      </w:pPr>
      <w:r>
        <w:t>5. Criticism of public authorities is protected speech, and the State cannot criminalise it under the guise of public order: Digital Freedom Foundation v. Union of India, (2021) 4 SCC 889.</w:t>
      </w:r>
    </w:p>
    <w:p>
      <w:pPr>
        <w:jc w:val="both"/>
      </w:pPr>
      <w:r>
        <w:t>6. The police also refused to register the Petitioner's own complaint against the persons who assaulted him in custody. In Lalita Kumari v. Govt. of U.P., (2014) 2 SCC 1, the Constitution Bench held:</w:t>
      </w:r>
    </w:p>
    <w:p>
      <w:pPr>
        <w:ind w:left="720" w:right="720"/>
      </w:pPr>
      <w:r>
        <w:t>“Registration of FIR is mandatory under Section 154 of the Code, if the information discloses commission of a cognizable offence and preliminary inquiry is permissible in such a situation.”</w:t>
      </w:r>
    </w:p>
    <w:p>
      <w:pPr>
        <w:jc w:val="both"/>
      </w:pPr>
      <w:r>
        <w:t>7. The Supreme Court has recognised the State's duty to provide institutional safeguards for dignity in Vishaka v. State of Rajasthan, (1997) 6 SCC 241 : (1997) 5 SCALE 453.</w:t>
      </w:r>
    </w:p>
    <w:p>
      <w:pPr>
        <w:jc w:val="both"/>
      </w:pPr>
      <w:r>
        <w:t>8. Personal liberty can be curtailed only by a procedure that is fair, just and reasonable: Maneka Gandhi v. Union of India, [1978] 2 SCR 621.</w:t>
      </w:r>
    </w:p>
    <w:p>
      <w:pPr>
        <w:jc w:val="both"/>
      </w:pPr>
      <w:r>
        <w:t>9. The FIR deserves to be quashed and the Petitioner compensated for his illegal detention.</w:t>
      </w:r>
    </w:p>
    <w:p>
      <w:pPr>
        <w:jc w:val="both"/>
      </w:pPr>
      <w:r>
        <w:t>PLACE: Mumbai</w:t>
        <w:br/>
        <w:t>DATE: 18.03.2026</w:t>
      </w:r>
    </w:p>
    <w:p>
      <w:pPr>
        <w:jc w:val="center"/>
      </w:pPr>
      <w:r>
        <w:rPr>
          <w:b/>
        </w:rPr>
        <w:t>COUNSEL FOR THE PETITIONER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