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Cardiac Field Artifact Removal (CFAR): A Large-Cohort Study Cleaning the Heart's Noise from Brain Signals</w:t>
      </w:r>
    </w:p>
    <w:p>
      <w:pPr>
        <w:spacing w:lineRule="exact" w:line="324" w:before="0" w:after="120"/>
        <w:jc w:val="center"/>
      </w:pPr>
      <w:r>
        <w:rPr>
          <w:b/>
          <w:sz w:val="24"/>
        </w:rPr>
        <w:t>Nir Cafri</w:t>
      </w:r>
      <w:r>
        <w:rPr>
          <w:b/>
          <w:sz w:val="24"/>
          <w:vertAlign w:val="superscript"/>
        </w:rPr>
        <w:t>1,3</w:t>
      </w:r>
      <w:r>
        <w:rPr>
          <w:b/>
          <w:sz w:val="24"/>
        </w:rPr>
        <w:t>, Felix Benninger</w:t>
      </w:r>
      <w:r>
        <w:rPr>
          <w:b/>
          <w:sz w:val="24"/>
          <w:vertAlign w:val="superscript"/>
        </w:rPr>
        <w:t>2,3</w:t>
      </w:r>
      <w:r>
        <w:rPr>
          <w:b/>
          <w:sz w:val="24"/>
        </w:rPr>
        <w:t>, Pablo Blinder</w:t>
      </w:r>
      <w:r>
        <w:rPr>
          <w:b/>
          <w:sz w:val="24"/>
          <w:vertAlign w:val="superscript"/>
        </w:rPr>
        <w:t>1,2</w:t>
      </w:r>
    </w:p>
    <w:p>
      <w:pPr>
        <w:spacing w:lineRule="exact" w:line="216" w:before="0" w:after="120"/>
        <w:jc w:val="center"/>
      </w:pPr>
      <w:r>
        <w:rPr>
          <w:sz w:val="16"/>
          <w:vertAlign w:val="superscript"/>
        </w:rPr>
        <w:t>1</w:t>
      </w:r>
      <w:r>
        <w:rPr>
          <w:sz w:val="16"/>
        </w:rPr>
        <w:t>Department of Neurobiology, School of Neurobiology, Biochemistry and Biophysics, George S. Wise Faculty of Life Sciences, Tel Aviv University, Tel Aviv, Israel</w:t>
      </w:r>
      <w:r>
        <w:rPr>
          <w:sz w:val="16"/>
        </w:rPr>
        <w:br/>
      </w:r>
      <w:r>
        <w:rPr>
          <w:sz w:val="16"/>
          <w:vertAlign w:val="superscript"/>
        </w:rPr>
        <w:t>2</w:t>
      </w:r>
      <w:r>
        <w:rPr>
          <w:sz w:val="16"/>
        </w:rPr>
        <w:t>Sagol School of Neuroscience, Tel Aviv University, Tel Aviv, Israel</w:t>
      </w:r>
      <w:r>
        <w:rPr>
          <w:sz w:val="16"/>
        </w:rPr>
        <w:br/>
      </w:r>
      <w:r>
        <w:rPr>
          <w:sz w:val="16"/>
          <w:vertAlign w:val="superscript"/>
        </w:rPr>
        <w:t>3</w:t>
      </w:r>
      <w:r>
        <w:rPr>
          <w:sz w:val="16"/>
        </w:rPr>
        <w:t>Department of Neurology, Rabin Medical Center, Beilinson Hospital and Tel-Aviv University, Petah Tikva, Israel</w:t>
      </w:r>
    </w:p>
    <w:p>
      <w:pPr>
        <w:spacing w:lineRule="exact" w:line="243" w:before="0" w:after="120"/>
        <w:jc w:val="center"/>
      </w:pPr>
      <w:r>
        <w:rPr>
          <w:sz w:val="18"/>
        </w:rPr>
        <w:t>Correspondence: pb@tauex.tau.ac.il</w:t>
      </w:r>
    </w:p>
    <w:p>
      <w:pPr>
        <w:spacing w:after="40"/>
      </w:pPr>
    </w:p>
    <w:p>
      <w:pPr>
        <w:pStyle w:val="Heading1"/>
      </w:pPr>
      <w:r>
        <w:rPr/>
        <w:t>Abstract</w:t>
      </w:r>
    </w:p>
    <w:p>
      <w:pPr>
        <w:spacing w:lineRule="exact" w:line="297" w:before="0" w:after="120"/>
        <w:jc w:val="both"/>
      </w:pPr>
      <w:r>
        <w:rPr>
          <w:sz w:val="22"/>
        </w:rPr>
        <w:t>The heart's electrical field reaches the scalp as a cardiac field artifact (CFA) in every EEG recording, adding noise to any analysis and confounding heartbeat-evoked potentials (HEPs). CFA has been studied only in small samples and is usually assumed constant across people and removed by excluding the QRS complex. We quantified CFA in 7,995 polysomnography patients (98,203 channel-recordings) from the Human Sleep Project by regressing each channel's R-peak-locked EEG average on the ECG average outside a ±50 ms QRS interval. The ECG explained a mean R² of 0.32; removing the ECG-related independent component reduced heartbeat-locked variance by a median of 28%. CFA ranged from negligible to near-complete between patients and varied across electrodes. It increased with BMI (r = 0.11, p = 4.3e-17), was higher in men than women (0.37 vs. 0.32, p = 1.5e-21) independently of BMI, and rose with segment duration from 0.30 at 5 min to 0.42 at 60 min (Friedman p &lt; 1e-300). Because its scalp pattern was consistent across patients, we developed CFAR (Cardiac Field Artifact Removal), an ECG-informed model that, once trained, removes CFA from EEG without ECG: in 6,711 held-out patients, it achieved 78% of the cleaning possible with the patient's own ECG (R² 0.36 to 0.18, vs. 0.13) and cut the cardiac share of ongoing EEG variance from 1.8% to 0.6%, retaining 91% of a simulated neural HEP. EEG studies should estimate CFA per channel, report segment length, and account for BMI and sex; CFAR can clean recordings without ECG.</w:t>
      </w:r>
    </w:p>
    <w:p>
      <w:pPr>
        <w:pStyle w:val="Heading2"/>
      </w:pPr>
      <w:r>
        <w:rPr/>
        <w:t>Highlights</w:t>
      </w:r>
    </w:p>
    <w:p>
      <w:pPr>
        <w:spacing w:lineRule="exact" w:line="297" w:before="0" w:after="120"/>
        <w:jc w:val="both"/>
      </w:pPr>
      <w:r>
        <w:rPr>
          <w:sz w:val="22"/>
        </w:rPr>
        <w:t>• In 7,995 patients, the ECG explained 32% of heartbeat-locked EEG variance after QRS exclusion.</w:t>
      </w:r>
    </w:p>
    <w:p>
      <w:pPr>
        <w:spacing w:lineRule="exact" w:line="297" w:before="0" w:after="120"/>
        <w:jc w:val="both"/>
      </w:pPr>
      <w:r>
        <w:rPr>
          <w:sz w:val="22"/>
        </w:rPr>
        <w:t>• CFA rose with BMI (r = 0.11, p = 4.3e-17) and segment duration (R² 0.30 at 5 min, 0.42 at 60 min).</w:t>
      </w:r>
    </w:p>
    <w:p>
      <w:pPr>
        <w:spacing w:lineRule="exact" w:line="297" w:before="0" w:after="120"/>
        <w:jc w:val="both"/>
      </w:pPr>
      <w:r>
        <w:rPr>
          <w:sz w:val="22"/>
        </w:rPr>
        <w:t>• CFA was higher in men (0.37 vs. 0.32), independent of BMI (p = 3.2e-13).</w:t>
      </w:r>
    </w:p>
    <w:p>
      <w:pPr>
        <w:spacing w:lineRule="exact" w:line="297" w:before="0" w:after="120"/>
        <w:jc w:val="both"/>
      </w:pPr>
      <w:r>
        <w:rPr>
          <w:sz w:val="22"/>
        </w:rPr>
        <w:t>• Without ECG, CFAR achieved 78% of ECG-based cleaning, and removed more CFA in obese patients (p = 0.001).</w:t>
      </w:r>
    </w:p>
    <w:p>
      <w:pPr>
        <w:spacing w:lineRule="exact" w:line="243" w:before="120" w:after="120"/>
      </w:pPr>
      <w:r>
        <w:rPr>
          <w:i/>
          <w:sz w:val="18"/>
        </w:rPr>
        <w:t>Keywords: cardiac field artifact; CFAR; EEG artifact; ECG; body mass index; sex differences; segment duration; heartbeat-evoked potential; independent component analysis; polysomnography</w:t>
      </w:r>
    </w:p>
    <w:p>
      <w:r>
        <w:br w:type="page"/>
      </w:r>
    </w:p>
    <w:p>
      <w:pPr>
        <w:pStyle w:val="Heading1"/>
      </w:pPr>
      <w:r>
        <w:rPr/>
        <w:t>1. Introduction</w:t>
      </w:r>
    </w:p>
    <w:p>
      <w:pPr>
        <w:spacing w:lineRule="exact" w:line="297" w:before="0" w:after="120"/>
        <w:jc w:val="both"/>
      </w:pPr>
      <w:r>
        <w:rPr>
          <w:sz w:val="22"/>
        </w:rPr>
        <w:t>The heart is one of the body's strongest bioelectrical generators, and its field is volume-conducted to the scalp. Every EEG recording therefore contains a cardiac field artifact (CFA): a heartbeat-locked deflection of non-cortical origin</w:t>
      </w:r>
      <w:r>
        <w:rPr>
          <w:sz w:val="22"/>
          <w:vertAlign w:val="superscript"/>
        </w:rPr>
        <w:t>1-4</w:t>
      </w:r>
      <w:r>
        <w:rPr>
          <w:sz w:val="22"/>
        </w:rPr>
        <w:t>. CFA adds structured noise to any EEG measure</w:t>
      </w:r>
      <w:r>
        <w:rPr>
          <w:sz w:val="22"/>
          <w:vertAlign w:val="superscript"/>
        </w:rPr>
        <w:t>3,4</w:t>
      </w:r>
      <w:r>
        <w:rPr>
          <w:sz w:val="22"/>
        </w:rPr>
        <w:t xml:space="preserve"> and is preserved, not averaged out, in R-peak-locked analyses. The heartbeat-evoked potential (HEP), used to study cardiac interoception</w:t>
      </w:r>
      <w:r>
        <w:rPr>
          <w:sz w:val="22"/>
          <w:vertAlign w:val="superscript"/>
        </w:rPr>
        <w:t>5-7</w:t>
      </w:r>
      <w:r>
        <w:rPr>
          <w:sz w:val="22"/>
        </w:rPr>
        <w:t>, is the clearest example: CFA and cortical responses to the heartbeat share the same time-locking event</w:t>
      </w:r>
      <w:r>
        <w:rPr>
          <w:sz w:val="22"/>
          <w:vertAlign w:val="superscript"/>
        </w:rPr>
        <w:t>1,6</w:t>
      </w:r>
      <w:r>
        <w:rPr>
          <w:sz w:val="22"/>
        </w:rPr>
        <w:t>. The standard mitigation is to exclude ±30–50 ms around the QRS complex and, in some studies, to remove an ECG-related independent component</w:t>
      </w:r>
      <w:r>
        <w:rPr>
          <w:sz w:val="22"/>
          <w:vertAlign w:val="superscript"/>
        </w:rPr>
        <w:t>6-8</w:t>
      </w:r>
      <w:r>
        <w:rPr>
          <w:sz w:val="22"/>
        </w:rPr>
        <w:t>.</w:t>
      </w:r>
    </w:p>
    <w:p>
      <w:pPr>
        <w:spacing w:lineRule="exact" w:line="297" w:before="0" w:after="120"/>
        <w:jc w:val="both"/>
      </w:pPr>
      <w:r>
        <w:rPr>
          <w:sz w:val="22"/>
        </w:rPr>
        <w:t>CFA has been characterised only in single cohorts of a few tens of participants</w:t>
      </w:r>
      <w:r>
        <w:rPr>
          <w:sz w:val="22"/>
          <w:vertAlign w:val="superscript"/>
        </w:rPr>
        <w:t>1,2</w:t>
      </w:r>
      <w:r>
        <w:rPr>
          <w:sz w:val="22"/>
        </w:rPr>
        <w:t>, too small to detect modest differences between people. It is therefore usually treated as a constant property of the recording, removed by a fixed QRS exclusion. Recent reviews note that heterogeneous CFA handling limits reproducibility and clinical interpretation</w:t>
      </w:r>
      <w:r>
        <w:rPr>
          <w:sz w:val="22"/>
          <w:vertAlign w:val="superscript"/>
        </w:rPr>
        <w:t>7-9</w:t>
      </w:r>
      <w:r>
        <w:rPr>
          <w:sz w:val="22"/>
        </w:rPr>
        <w:t>. If CFA differs systematically between people or analysis choices, a group difference in heartbeat-locked EEG may reflect cardiac electrophysiology, tissue conductivity, or electrode geometry rather than brain activity</w:t>
      </w:r>
      <w:r>
        <w:rPr>
          <w:sz w:val="22"/>
          <w:vertAlign w:val="superscript"/>
        </w:rPr>
        <w:t>2,6,10,11</w:t>
      </w:r>
      <w:r>
        <w:rPr>
          <w:sz w:val="22"/>
        </w:rPr>
        <w:t>.</w:t>
      </w:r>
    </w:p>
    <w:p>
      <w:pPr>
        <w:spacing w:lineRule="exact" w:line="297" w:before="0" w:after="120"/>
        <w:jc w:val="both"/>
      </w:pPr>
      <w:r>
        <w:rPr>
          <w:sz w:val="22"/>
        </w:rPr>
        <w:t>Three factors are of particular interest. First, body composition alters the conduction path from heart to scalp: subcutaneous fat attenuates surface-ECG voltage, correcting voltage for body fat changes its relation to cardiac structure</w:t>
      </w:r>
      <w:r>
        <w:rPr>
          <w:sz w:val="22"/>
          <w:vertAlign w:val="superscript"/>
        </w:rPr>
        <w:t>12</w:t>
      </w:r>
      <w:r>
        <w:rPr>
          <w:sz w:val="22"/>
        </w:rPr>
        <w:t>, and obesity is associated with low QRS voltage and a shifted cardiac axis</w:t>
      </w:r>
      <w:r>
        <w:rPr>
          <w:sz w:val="22"/>
          <w:vertAlign w:val="superscript"/>
        </w:rPr>
        <w:t>13</w:t>
      </w:r>
      <w:r>
        <w:rPr>
          <w:sz w:val="22"/>
        </w:rPr>
        <w:t>. BMI, though an indirect measure of adiposity, is available in most clinical datasets. Second, men and women differ in thoracic anatomy, heart size, and fat distribution, so CFA may differ by sex, a common grouping variable. Third, CFA is estimated from averages over heartbeats, and averages over fewer events are less reliable</w:t>
      </w:r>
      <w:r>
        <w:rPr>
          <w:sz w:val="22"/>
          <w:vertAlign w:val="superscript"/>
        </w:rPr>
        <w:t>14</w:t>
      </w:r>
      <w:r>
        <w:rPr>
          <w:sz w:val="22"/>
        </w:rPr>
        <w:t>, so apparent contamination may depend on segment duration. None of these factors has been examined at the population level.</w:t>
      </w:r>
    </w:p>
    <w:p>
      <w:pPr>
        <w:spacing w:lineRule="exact" w:line="297" w:before="0" w:after="120"/>
        <w:jc w:val="both"/>
      </w:pPr>
      <w:r>
        <w:rPr>
          <w:sz w:val="22"/>
        </w:rPr>
        <w:t>We quantified CFA in clinical polysomnography recordings from 7,995 patients in the Human Sleep Project, a public, curated dataset</w:t>
      </w:r>
      <w:r>
        <w:rPr>
          <w:sz w:val="22"/>
          <w:vertAlign w:val="superscript"/>
        </w:rPr>
        <w:t>15</w:t>
      </w:r>
      <w:r>
        <w:rPr>
          <w:sz w:val="22"/>
        </w:rPr>
        <w:t>, the largest sample in which CFA has been measured. We used two estimators: a model-free regression of each channel's R-peak-locked EEG average on the patient's R-peak-locked ECG average, and ECG-informed ICA. We show the range of CFA in individual patients, map its scalp distribution, and test its dependence on BMI, sex, age, and segment duration (5–60 min). We hypothesised that ECG-related variance would persist outside the QRS interval, increase with BMI, differ by sex, and increase with segment duration. Finally, we developed CFAR (Cardiac Field Artifact Removal), a model trained on the cohort's ECG-informed CFA patterns that removes CFA from EEG recorded without ECG.</w:t>
      </w:r>
    </w:p>
    <w:p>
      <w:pPr>
        <w:pStyle w:val="Heading1"/>
      </w:pPr>
      <w:r>
        <w:rPr/>
        <w:t>2. Methods</w:t>
      </w:r>
    </w:p>
    <w:p>
      <w:pPr>
        <w:pStyle w:val="Heading2"/>
      </w:pPr>
      <w:r>
        <w:rPr/>
        <w:t>2.1 Cohort and recordings</w:t>
      </w:r>
    </w:p>
    <w:p>
      <w:pPr>
        <w:spacing w:lineRule="exact" w:line="297" w:before="0" w:after="120"/>
        <w:jc w:val="both"/>
      </w:pPr>
      <w:r>
        <w:rPr>
          <w:sz w:val="22"/>
        </w:rPr>
        <w:t>This is a secondary analysis of existing polysomnography recordings from the Human Sleep Project</w:t>
      </w:r>
      <w:r>
        <w:rPr>
          <w:sz w:val="22"/>
          <w:vertAlign w:val="superscript"/>
        </w:rPr>
        <w:t>15</w:t>
      </w:r>
      <w:r>
        <w:rPr>
          <w:sz w:val="22"/>
        </w:rPr>
        <w:t>, a public, curated dataset of clinical recordings with linked electronic health records (EHR), distributed through the Brain Data Science Platform. BMI was computed from each patient's median EHR height and weight; values outside 10–80 kg/m² were excluded. EEG channels were identified by matching labels to 10-20/10-10 electrode names, which excluded intracranial and auxiliary channels; at least two were required. The ECG channel was the first label matching ECG/EKG. Cohort characteristics are in Section 3.1.</w:t>
      </w:r>
    </w:p>
    <w:p>
      <w:pPr>
        <w:pStyle w:val="Heading2"/>
      </w:pPr>
      <w:r>
        <w:rPr/>
        <w:t>2.2 Window selection, R-peak detection, and preprocessing</w:t>
      </w:r>
    </w:p>
    <w:p>
      <w:pPr>
        <w:spacing w:lineRule="exact" w:line="297" w:before="0" w:after="120"/>
        <w:jc w:val="both"/>
      </w:pPr>
      <w:r>
        <w:rPr>
          <w:sz w:val="22"/>
        </w:rPr>
        <w:t>For the main analysis, one 10-min window per recording was selected by a seeded random search (uniform start times; up to 10 attempts). R-peaks were detected on the ECG before the analysis filter: the median-subtracted signal was band-pass filtered at 5–25 Hz (third-order zero-phase Butterworth) and rectified, making detection polarity-independent, and peaks were identified with a minimum spacing of 300 ms and a prominence ≥3 × the median absolute deviation. A window was accepted if (i) ≥70% of EEG channels passed quality criteria (≥99.9% finite samples; SD 0.1–500 µV; peak-to-peak ≤5,000 µV; &lt;20% flat samples), (ii) mean heart rate was 35–180 beats/min, and (iii) ≥70% of R-R intervals were 0.33–2.0 s. EEG and ECG were then band-pass filtered from 1 Hz to min(100 Hz, Nyquist − 0.5 Hz) (zero-phase FIR, MNE-Python</w:t>
      </w:r>
      <w:r>
        <w:rPr>
          <w:sz w:val="22"/>
          <w:vertAlign w:val="superscript"/>
        </w:rPr>
        <w:t>16</w:t>
      </w:r>
      <w:r>
        <w:rPr>
          <w:sz w:val="22"/>
        </w:rPr>
        <w:t>; 86% of recordings were sampled at 200 Hz) and analysed in µV at native sampling rate, without re-referencing, interpolation, or amplitude-based rejection, so that CFA was estimated in minimally processed data. For the duration analysis, the procedure was repeated with 5-, 20-, 30-, 45-, and 60-min windows (Section 2.7). Parameters are summarised in Table 1.</w:t>
      </w:r>
    </w:p>
    <w:p>
      <w:pPr>
        <w:spacing w:lineRule="exact" w:line="243" w:before="80" w:after="240"/>
      </w:pPr>
      <w:r>
        <w:rPr>
          <w:b/>
          <w:sz w:val="18"/>
        </w:rPr>
        <w:t>Table 1.</w:t>
      </w:r>
      <w:r>
        <w:rPr>
          <w:sz w:val="18"/>
        </w:rPr>
        <w:t xml:space="preserve"> Window selection, quality control, and preprocessing parameters.</w:t>
      </w:r>
    </w:p>
    <w:tbl>
      <w:tblPr>
        <w:tblStyle w:val="TableGrid"/>
        <w:tblW w:type="auto" w:w="0"/>
        <w:tblLook w:firstColumn="1" w:firstRow="1" w:lastColumn="0" w:lastRow="0" w:noHBand="0" w:noVBand="1" w:val="04A0"/>
      </w:tblPr>
      <w:tblGrid>
        <w:gridCol w:w="4824"/>
        <w:gridCol w:w="4824"/>
      </w:tblGrid>
      <w:tr>
        <w:tc>
          <w:tcPr>
            <w:tcW w:type="dxa" w:w="2304"/>
          </w:tcPr>
          <w:p>
            <w:r>
              <w:rPr>
                <w:b/>
                <w:sz w:val="18"/>
              </w:rPr>
              <w:t>Step</w:t>
            </w:r>
          </w:p>
        </w:tc>
        <w:tc>
          <w:tcPr>
            <w:tcW w:type="dxa" w:w="7200"/>
          </w:tcPr>
          <w:p>
            <w:r>
              <w:rPr>
                <w:b/>
                <w:sz w:val="18"/>
              </w:rPr>
              <w:t>Parameters</w:t>
            </w:r>
          </w:p>
        </w:tc>
      </w:tr>
      <w:tr>
        <w:tc>
          <w:tcPr>
            <w:tcW w:type="dxa" w:w="2304"/>
          </w:tcPr>
          <w:p>
            <w:r>
              <w:rPr>
                <w:b w:val="0"/>
                <w:sz w:val="18"/>
              </w:rPr>
              <w:t>Window selection</w:t>
            </w:r>
          </w:p>
        </w:tc>
        <w:tc>
          <w:tcPr>
            <w:tcW w:type="dxa" w:w="7200"/>
          </w:tcPr>
          <w:p>
            <w:r>
              <w:rPr>
                <w:b w:val="0"/>
                <w:sz w:val="18"/>
              </w:rPr>
              <w:t>Seeded random search, uniformly distributed start times, up to 10 attempts; 10 min (main analysis), 5–60 min (duration analysis, see Section 2.7)</w:t>
            </w:r>
          </w:p>
        </w:tc>
      </w:tr>
      <w:tr>
        <w:tc>
          <w:tcPr>
            <w:tcW w:type="dxa" w:w="2304"/>
          </w:tcPr>
          <w:p>
            <w:r>
              <w:rPr>
                <w:b w:val="0"/>
                <w:sz w:val="18"/>
              </w:rPr>
              <w:t>R-peak detection</w:t>
            </w:r>
          </w:p>
        </w:tc>
        <w:tc>
          <w:tcPr>
            <w:tcW w:type="dxa" w:w="7200"/>
          </w:tcPr>
          <w:p>
            <w:r>
              <w:rPr>
                <w:b w:val="0"/>
                <w:sz w:val="18"/>
              </w:rPr>
              <w:t>Median subtraction; 5–25 Hz third-order zero-phase Butterworth band-pass; rectification; minimum inter-peak distance 300 ms; prominence ≥3 × MAD</w:t>
            </w:r>
          </w:p>
        </w:tc>
      </w:tr>
      <w:tr>
        <w:tc>
          <w:tcPr>
            <w:tcW w:type="dxa" w:w="2304"/>
          </w:tcPr>
          <w:p>
            <w:r>
              <w:rPr>
                <w:b w:val="0"/>
                <w:sz w:val="18"/>
              </w:rPr>
              <w:t>EEG channel quality</w:t>
            </w:r>
          </w:p>
        </w:tc>
        <w:tc>
          <w:tcPr>
            <w:tcW w:type="dxa" w:w="7200"/>
          </w:tcPr>
          <w:p>
            <w:r>
              <w:rPr>
                <w:b w:val="0"/>
                <w:sz w:val="18"/>
              </w:rPr>
              <w:t>≥99.9% finite samples; SD 0.1–500 µV; peak-to-peak ≤5,000 µV; &lt;20% flat samples</w:t>
            </w:r>
          </w:p>
        </w:tc>
      </w:tr>
      <w:tr>
        <w:tc>
          <w:tcPr>
            <w:tcW w:type="dxa" w:w="2304"/>
          </w:tcPr>
          <w:p>
            <w:r>
              <w:rPr>
                <w:b w:val="0"/>
                <w:sz w:val="18"/>
              </w:rPr>
              <w:t>Window acceptance</w:t>
            </w:r>
          </w:p>
        </w:tc>
        <w:tc>
          <w:tcPr>
            <w:tcW w:type="dxa" w:w="7200"/>
          </w:tcPr>
          <w:p>
            <w:r>
              <w:rPr>
                <w:b w:val="0"/>
                <w:sz w:val="18"/>
              </w:rPr>
              <w:t>≥70% of EEG channels pass quality criteria; mean heart rate 35–180 beats/min; ≥70% of R-R intervals 0.33–2.0 s</w:t>
            </w:r>
          </w:p>
        </w:tc>
      </w:tr>
      <w:tr>
        <w:tc>
          <w:tcPr>
            <w:tcW w:type="dxa" w:w="2304"/>
          </w:tcPr>
          <w:p>
            <w:r>
              <w:rPr>
                <w:b w:val="0"/>
                <w:sz w:val="18"/>
              </w:rPr>
              <w:t>Analysis filter</w:t>
            </w:r>
          </w:p>
        </w:tc>
        <w:tc>
          <w:tcPr>
            <w:tcW w:type="dxa" w:w="7200"/>
          </w:tcPr>
          <w:p>
            <w:r>
              <w:rPr>
                <w:b w:val="0"/>
                <w:sz w:val="18"/>
              </w:rPr>
              <w:t>Zero-phase FIR band-pass, 1 Hz to min(100 Hz, Nyquist − 0.5 Hz), MNE-Python; applied to EEG and ECG</w:t>
            </w:r>
          </w:p>
        </w:tc>
      </w:tr>
      <w:tr>
        <w:tc>
          <w:tcPr>
            <w:tcW w:type="dxa" w:w="2304"/>
          </w:tcPr>
          <w:p>
            <w:r>
              <w:rPr>
                <w:b w:val="0"/>
                <w:sz w:val="18"/>
              </w:rPr>
              <w:t>Signal handling</w:t>
            </w:r>
          </w:p>
        </w:tc>
        <w:tc>
          <w:tcPr>
            <w:tcW w:type="dxa" w:w="7200"/>
          </w:tcPr>
          <w:p>
            <w:r>
              <w:rPr>
                <w:b w:val="0"/>
                <w:sz w:val="18"/>
              </w:rPr>
              <w:t>Native sampling rate, µV; no re-referencing, channel interpolation, or amplitude-based rejection</w:t>
            </w:r>
          </w:p>
        </w:tc>
      </w:tr>
      <w:tr>
        <w:tc>
          <w:tcPr>
            <w:tcW w:type="dxa" w:w="2304"/>
          </w:tcPr>
          <w:p>
            <w:r>
              <w:rPr>
                <w:b w:val="0"/>
                <w:sz w:val="18"/>
              </w:rPr>
              <w:t>HEP epochs</w:t>
            </w:r>
          </w:p>
        </w:tc>
        <w:tc>
          <w:tcPr>
            <w:tcW w:type="dxa" w:w="7200"/>
          </w:tcPr>
          <w:p>
            <w:r>
              <w:rPr>
                <w:b w:val="0"/>
                <w:sz w:val="18"/>
              </w:rPr>
              <w:t>−300 to 400 ms around each R-peak; no baseline correction; ≥20 epochs; ±50 ms QRS exclusion for outside-QRS R² (see Section 2.3)</w:t>
            </w:r>
          </w:p>
        </w:tc>
      </w:tr>
    </w:tbl>
    <w:p>
      <w:pPr>
        <w:pStyle w:val="Heading2"/>
      </w:pPr>
      <w:r>
        <w:rPr/>
        <w:t>2.3 Model-free CFA estimator: HEP-vs-ECG regression</w:t>
      </w:r>
    </w:p>
    <w:p>
      <w:pPr>
        <w:spacing w:lineRule="exact" w:line="297" w:before="0" w:after="120"/>
        <w:jc w:val="both"/>
      </w:pPr>
      <w:r>
        <w:rPr>
          <w:sz w:val="22"/>
        </w:rPr>
        <w:t>HEP epochs spanned −300 to 400 ms around each R-peak, without baseline correction; epochs beyond the window edges were discarded, and recordings with fewer than 20 epochs were excluded (median 940 epochs per 10-min window). For each patient and channel, the R-peak-locked EEG average was compared with the ECG average over the same epochs. The squared zero-lag Pearson correlation (R²) between the two waveforms, the fraction of HEP variance shared with the ECG, was the CFA index. R² was computed over the full epoch and outside a ±50 ms QRS-exclusion window</w:t>
      </w:r>
      <w:r>
        <w:rPr>
          <w:sz w:val="22"/>
          <w:vertAlign w:val="superscript"/>
        </w:rPr>
        <w:t>8</w:t>
      </w:r>
      <w:r>
        <w:rPr>
          <w:sz w:val="22"/>
        </w:rPr>
        <w:t>. This estimator does not depend on ICA isolating a cardiac source; it tests directly how far the averaged scalp waveform is a scaled, offset copy of the averaged ECG. For patient-level analyses (Section 2.7), R² was averaged across the patient's channels at the six well-covered sites (Section 2.5) and across recordings (patient-mean CFA R²).</w:t>
      </w:r>
    </w:p>
    <w:p>
      <w:pPr>
        <w:pStyle w:val="Heading2"/>
      </w:pPr>
      <w:r>
        <w:rPr/>
        <w:t>2.4 Model-based CFA estimator: ECG-informed ICA</w:t>
      </w:r>
    </w:p>
    <w:p>
      <w:pPr>
        <w:spacing w:lineRule="exact" w:line="297" w:before="0" w:after="120"/>
        <w:jc w:val="both"/>
      </w:pPr>
      <w:r>
        <w:rPr>
          <w:sz w:val="22"/>
        </w:rPr>
        <w:t>In parallel, ICA</w:t>
      </w:r>
      <w:r>
        <w:rPr>
          <w:sz w:val="22"/>
          <w:vertAlign w:val="superscript"/>
        </w:rPr>
        <w:t>17</w:t>
      </w:r>
      <w:r>
        <w:rPr>
          <w:sz w:val="22"/>
        </w:rPr>
        <w:t xml:space="preserve"> (extended Picard</w:t>
      </w:r>
      <w:r>
        <w:rPr>
          <w:sz w:val="22"/>
          <w:vertAlign w:val="superscript"/>
        </w:rPr>
        <w:t>18</w:t>
      </w:r>
      <w:r>
        <w:rPr>
          <w:sz w:val="22"/>
        </w:rPr>
        <w:t>; min(15, channels − 1) components; 500 iterations; fixed seed) was fitted to the filtered EEG of the same window. ECG-related components were identified by correlation with the ECG channel (MNE-Python default threshold</w:t>
      </w:r>
      <w:r>
        <w:rPr>
          <w:sz w:val="22"/>
          <w:vertAlign w:val="superscript"/>
        </w:rPr>
        <w:t>16</w:t>
      </w:r>
      <w:r>
        <w:rPr>
          <w:sz w:val="22"/>
        </w:rPr>
        <w:t>); if none exceeded it, the highest-scoring component was used (two components were flagged in 49 of 13,624 recordings). Each component's mixing-weighted contribution to each channel was evaluated on the R-peak-locked average, quantifying the fraction of heartbeat-evoked signal it explains. Removal was also measured directly, as the reduction in each channel's HEP variance after back-projection without the component, 100 × (pre − post)/pre. For Figure 2b, the ratio of component to residual variance (SNR) was computed per channel-recording.</w:t>
      </w:r>
    </w:p>
    <w:p>
      <w:pPr>
        <w:pStyle w:val="Heading2"/>
      </w:pPr>
      <w:r>
        <w:rPr/>
        <w:t>2.5 Channel canonicalisation and minimum coverage</w:t>
      </w:r>
    </w:p>
    <w:p>
      <w:pPr>
        <w:spacing w:lineRule="exact" w:line="297" w:before="0" w:after="120"/>
        <w:jc w:val="both"/>
      </w:pPr>
      <w:r>
        <w:rPr>
          <w:sz w:val="22"/>
        </w:rPr>
        <w:t>Channel labels were mapped to their scalp-side 10-20 site; reference-only labels were excluded. Figure 2c–d includes sites recorded in at least 500 patients. Analyses comparing conditions or estimators at common electrodes (Sections 3.4–3.6, S2–S4) used sites present in ≥50% of patients, which retained six sites (F3, F4, C3, C4, O1, O2; each in 96–100% of patients), the dataset's predominant montage.</w:t>
      </w:r>
    </w:p>
    <w:p>
      <w:pPr>
        <w:pStyle w:val="Heading2"/>
      </w:pPr>
      <w:r>
        <w:rPr/>
        <w:t>2.6 EEG-ECG cross-correlation and mutual information</w:t>
      </w:r>
    </w:p>
    <w:p>
      <w:pPr>
        <w:spacing w:lineRule="exact" w:line="297" w:before="0" w:after="120"/>
        <w:jc w:val="both"/>
      </w:pPr>
      <w:r>
        <w:rPr>
          <w:sz w:val="22"/>
        </w:rPr>
        <w:t>The EEG-ECG relationship was further characterised in a separate subsample of 150 patients (Figures S3–S4; 148 with usable data). Lag-resolved cross-correlation was the Pearson correlation between each channel's evoked waveform and the ECG evoked average at lags of ±100 ms in 5-ms steps; the peak absolute correlation and its lag were reported after per-channel sign alignment, because reference polarity is arbitrary. Mutual information was estimated with the Kraskov k-nearest-neighbour estimator</w:t>
      </w:r>
      <w:r>
        <w:rPr>
          <w:sz w:val="22"/>
          <w:vertAlign w:val="superscript"/>
        </w:rPr>
        <w:t>19</w:t>
      </w:r>
      <w:r>
        <w:rPr>
          <w:sz w:val="22"/>
        </w:rPr>
        <w:t xml:space="preserve"> to capture linear and nonlinear dependence. Both were computed pre-ICA, post-ICA, and for a non-heartbeat-locked control in which the same window was re-epoched around an equal number of random pseudo-events; in this subsample, ICA was refitted and R-peaks were re-detected on the filtered ECG. For the power spectral density (PSD) comparison (Figure S4), the ECG evoked average was added as a fourth condition, and Welch PSD (dB) was computed at the six well-covered electrodes. Two further random subsamples supported Figure S2: in one (973 patients), ICA windows were re-epoched around pseudo-events, without refitting, to estimate a variance noise floor; in the other (492 patients), ICA was refitted and the spectral entropy of each evoked waveform (normalised Shannon entropy of its Welch spectrum) was computed for the three conditions.</w:t>
      </w:r>
    </w:p>
    <w:p>
      <w:pPr>
        <w:pStyle w:val="Heading2"/>
      </w:pPr>
      <w:r>
        <w:rPr/>
        <w:t>2.7 Statistics</w:t>
      </w:r>
    </w:p>
    <w:p>
      <w:pPr>
        <w:spacing w:lineRule="exact" w:line="297" w:before="0" w:after="120"/>
        <w:jc w:val="both"/>
      </w:pPr>
      <w:r>
        <w:rPr>
          <w:sz w:val="22"/>
        </w:rPr>
        <w:t>Diagnoses were assigned to 15 predefined categories by case-insensitive keyword matching on EHR diagnosis descriptions (Table S1); categories overlap. EHR-linked patients without a recorded diagnosis formed the no-diagnosis group, which included patients from a site without diagnosis tables (see Limitations); patients without an EHR link were excluded from diagnosis analyses. Age was tested as a continuous variable (Pearson correlation) and by tertile (one-way ANOVA). Sex and presence of a diagnosis were tested with the Mann-Whitney U test. Diagnosis categories (Section 3.6) were compared with the Kruskal-Wallis test and pairwise Mann-Whitney tests, corrected by the Benjamini-Hochberg false discovery rate (FDR)</w:t>
      </w:r>
      <w:r>
        <w:rPr>
          <w:sz w:val="22"/>
          <w:vertAlign w:val="superscript"/>
        </w:rPr>
        <w:t>20</w:t>
      </w:r>
      <w:r>
        <w:rPr>
          <w:sz w:val="22"/>
        </w:rPr>
        <w:t>. BMI was tested with Pearson correlation, using the longest available window per patient (30 min for 98%) to keep one observation per patient; absolute R² in the BMI and BMI-adjusted sex analyses is therefore not comparable with the 10-min estimates. BMI correlations were also computed by sex, and a BMI-by-sex interaction term in an ordinary least-squares (OLS) model tested whether slopes differed. A further OLS model compared the sex coefficient with and without BMI adjustment. Model-free R² and log ICA SNR (Section 2.4) were correlated across channel-recordings (Pearson; Figure 2b). Segment duration (Section 3.5) was tested in patients with data at all six durations (5–60 min), using all EEG channels (Figure 3d shows channel-level means). Patient-mean R² was compared across durations with the Friedman test (effect size, Kendall's W), and consecutive durations, 5 vs. 60 min, and 10 vs. 60 min with Holm-corrected paired Wilcoxon signed-rank tests. Sexes and diagnosis groups were compared at each duration with Mann-Whitney tests. Windows of each length were drawn with the same seeded procedure, so shorter windows were usually nested within longer ones; the 45- and 60-min analyses used one recording per patient. Sample sizes differ because analyses need different data: model-free estimator, all patients with a valid window (7,995); ICA, patients with a converged decomposition (7,933); age, sex, and diagnosis, EHR-linked patients with known age and at least one well-covered site (7,729); BMI, patients with a plausible BMI (6,127); duration, patients with data at all six durations (7,079). For illustration (Figure 1), two patients with measured BMI and data from the same recording at all durations were chosen at the low and high ends of BMI and CFA; they were not used for inference. To test sleep stage (Section 3.1), a random subsample of 23 patients was staged in 30-s epochs with YASA</w:t>
      </w:r>
      <w:r>
        <w:rPr>
          <w:sz w:val="22"/>
          <w:vertAlign w:val="superscript"/>
        </w:rPr>
        <w:t>21</w:t>
      </w:r>
      <w:r>
        <w:rPr>
          <w:sz w:val="22"/>
        </w:rPr>
        <w:t>; for wake, light sleep (N1+N2), N3, and REM, up to 2 windows per duration (2, 5, 10, 20, 30, 60 min) were drawn from contiguous stretches of each stage, and CFA R² was computed as in Section 2.3. Stage and duration were compared with one-way ANOVA.</w:t>
      </w:r>
    </w:p>
    <w:p>
      <w:pPr>
        <w:pStyle w:val="Heading2"/>
      </w:pPr>
      <w:r>
        <w:rPr/>
        <w:t>2.8 CFAR: ECG-free cardiac field artifact removal</w:t>
      </w:r>
    </w:p>
    <w:p>
      <w:pPr>
        <w:spacing w:lineRule="exact" w:line="297" w:before="0" w:after="120"/>
        <w:jc w:val="both"/>
      </w:pPr>
      <w:r>
        <w:rPr>
          <w:sz w:val="22"/>
        </w:rPr>
        <w:t>Many EEG datasets lack an ECG. We therefore developed CFAR (Cardiac Field Artifact Removal), an ECG-informed model: the ECG is needed to train it, not to apply it. Single-beat CFA was too weak to detect heartbeats from the EEG, but CFA has a largely fixed scalp pattern, which allows cleaning without locating beats. In recordings with the standard six-channel, mastoid-referenced montage (F3, F4, C3, C4, O1, O2), each patient's CFA pattern (first singular vector of the R-peak-locked EEG average) was computed, sign-aligned, and averaged, weighted by the patient's CFA R², into one population pattern. All 6,711 eligible patients were used with 5-fold cross-fitting: each patient was cleaned with a pattern learned from the other folds (about 5,369 patients), projected out of every sample of the continuous EEG (signal-space projection). The ECG was used only for scoring: CFA R² (outside QRS) before and after cleaning, compared with a gold standard that projects out the patient's own ECG-derived pattern. Cardiac noise in the ongoing EEG was quantified as the share of continuous EEG variance carried by the ECG-locked template overlap-added at every beat. To measure preservation of brain activity, a synthetic neural HEP (Gaussian, −2 µV at +300 ms, frontal &gt; central &gt; occipital) was added before cleaning and the retained fraction was measured; the cost to ongoing EEG was the change in Welch power (1–40 Hz). To test whether participant information helps, a ridge regression trained in the same folds predicted each patient's pattern from BMI (median-imputed, with a missing indicator), age, sex, number of diagnoses, and diagnosis categories.</w:t>
      </w:r>
    </w:p>
    <w:p>
      <w:pPr>
        <w:pStyle w:val="Heading1"/>
      </w:pPr>
      <w:r>
        <w:rPr/>
        <w:t>3. Results</w:t>
      </w:r>
    </w:p>
    <w:p>
      <w:pPr>
        <w:pStyle w:val="Heading2"/>
      </w:pPr>
      <w:r>
        <w:rPr/>
        <w:t>3.1 Cohort</w:t>
      </w:r>
    </w:p>
    <w:p>
      <w:pPr>
        <w:spacing w:lineRule="exact" w:line="297" w:before="0" w:after="120"/>
        <w:jc w:val="both"/>
      </w:pPr>
      <w:r>
        <w:rPr>
          <w:sz w:val="22"/>
        </w:rPr>
        <w:t>Demographics were available for 7,732 of the 7,995 patients (median age 61 years, range 7–103; Male n=3,965, Female n=3,767). The EHR-linked cohort was clinically referred, with a high diagnostic burden; the most prevalent categories were Obstructive Sleep Apnea (n=5,524); Hypertension (n=3,882); Obesity (n=3,016) (Figure S1).</w:t>
      </w:r>
    </w:p>
    <w:p>
      <w:pPr>
        <w:spacing w:lineRule="exact" w:line="297" w:before="0" w:after="120"/>
        <w:jc w:val="both"/>
      </w:pPr>
      <w:r>
        <w:rPr>
          <w:sz w:val="22"/>
        </w:rPr>
        <w:t>Windows were placed at random across the recording (Section 2.2), so they sampled wake and sleep stages roughly in proportion to their duration, and cohort estimates describe CFA over the whole night. In 23 patients staged with YASA</w:t>
      </w:r>
      <w:r>
        <w:rPr>
          <w:sz w:val="22"/>
          <w:vertAlign w:val="superscript"/>
        </w:rPr>
        <w:t>21</w:t>
      </w:r>
      <w:r>
        <w:rPr>
          <w:sz w:val="22"/>
        </w:rPr>
        <w:t xml:space="preserve"> (Section 2.7), mean CFA R² was similar across stages (wake 0.30, light sleep 0.31, N3 0.32, REM 0.32; ANOVA p = 0.76), whereas segment duration had a significant effect in the same data (p = 2.6e-09). The main conclusions are therefore not specific to one sleep stage.</w:t>
      </w:r>
    </w:p>
    <w:p>
      <w:pPr>
        <w:pStyle w:val="Heading2"/>
      </w:pPr>
      <w:r>
        <w:rPr/>
        <w:t>3.2 CFA in individual patients</w:t>
      </w:r>
    </w:p>
    <w:p>
      <w:pPr>
        <w:keepNext/>
        <w:spacing w:before="160" w:after="0"/>
        <w:jc w:val="center"/>
      </w:pPr>
      <w:r>
        <w:drawing>
          <wp:inline xmlns:a="http://schemas.openxmlformats.org/drawingml/2006/main" xmlns:pic="http://schemas.openxmlformats.org/drawingml/2006/picture">
            <wp:extent cx="4389120" cy="3664006"/>
            <wp:docPr id="1" name="Picture 1"/>
            <wp:cNvGraphicFramePr>
              <a:graphicFrameLocks noChangeAspect="1"/>
            </wp:cNvGraphicFramePr>
            <a:graphic>
              <a:graphicData uri="http://schemas.openxmlformats.org/drawingml/2006/picture">
                <pic:pic>
                  <pic:nvPicPr>
                    <pic:cNvPr id="0" name="fig1_patient_examples.png"/>
                    <pic:cNvPicPr/>
                  </pic:nvPicPr>
                  <pic:blipFill>
                    <a:blip r:embed="rId9"/>
                    <a:stretch>
                      <a:fillRect/>
                    </a:stretch>
                  </pic:blipFill>
                  <pic:spPr>
                    <a:xfrm>
                      <a:off x="0" y="0"/>
                      <a:ext cx="4389120" cy="3664006"/>
                    </a:xfrm>
                    <a:prstGeom prst="rect"/>
                  </pic:spPr>
                </pic:pic>
              </a:graphicData>
            </a:graphic>
          </wp:inline>
        </w:drawing>
      </w:r>
    </w:p>
    <w:p>
      <w:pPr>
        <w:spacing w:lineRule="exact" w:line="243" w:before="80" w:after="240"/>
      </w:pPr>
      <w:r>
        <w:rPr>
          <w:b/>
          <w:sz w:val="18"/>
        </w:rPr>
        <w:t>Figure 1.</w:t>
      </w:r>
      <w:r>
        <w:rPr>
          <w:sz w:val="18"/>
        </w:rPr>
        <w:t xml:space="preserve"> CFA in two example patients. Head maps show per-electrode CFA R² (variance of the R-peak-locked EEG average explained by the ECG average, outside the ±50 ms QRS window) at the 12 recorded electrodes, from a 5-min (left) and a 60-min (right) segment of the same recording; colour is interpolated between electrodes. Patient A (female, 72 years, BMI 21.8 kg/m²): mean R² 0.08 at 5 min, 0.14 at 60 min. Patient B (female, 35 years, BMI 43.1 kg/m²): 0.30 and 0.60. Patients were chosen from recordings with at least 10 electrodes at the low and high ends of BMI; individually, BMI explains little of the variation in CFA (Section 3.4).</w:t>
      </w:r>
    </w:p>
    <w:p>
      <w:pPr>
        <w:spacing w:lineRule="exact" w:line="297" w:before="0" w:after="120"/>
        <w:jc w:val="both"/>
      </w:pPr>
      <w:r>
        <w:rPr>
          <w:sz w:val="22"/>
        </w:rPr>
        <w:t>Figure 1 shows how CFA differs between people and segment lengths. In Patient A (BMI 21.8 kg/m²), the ECG explained 8% of heartbeat-locked EEG variance at 5 min and 14% at 60 min; in Patient B (BMI 43.1 kg/m²), 30% and 60%, so the longer segment revealed twice as much CFA, spread over most of the scalp. The analyses below test whether higher CFA with higher BMI and longer segments holds across the cohort.</w:t>
      </w:r>
    </w:p>
    <w:p>
      <w:pPr>
        <w:pStyle w:val="Heading2"/>
      </w:pPr>
      <w:r>
        <w:rPr/>
        <w:t>3.3 CFA across the cohort</w:t>
      </w:r>
    </w:p>
    <w:p>
      <w:pPr>
        <w:keepNext/>
        <w:spacing w:before="160" w:after="0"/>
        <w:jc w:val="center"/>
      </w:pPr>
      <w:r>
        <w:drawing>
          <wp:inline xmlns:a="http://schemas.openxmlformats.org/drawingml/2006/main" xmlns:pic="http://schemas.openxmlformats.org/drawingml/2006/picture">
            <wp:extent cx="5943600" cy="6941860"/>
            <wp:docPr id="2" name="Picture 2"/>
            <wp:cNvGraphicFramePr>
              <a:graphicFrameLocks noChangeAspect="1"/>
            </wp:cNvGraphicFramePr>
            <a:graphic>
              <a:graphicData uri="http://schemas.openxmlformats.org/drawingml/2006/picture">
                <pic:pic>
                  <pic:nvPicPr>
                    <pic:cNvPr id="0" name="fig2_cfa_overview.png"/>
                    <pic:cNvPicPr/>
                  </pic:nvPicPr>
                  <pic:blipFill>
                    <a:blip r:embed="rId10"/>
                    <a:stretch>
                      <a:fillRect/>
                    </a:stretch>
                  </pic:blipFill>
                  <pic:spPr>
                    <a:xfrm>
                      <a:off x="0" y="0"/>
                      <a:ext cx="5943600" cy="6941860"/>
                    </a:xfrm>
                    <a:prstGeom prst="rect"/>
                  </pic:spPr>
                </pic:pic>
              </a:graphicData>
            </a:graphic>
          </wp:inline>
        </w:drawing>
      </w:r>
    </w:p>
    <w:p>
      <w:pPr>
        <w:spacing w:lineRule="exact" w:line="243" w:before="80" w:after="240"/>
      </w:pPr>
      <w:r>
        <w:rPr>
          <w:b/>
          <w:sz w:val="18"/>
        </w:rPr>
        <w:t>Figure 2.</w:t>
      </w:r>
      <w:r>
        <w:rPr>
          <w:sz w:val="18"/>
        </w:rPr>
        <w:t xml:space="preserve"> CFA across 7,995 patients (98,203 channel-recordings, 10-min segments). (a) Per-channel R² between R-peak-locked EEG and ECG averages, over the full epoch (mean 0.35) and outside the ±50 ms QRS window (mean 0.32). (b) ICA SNR (ECG-component to residual variance; Section 2.4; 7,933 patients) vs. model-free R² of the same channel-recording (log axis; line, least-squares fit; r = 0.33, p &lt; 1e-300, n = 95,347). (c) Mean CFA R² (outside QRS) at the 15 10-20 sites recorded in at least 500 patients (89,951 channel-recordings; referenced labels mapped to their scalp site; Cz, Fz, Oz, P3, Pz fell below this floor). (d) Per-site R² distribution, sorted by median (orange line; box, interquartile range; n per site shown); the six standard sites (F3/F4/C3/C4/O1/O2) have n &gt; 12,000 each, and sites near the floor are less precise. (e) Patient-mean CFA R² per diagnosis category (mean, 95% CI, Welch; n in brackets; categories overlap; those with fewer than 10 patients omitted); dotted line, EHR-linked patients with no recorded diagnosis (mean 0.27, n = 500; confounded by site, see Limitations); Kruskal-Wallis p = 9.1e-21. (f) Pairwise Mann-Whitney p-values, Benjamini-Hochberg corrected across all 105 tests (17 significant at q &lt; 0.05; colour saturates at q = 0.5); order as in (e).</w:t>
      </w:r>
    </w:p>
    <w:p>
      <w:pPr>
        <w:spacing w:lineRule="exact" w:line="297" w:before="0" w:after="120"/>
        <w:jc w:val="both"/>
      </w:pPr>
      <w:r>
        <w:rPr>
          <w:sz w:val="22"/>
        </w:rPr>
        <w:t>Outside the QRS-exclusion window, the ECG explained a mean R² of 0.32 (median 0.23; Figure 2a), only modestly below the full-epoch mean (0.35), so QRS exclusion removed only about 10% of the ECG-explained variance. Values ranged from no detectable CFA to EEG averages almost identical to the ECG. In the 148-patient subsample with a chance-level reference (Section 2.6), full-epoch R² at F3, F4, C3, and C4 was 0.35 for R-peak-locked averages but 0.04 (median 0.03) around random pseudo-events, so the observed R² far exceeded chance.</w:t>
      </w:r>
    </w:p>
    <w:p>
      <w:pPr>
        <w:spacing w:lineRule="exact" w:line="297" w:before="0" w:after="120"/>
        <w:jc w:val="both"/>
      </w:pPr>
      <w:r>
        <w:rPr>
          <w:sz w:val="22"/>
        </w:rPr>
        <w:t>The model-based estimator agreed: the ECG-related ICA component accounted for a median of 21% of heartbeat-locked EEG variance, and excluding it reduced this variance by a median of 28%. Channels with higher model-free R² had higher ICA SNR (Figure 2b); the dispersion is expected, because one globally selected source does not load equally on all electrodes. Regression on the concurrent ECG has been proposed for estimating and removing CFA, in linear</w:t>
      </w:r>
      <w:r>
        <w:rPr>
          <w:sz w:val="22"/>
          <w:vertAlign w:val="superscript"/>
        </w:rPr>
        <w:t>22</w:t>
      </w:r>
      <w:r>
        <w:rPr>
          <w:sz w:val="22"/>
        </w:rPr>
        <w:t xml:space="preserve"> and nonlinear neural-network</w:t>
      </w:r>
      <w:r>
        <w:rPr>
          <w:sz w:val="22"/>
          <w:vertAlign w:val="superscript"/>
        </w:rPr>
        <w:t>23</w:t>
      </w:r>
      <w:r>
        <w:rPr>
          <w:sz w:val="22"/>
        </w:rPr>
        <w:t xml:space="preserve"> form; we therefore used per-channel ECG regression as the primary estimate and ICA as convergent evidence.</w:t>
      </w:r>
    </w:p>
    <w:p>
      <w:pPr>
        <w:spacing w:lineRule="exact" w:line="297" w:before="0" w:after="120"/>
        <w:jc w:val="both"/>
      </w:pPr>
      <w:r>
        <w:rPr>
          <w:sz w:val="22"/>
        </w:rPr>
        <w:t>CFA varied across the scalp (Figure 2c–d), from 0.41 at F4 to 0.12 at Fp1, a 3.3-fold range. Sites outside the standard montage came from a minority of recordings with other montages and references, so part of this range reflects referencing rather than position; within the six standard mastoid-referenced sites, mean R² ranged from 0.27 (F3) to 0.41 (F4). A site-independent correction would therefore perform unevenly.</w:t>
      </w:r>
    </w:p>
    <w:p>
      <w:pPr>
        <w:pStyle w:val="Heading2"/>
      </w:pPr>
      <w:r>
        <w:rPr/>
        <w:t>3.4 CFA increases with BMI and is higher in men</w:t>
      </w:r>
    </w:p>
    <w:p>
      <w:pPr>
        <w:keepNext/>
        <w:spacing w:before="160" w:after="0"/>
        <w:jc w:val="center"/>
      </w:pPr>
      <w:r>
        <w:drawing>
          <wp:inline xmlns:a="http://schemas.openxmlformats.org/drawingml/2006/main" xmlns:pic="http://schemas.openxmlformats.org/drawingml/2006/picture">
            <wp:extent cx="5943600" cy="3984152"/>
            <wp:docPr id="3" name="Picture 3"/>
            <wp:cNvGraphicFramePr>
              <a:graphicFrameLocks noChangeAspect="1"/>
            </wp:cNvGraphicFramePr>
            <a:graphic>
              <a:graphicData uri="http://schemas.openxmlformats.org/drawingml/2006/picture">
                <pic:pic>
                  <pic:nvPicPr>
                    <pic:cNvPr id="0" name="fig3_bmi_sex_duration.png"/>
                    <pic:cNvPicPr/>
                  </pic:nvPicPr>
                  <pic:blipFill>
                    <a:blip r:embed="rId11"/>
                    <a:stretch>
                      <a:fillRect/>
                    </a:stretch>
                  </pic:blipFill>
                  <pic:spPr>
                    <a:xfrm>
                      <a:off x="0" y="0"/>
                      <a:ext cx="5943600" cy="3984152"/>
                    </a:xfrm>
                    <a:prstGeom prst="rect"/>
                  </pic:spPr>
                </pic:pic>
              </a:graphicData>
            </a:graphic>
          </wp:inline>
        </w:drawing>
      </w:r>
    </w:p>
    <w:p>
      <w:pPr>
        <w:spacing w:lineRule="exact" w:line="243" w:before="80" w:after="240"/>
      </w:pPr>
      <w:r>
        <w:rPr>
          <w:b/>
          <w:sz w:val="18"/>
        </w:rPr>
        <w:t>Figure 3.</w:t>
      </w:r>
      <w:r>
        <w:rPr>
          <w:sz w:val="18"/>
        </w:rPr>
        <w:t xml:space="preserve"> CFA vs. patient characteristics (a–c) and segment duration (d–f). Patient-mean CFA R² (outside QRS) vs. (a) age (n = 7,729; r = -0.01, p = 0.41; line, least-squares fit), (b) sex (Mann-Whitney p = 1.5e-21; box, quartiles; outliers omitted), and (c) BMI with sex-specific fits (n = 6,127; r = 0.11, p = 4.3e-17; one observation per patient, longest window; 5 min: n=48, 10 min: n=22, 20 min: n=72, 30 min: n=5,985). Female: n = 3,354, r = 0.14, p = 4.0e-17; male: n = 2,773, r = 0.09, p = 9.6e-07; interaction p = 0.67. (d–f) Patients with data at every duration (n = 7,079). (d) Mean channel-level R² (all EEG channels; ± 95% CI) per duration (5 min: 0.30; 10 min: 0.33; 20 min: 0.37; 30 min: 0.39; 45 min: 0.41; 60 min: 0.42); Friedman p &lt; 1e-300; every consecutive step significant (Holm-corrected paired Wilcoxon, all p ≤ 4e-74). (e) By sex; men higher at every duration (Mann-Whitney, all p ≤ 1.94e-17). (f) By diagnosis; not significant (p = 0.06–0.59).</w:t>
      </w:r>
    </w:p>
    <w:p>
      <w:pPr>
        <w:spacing w:lineRule="exact" w:line="297" w:before="0" w:after="120"/>
        <w:jc w:val="both"/>
      </w:pPr>
      <w:r>
        <w:rPr>
          <w:sz w:val="22"/>
        </w:rPr>
        <w:t>BMI correlated positively with CFA R² (Figure 3c; n = 6,127, r = 0.11, p = 4.3e-17; mean BMI 33.5 kg/m²): each 10 kg/m² added 0.025 to patient-mean R². The correlation held in women (r = 0.14, p = 4.0e-17) and men (r = 0.09, p = 9.6e-07), with no BMI-by-sex interaction (p = 0.67). Though weak individually (r² ≈ 0.01), it agrees with the diagnosis analysis, in which obese patients had the highest CFA of all categories (Section 3.6).</w:t>
      </w:r>
    </w:p>
    <w:p>
      <w:pPr>
        <w:spacing w:lineRule="exact" w:line="297" w:before="0" w:after="120"/>
        <w:jc w:val="both"/>
      </w:pPr>
      <w:r>
        <w:rPr>
          <w:sz w:val="22"/>
        </w:rPr>
        <w:t>CFA R² was higher in men than in women (0.37 vs. 0.32, p = 1.5e-21; Figure 3b). BMI did not explain this: women had a higher mean BMI (34.8 vs. 31.8 kg/m²), and the sex coefficient was unchanged after BMI adjustment (0.031 vs. 0.040, p = 3.2e-13; Section S5), with BMI an independent predictor (p = 1.5e-21). The sex difference held at every duration (Section 3.5). Age showed no linear relationship with CFA (Figure 3a; r = -0.01, p = 0.41); only the oldest tertile was slightly lower (0.33 vs. 0.35/0.35, p = 1.0e-04).</w:t>
      </w:r>
    </w:p>
    <w:p>
      <w:pPr>
        <w:pStyle w:val="Heading2"/>
      </w:pPr>
      <w:r>
        <w:rPr/>
        <w:t>3.5 Segment duration changes the estimated CFA</w:t>
      </w:r>
    </w:p>
    <w:p>
      <w:pPr>
        <w:spacing w:lineRule="exact" w:line="297" w:before="0" w:after="120"/>
        <w:jc w:val="both"/>
      </w:pPr>
      <w:r>
        <w:rPr>
          <w:sz w:val="22"/>
        </w:rPr>
        <w:t>Segment duration had a significant, systematic effect (Friedman χ² = 8,237, p &lt; 1e-300, Kendall's W = 0.23; n = 7,079). Mean CFA R² rose from 0.30 at 5 min to 0.33 (10 min), 0.37 (20), 0.39 (30), 0.41 (45), and 0.42 at 60 min (Figure 3d), with every consecutive step significant after Holm correction. From 5 to 60 min, R² increased in 79% of patients (mean +0.12); from the 10-min main-analysis windows to 60 min, in 74% (mean +0.09). Gains shrank with duration, from 0.04 between 10 and 20 min to 0.01 between 45 and 60 min, without reaching a plateau. Fewer channel-recordings contributed at 45 and 60 min (46,099 vs. 79,304 at 30 min), which may change channel composition, but between 5 and 30 min composition was nearly constant (79,651 to 79,304 channel-recordings) and R² still rose monotonically.</w:t>
      </w:r>
    </w:p>
    <w:p>
      <w:pPr>
        <w:spacing w:lineRule="exact" w:line="297" w:before="0" w:after="120"/>
        <w:jc w:val="both"/>
      </w:pPr>
      <w:r>
        <w:rPr>
          <w:sz w:val="22"/>
        </w:rPr>
        <w:t>Men had higher CFA than women at every duration (Figure 3e; e.g. 0.34 vs. 0.28 at 5 min, 0.46 vs. 0.41 at 60 min). Diagnosis differences were not significant (Figure 3f); the no-diagnosis mean was numerically higher at every duration, consistent with the within-site reversal in the Limitations.</w:t>
      </w:r>
    </w:p>
    <w:p>
      <w:pPr>
        <w:pStyle w:val="Heading2"/>
      </w:pPr>
      <w:r>
        <w:rPr/>
        <w:t>3.6 CFA by diagnosis category</w:t>
      </w:r>
    </w:p>
    <w:p>
      <w:pPr>
        <w:spacing w:lineRule="exact" w:line="297" w:before="0" w:after="120"/>
        <w:jc w:val="both"/>
      </w:pPr>
      <w:r>
        <w:rPr>
          <w:sz w:val="22"/>
        </w:rPr>
        <w:t>Among diagnosis categories (Figure 2e–f), CFA was highest in Obesity (+0.11 R² vs. the no-diagnosis reference, n = 3,015) and lowest in Heart Transplant (+0.04, n = 133). Of 105 pairwise comparisons, 17 survived FDR correction; 14 involved Obesity, which differed from every other category, and the rest involved Obstructive Sleep Apnea, in line with the BMI association (Section 3.4). All 15 categories lay above the no-diagnosis reference, but this reference is confounded by site (see Limitations) and comparisons were not adjusted for age, sex, or BMI, so these are not disease effects.</w:t>
      </w:r>
    </w:p>
    <w:p>
      <w:pPr>
        <w:pStyle w:val="Heading2"/>
      </w:pPr>
      <w:r>
        <w:rPr/>
        <w:t>3.7 CFAR removes CFA without ECG</w:t>
      </w:r>
    </w:p>
    <w:p>
      <w:pPr>
        <w:keepNext/>
        <w:spacing w:before="160" w:after="0"/>
        <w:jc w:val="center"/>
      </w:pPr>
      <w:r>
        <w:drawing>
          <wp:inline xmlns:a="http://schemas.openxmlformats.org/drawingml/2006/main" xmlns:pic="http://schemas.openxmlformats.org/drawingml/2006/picture">
            <wp:extent cx="5943600" cy="4519472"/>
            <wp:docPr id="4" name="Picture 4"/>
            <wp:cNvGraphicFramePr>
              <a:graphicFrameLocks noChangeAspect="1"/>
            </wp:cNvGraphicFramePr>
            <a:graphic>
              <a:graphicData uri="http://schemas.openxmlformats.org/drawingml/2006/picture">
                <pic:pic>
                  <pic:nvPicPr>
                    <pic:cNvPr id="0" name="fig5_cleaning_demo.png"/>
                    <pic:cNvPicPr/>
                  </pic:nvPicPr>
                  <pic:blipFill>
                    <a:blip r:embed="rId12"/>
                    <a:stretch>
                      <a:fillRect/>
                    </a:stretch>
                  </pic:blipFill>
                  <pic:spPr>
                    <a:xfrm>
                      <a:off x="0" y="0"/>
                      <a:ext cx="5943600" cy="4519472"/>
                    </a:xfrm>
                    <a:prstGeom prst="rect"/>
                  </pic:spPr>
                </pic:pic>
              </a:graphicData>
            </a:graphic>
          </wp:inline>
        </w:drawing>
      </w:r>
    </w:p>
    <w:p>
      <w:pPr>
        <w:spacing w:lineRule="exact" w:line="243" w:before="80" w:after="240"/>
      </w:pPr>
      <w:r>
        <w:rPr>
          <w:b/>
          <w:sz w:val="18"/>
        </w:rPr>
        <w:t>Figure 4.</w:t>
      </w:r>
      <w:r>
        <w:rPr>
          <w:sz w:val="18"/>
        </w:rPr>
        <w:t xml:space="preserve"> CFAR: ECG-free cardiac field artifact removal (Section 2.8). (a) Five seconds of continuous EEG at C4 from an example patient (male, 72 years, BMI 34.2 kg/m²) before (orange) and after (black) CFAR; dashed lines, R-peaks (from the ECG, for display only); chosen as a clear high-CFA case. (b) The CFAR filter: the single CFA scalp pattern learned from the cohort and subtracted from every EEG sample. (c) Patient-mean CFA R² in 6,711 patients (cross-fitted, so each is held out from its own filter) before and after cleaning, and with the gold standard. (d) Mean CFA R² (± SEM) across BMI bins in men and women, before (solid) and after (dashed) cleaning (known BMI, n = 2,685; bins with at least 10 patients).</w:t>
      </w:r>
    </w:p>
    <w:p>
      <w:pPr>
        <w:spacing w:lineRule="exact" w:line="297" w:before="0" w:after="120"/>
        <w:jc w:val="both"/>
      </w:pPr>
      <w:r>
        <w:rPr>
          <w:sz w:val="22"/>
        </w:rPr>
        <w:t>The CFA scalp pattern was highly consistent across patients (median absolute cosine similarity to the population pattern, 0.93; Figure 4b). CFAR, which projects this pattern out of held-out recordings without ECG, reduced mean CFA R² from 0.36 to 0.18 (49% reduction; Wilcoxon p &lt; 1e-300), and R² fell in 79% of patients (Figure 4c). The gold standard reached 0.13, so CFAR closed 78% of the gap. In the example patient, mean R² fell from 0.73 to 0.40, and the deflection after every R-peak was removed (Figure 4a). Obese patients (BMI ≥ 30 kg/m², n = 1,525) had more CFA removed than lean patients (BMI &lt; 25, n = 442; R² −0.18 vs. −0.14, Mann-Whitney p = 0.0011), because they had more to remove: the share removed was similar (48% vs. 47%). Residual CFA remained higher at high BMI and in men (Figure 4d). In the ongoing EEG, the cardiac share of variance fell from a median of 0.70% to 0.25% (mean 1.8% to 0.6%; median reduction 53%) and decreased in 89% of patients. Predicting each patient's pattern from BMI, age, sex, and diagnoses gave no gain (median cosine similarity to the patient's own pattern 0.933 vs. 0.932; mean R² 0.180 vs. 0.180; p = 0.011; better in only 48% of patients): these factors change the amount of CFA, not its scalp pattern, and projection removes the pattern regardless of amount. Cleaning retained a median 91% of a synthetic neural HEP and changed ongoing EEG power by a median of -1.6 dB (1–40 Hz), the cost of removing one of six spatial dimensions.</w:t>
      </w:r>
    </w:p>
    <w:p>
      <w:pPr>
        <w:pStyle w:val="Heading1"/>
      </w:pPr>
      <w:r>
        <w:rPr/>
        <w:t>4. Discussion</w:t>
      </w:r>
    </w:p>
    <w:p>
      <w:pPr>
        <w:spacing w:lineRule="exact" w:line="297" w:before="0" w:after="120"/>
        <w:jc w:val="both"/>
      </w:pPr>
      <w:r>
        <w:rPr>
          <w:sz w:val="22"/>
        </w:rPr>
        <w:t>In 7,995 patients, by far the largest CFA sample, two estimators showed that much of the heartbeat-locked scalp EEG variance is shared with the ECG even after QRS exclusion. CFA was not a generic nuisance but a property of each person and analysis: it ranged from negligible to near-complete between patients (Figure 1), varied 3.3-fold across sites (Figure 2c–d), increased with BMI, was higher in men (Figure 3a–c), and depended strongly on segment duration (Figure 3d–f). Because these are common grouping variables or analysis choices, uncorrected CFA can create, mask, or inflate group differences in heartbeat-locked EEG.</w:t>
      </w:r>
    </w:p>
    <w:p>
      <w:pPr>
        <w:spacing w:lineRule="exact" w:line="297" w:before="0" w:after="120"/>
        <w:jc w:val="both"/>
      </w:pPr>
      <w:r>
        <w:rPr>
          <w:sz w:val="22"/>
        </w:rPr>
        <w:t>The conventional ±30–50 ms QRS exclusion</w:t>
      </w:r>
      <w:r>
        <w:rPr>
          <w:sz w:val="22"/>
          <w:vertAlign w:val="superscript"/>
        </w:rPr>
        <w:t>6-8</w:t>
      </w:r>
      <w:r>
        <w:rPr>
          <w:sz w:val="22"/>
        </w:rPr>
        <w:t xml:space="preserve"> did not remove CFA: excluding ±50 ms reduced mean R² only from 0.35 to 0.32, so ECG-correlated signal extends into the analysis interval. The agreement between model-free R² and ICA SNR shows that both detect the same contamination. Neither proves that every residual heartbeat-locked deflection is artifactual, and cortical heartbeat-evoked activity is well documented</w:t>
      </w:r>
      <w:r>
        <w:rPr>
          <w:sz w:val="22"/>
          <w:vertAlign w:val="superscript"/>
        </w:rPr>
        <w:t>5,6,10</w:t>
      </w:r>
      <w:r>
        <w:rPr>
          <w:sz w:val="22"/>
        </w:rPr>
        <w:t>; still, uncorrected heartbeat-locked EEG variance cannot be assumed cortical.</w:t>
      </w:r>
    </w:p>
    <w:p>
      <w:pPr>
        <w:spacing w:lineRule="exact" w:line="297" w:before="0" w:after="120"/>
        <w:jc w:val="both"/>
      </w:pPr>
      <w:r>
        <w:rPr>
          <w:sz w:val="22"/>
        </w:rPr>
        <w:t>BMI correlated positively with CFA in women and men, and obese patients had the highest CFA of all diagnosis categories; in Figure 1, CFA was low at a BMI of 22 kg/m² and several times higher at 43 kg/m². This seems counterintuitive: adipose tissue conducts roughly ten times less than muscle</w:t>
      </w:r>
      <w:r>
        <w:rPr>
          <w:sz w:val="22"/>
          <w:vertAlign w:val="superscript"/>
        </w:rPr>
        <w:t>24</w:t>
      </w:r>
      <w:r>
        <w:rPr>
          <w:sz w:val="22"/>
        </w:rPr>
        <w:t>, and subcutaneous fat attenuates the surface ECG, so obesity is associated with low QRS voltage</w:t>
      </w:r>
      <w:r>
        <w:rPr>
          <w:sz w:val="22"/>
          <w:vertAlign w:val="superscript"/>
        </w:rPr>
        <w:t>12,13</w:t>
      </w:r>
      <w:r>
        <w:rPr>
          <w:sz w:val="22"/>
        </w:rPr>
        <w:t>. If fat only insulated, less cardiac field should reach the scalp. The resolution lies in what R² measures. R² is scale-invariant: it indexes how closely the shape of the heartbeat-locked scalp average follows the ECG, not amplitude. Uniform attenuation scales both without changing their correlation; R² rises only when the cardiac component grows relative to everything else in the average, namely background EEG and neural responses. Several changes in obesity could raise this share. First, obesity is associated with greater left-ventricular mass and a leftward, more horizontal cardiac axis</w:t>
      </w:r>
      <w:r>
        <w:rPr>
          <w:sz w:val="22"/>
          <w:vertAlign w:val="superscript"/>
        </w:rPr>
        <w:t>13</w:t>
      </w:r>
      <w:r>
        <w:rPr>
          <w:sz w:val="22"/>
        </w:rPr>
        <w:t>, changing the strength and orientation of the cardiac dipole; in mastoid-referenced derivations, CFA is the cardiac potential difference between scalp and mastoid, which depends strongly on dipole orientation. Second, low-conductivity tissue redistributes volume currents as well as attenuating them, which may change how much of the field projects onto the head. Third, tissue between brain and electrode attenuates cortical EEG at the same electrode. More heartbeats per window is unlikely to explain the effect: heart rate was slightly lower at higher BMI (r = -0.07), and adjusting for heart rate did not reduce the BMI coefficient (0.0024 vs. 0.0025 per kg/m², n = 5,985). Which mechanism dominates cannot be resolved here; this needs absolute CFA amplitude, which should fall with BMI if insulation dominated, and direct measures of body composition and heart position. Individually the correlation was weak (r = 0.11), so BMI cannot predict a recording's CFA, but a difference in mean BMI between study groups, common in clinical comparisons, will produce a systematic difference in CFA.</w:t>
      </w:r>
    </w:p>
    <w:p>
      <w:pPr>
        <w:spacing w:lineRule="exact" w:line="297" w:before="0" w:after="120"/>
        <w:jc w:val="both"/>
      </w:pPr>
      <w:r>
        <w:rPr>
          <w:sz w:val="22"/>
        </w:rPr>
        <w:t>CFA was higher in men at every segment duration, unchanged by BMI adjustment; because women here had a higher mean BMI, BMI would if anything have reduced the difference. It may reflect differences in heart size and position, thoracic and head geometry, or fat distribution, none measured here; cardiac parameters such as stroke volume may also influence heartbeat-locked responses</w:t>
      </w:r>
      <w:r>
        <w:rPr>
          <w:sz w:val="22"/>
          <w:vertAlign w:val="superscript"/>
        </w:rPr>
        <w:t>11</w:t>
      </w:r>
      <w:r>
        <w:rPr>
          <w:sz w:val="22"/>
        </w:rPr>
        <w:t>. Sex differences are among the most reported group effects in EEG, so studies comparing men and women on heartbeat-locked measures should quantify CFA per channel and show that the difference survives its correction.</w:t>
      </w:r>
    </w:p>
    <w:p>
      <w:pPr>
        <w:spacing w:lineRule="exact" w:line="297" w:before="0" w:after="120"/>
        <w:jc w:val="both"/>
      </w:pPr>
      <w:r>
        <w:rPr>
          <w:sz w:val="22"/>
        </w:rPr>
        <w:t>Segment duration had the largest, most consistent effect: in 7,079 duration-matched patients, mean R² rose from 0.30 at 5 min and 0.33 at 10 min to 0.42 at 60 min, every step was significant, and R² increased from 5 to 60 min in 79% of patients. Longer segments contain more heartbeats and give a more stable average</w:t>
      </w:r>
      <w:r>
        <w:rPr>
          <w:sz w:val="22"/>
          <w:vertAlign w:val="superscript"/>
        </w:rPr>
        <w:t>14</w:t>
      </w:r>
      <w:r>
        <w:rPr>
          <w:sz w:val="22"/>
        </w:rPr>
        <w:t>, letting shared EEG-ECG structure emerge from background EEG. Two consequences follow. First, short segments, including our 10-min main analysis, underestimate CFA, so a low estimate from a short recording does not show that the data are clean. Second, groups that differ in recording length or usable heartbeats will differ in apparent CFA for methodological reasons alone. Segment length should therefore be reported, justified, and matched between groups where possible, and results checked across durations. Because R² depends on the number of averaged beats, group differences in heart rate could also affect R²; this was not examined.</w:t>
      </w:r>
    </w:p>
    <w:p>
      <w:pPr>
        <w:spacing w:lineRule="exact" w:line="297" w:before="0" w:after="120"/>
        <w:jc w:val="both"/>
      </w:pPr>
      <w:r>
        <w:rPr>
          <w:sz w:val="22"/>
        </w:rPr>
        <w:t>BMI is an anthropometric index, not a direct measure of adiposity; fat mass, thoracic geometry, and electrode impedance were unavailable, and diagnosis categories overlap. We therefore treat BMI, obesity, and sex as confounders of CFA, not as evidence of a causal effect of body fat. Associations of age and diagnosis with CFA may likewise reflect anatomy, cardiac physiology, medication, comorbidity, or recording conditions.</w:t>
      </w:r>
    </w:p>
    <w:p>
      <w:pPr>
        <w:spacing w:lineRule="exact" w:line="297" w:before="0" w:after="120"/>
        <w:jc w:val="both"/>
      </w:pPr>
      <w:r>
        <w:rPr>
          <w:sz w:val="22"/>
        </w:rPr>
        <w:t>In practice, EEG preprocessing should combine concurrent ECG, channel-level assessment of the R-peak-locked EEG-ECG relationship, and removal or regression of ECG-related components, then verify that heartbeat-locked variance falls after cleaning while staying above a non-heartbeat-locked noise floor. Reporting only the QRS mask or the selected ICA component is insufficient. Studies should report segment duration and number of heartbeats, match them between groups where possible, report channel-level CFA before and after cleaning, and test robustness to adjustment for BMI (or, better, direct body-composition measures) and sex. These recommendations extend recent HEP reviews</w:t>
      </w:r>
      <w:r>
        <w:rPr>
          <w:sz w:val="22"/>
          <w:vertAlign w:val="superscript"/>
        </w:rPr>
        <w:t>8,9</w:t>
      </w:r>
      <w:r>
        <w:rPr>
          <w:sz w:val="22"/>
        </w:rPr>
        <w:t xml:space="preserve"> to EEG analysis generally.</w:t>
      </w:r>
    </w:p>
    <w:p>
      <w:pPr>
        <w:spacing w:lineRule="exact" w:line="297" w:before="0" w:after="120"/>
        <w:jc w:val="both"/>
      </w:pPr>
      <w:r>
        <w:rPr>
          <w:sz w:val="22"/>
        </w:rPr>
        <w:t>For recordings without ECG, CFAR offers a practical route. Because the CFA scalp pattern is consistent across people, CFAR, learned once from patients with ECG, cleaned the heart signal from the continuous EEG of unseen patients without a cardiac reference: it removed about 49% of heartbeat-locked CFA, cut the cardiac share of ongoing EEG variance by about 68%, and closed 78% of the gap to cleaning with the patient's own ECG. Because it acts on every sample, it cleans ongoing EEG, not only heartbeat-locked averages, and can be applied retrospectively to existing datasets. Conditioning on BMI, sex, age, and diagnoses gave no benefit, because these change the amount of CFA, not its pattern; they remain useful for identifying who needs cleaning most, since CFA before and after cleaning was highest in men and at high BMI (Figure 4d). CFAR is specific to the montage and reference it was trained on, removes one of six spatial dimensions, retained 91% of a simulated neural HEP, and leaves some CFA; it should be validated on other montages before routine use.</w:t>
      </w:r>
    </w:p>
    <w:p>
      <w:pPr>
        <w:pStyle w:val="Heading1"/>
      </w:pPr>
      <w:r>
        <w:rPr/>
        <w:t>5. Conclusions</w:t>
      </w:r>
    </w:p>
    <w:p>
      <w:pPr>
        <w:spacing w:lineRule="exact" w:line="297" w:before="0" w:after="120"/>
        <w:jc w:val="both"/>
      </w:pPr>
      <w:r>
        <w:rPr>
          <w:sz w:val="22"/>
        </w:rPr>
        <w:t>In 7,995 patients, CFA was a substantial, systematic component of scalp EEG</w:t>
      </w:r>
      <w:r>
        <w:rPr>
          <w:sz w:val="22"/>
          <w:vertAlign w:val="superscript"/>
        </w:rPr>
        <w:t>1-4</w:t>
      </w:r>
      <w:r>
        <w:rPr>
          <w:sz w:val="22"/>
        </w:rPr>
        <w:t>: the ECG explained a mean R² of 0.32 of heartbeat-locked EEG variance outside the QRS window, and ICA removal of the ECG-related component reduced this variance by a median of 28%. CFA increased with BMI, was higher in men independently of BMI, varied across electrodes, and increased with segment duration up to 60 min. It is therefore a participant-, channel-, and duration-dependent noise source. Robust inference requires ECG-informed channel-level cleaning with before-and-after validation</w:t>
      </w:r>
      <w:r>
        <w:rPr>
          <w:sz w:val="22"/>
          <w:vertAlign w:val="superscript"/>
        </w:rPr>
        <w:t>8,9</w:t>
      </w:r>
      <w:r>
        <w:rPr>
          <w:sz w:val="22"/>
        </w:rPr>
        <w:t>, reported and justified segment lengths</w:t>
      </w:r>
      <w:r>
        <w:rPr>
          <w:sz w:val="22"/>
          <w:vertAlign w:val="superscript"/>
        </w:rPr>
        <w:t>14</w:t>
      </w:r>
      <w:r>
        <w:rPr>
          <w:sz w:val="22"/>
        </w:rPr>
        <w:t>, and adjustment for BMI and sex; without ECG, CFAR removes about half of the CFA. Otherwise, group differences in EEG may partly reflect the heart rather than the brain</w:t>
      </w:r>
      <w:r>
        <w:rPr>
          <w:sz w:val="22"/>
          <w:vertAlign w:val="superscript"/>
        </w:rPr>
        <w:t>6,11</w:t>
      </w:r>
      <w:r>
        <w:rPr>
          <w:sz w:val="22"/>
        </w:rPr>
        <w:t>.</w:t>
      </w:r>
    </w:p>
    <w:p>
      <w:pPr>
        <w:pStyle w:val="Heading2"/>
      </w:pPr>
      <w:r>
        <w:rPr/>
        <w:t>Limitations</w:t>
      </w:r>
    </w:p>
    <w:p>
      <w:pPr>
        <w:spacing w:lineRule="exact" w:line="297" w:before="0" w:after="120"/>
        <w:jc w:val="both"/>
      </w:pPr>
      <w:r>
        <w:rPr>
          <w:sz w:val="22"/>
        </w:rPr>
        <w:t>First, diagnosis records covered only part of the Human Sleep Project, so the no-diagnosis group came largely from a site without diagnosis tables (mean R² 0.19, n = 319). Within the site with records, patients without a diagnosis had higher R² than those with one (0.41, n = 181, vs. 0.35, n = 7,229). The with/without-diagnosis comparison is therefore confounded by site and is not a disease effect; comparisons among categories are unaffected. Second, detected heart rate was high for sleep (median 94 beats/min, interquartile range 78–111); the custom R-peak detector was not validated against an established algorithm, and occasional T-wave detections would mix T-wave-locked epochs into the averages. Third, R² cannot separate volume-conducted CFA from neural activity with an ECG-like time course, and epochs ended 400 ms after the R-peak, so later HEP intervals overlapping the T wave were not covered. Fourth, CFA was estimated in native references, mostly contralateral mastoid (e.g., F3-M2, F4-M1); because the cardiac field projects differently onto each reference, site values and hemispheric asymmetries may not generalise to average-referenced data.</w:t>
      </w:r>
    </w:p>
    <w:p>
      <w:pPr>
        <w:spacing w:lineRule="exact" w:line="297" w:before="0" w:after="120"/>
        <w:jc w:val="both"/>
      </w:pPr>
      <w:r>
        <w:rPr>
          <w:sz w:val="22"/>
        </w:rPr>
        <w:t>Fifth, 10-min estimates are likely lower bounds, because CFA R² rose monotonically with duration, including from 5 to 30 min, where channel composition was nearly constant (Section 3.5). Sixth, chance-level (pseudo-event) R² was estimated only in 148 patients and only over the full epoch (Section 3.3). Seventh, windows were not selected by sleep stage, so vigilance was not controlled and may differ between groups and durations; CFA did not differ by stage in a small staged subsample (n = 23; Section 3.1). Eighth, the cohort was clinically referred, with a high diagnostic burden (Figure S1c), which limits generalisation of absolute R² to healthy volunteers, and underweight patients were under-represented (55 of 6,127 with BMI &lt;18.5 kg/m²). Finally, as a secondary analysis, recording parameters and clinical annotations could not be controlled.</w:t>
      </w:r>
    </w:p>
    <w:p>
      <w:pPr>
        <w:pStyle w:val="Heading2"/>
      </w:pPr>
      <w:r>
        <w:rPr/>
        <w:t>Ethics statement</w:t>
      </w:r>
    </w:p>
    <w:p>
      <w:pPr>
        <w:spacing w:lineRule="exact" w:line="297" w:before="0" w:after="120"/>
        <w:jc w:val="both"/>
      </w:pPr>
      <w:r>
        <w:rPr>
          <w:sz w:val="22"/>
        </w:rPr>
        <w:t>Human Sleep Project data were de-identified under the HIPAA Safe Harbor standard and made available under an approved institutional review board protocol (IRB protocol #2022P000417) with a waiver of informed consent; they were accessed under the Brain Data Science Platform data use agreement. No attempt was made to re-identify participants.</w:t>
      </w:r>
    </w:p>
    <w:p>
      <w:pPr>
        <w:pStyle w:val="Heading2"/>
      </w:pPr>
      <w:r>
        <w:rPr/>
        <w:t>Data availability statement</w:t>
      </w:r>
    </w:p>
    <w:p>
      <w:pPr>
        <w:spacing w:lineRule="exact" w:line="297" w:before="0" w:after="120"/>
        <w:jc w:val="both"/>
      </w:pPr>
      <w:r>
        <w:rPr>
          <w:sz w:val="22"/>
        </w:rPr>
        <w:t>The Human Sleep Project dataset is publicly available, subject to a data use agreement, from the Brain Data Science Platform (</w:t>
      </w:r>
      <w:r>
        <w:rPr>
          <w:rFonts w:ascii="Courier New" w:hAnsi="Courier New"/>
          <w:sz w:val="22"/>
        </w:rPr>
        <w:t>https://bdsp.io/content/hsp/</w:t>
      </w:r>
      <w:r>
        <w:rPr>
          <w:sz w:val="22"/>
        </w:rPr>
        <w:t>). Analysis code is available from the corresponding author upon reasonable request (nircafri@mail.tau.ac.il).</w:t>
      </w:r>
    </w:p>
    <w:p>
      <w:pPr>
        <w:pStyle w:val="Heading2"/>
      </w:pPr>
      <w:r>
        <w:rPr/>
        <w:t>Funding</w:t>
      </w:r>
    </w:p>
    <w:p>
      <w:pPr>
        <w:spacing w:lineRule="exact" w:line="297" w:before="0" w:after="120"/>
        <w:jc w:val="both"/>
      </w:pPr>
    </w:p>
    <w:p>
      <w:pPr>
        <w:pStyle w:val="Heading2"/>
      </w:pPr>
      <w:r>
        <w:rPr/>
        <w:t>Declaration of competing interests</w:t>
      </w:r>
    </w:p>
    <w:p>
      <w:pPr>
        <w:spacing w:lineRule="exact" w:line="297" w:before="0" w:after="120"/>
        <w:jc w:val="both"/>
      </w:pPr>
      <w:r>
        <w:rPr>
          <w:sz w:val="22"/>
        </w:rPr>
        <w:t>The authors declare no competing interests.</w:t>
      </w:r>
    </w:p>
    <w:p>
      <w:r>
        <w:br w:type="page"/>
      </w:r>
    </w:p>
    <w:p>
      <w:pPr>
        <w:pStyle w:val="Heading1"/>
      </w:pPr>
      <w:r>
        <w:rPr/>
        <w:t>Supplementary analysis</w:t>
      </w:r>
    </w:p>
    <w:p>
      <w:pPr>
        <w:pStyle w:val="Heading2"/>
      </w:pPr>
      <w:r>
        <w:rPr/>
        <w:t>S1. Cohort composition</w:t>
      </w:r>
    </w:p>
    <w:p>
      <w:pPr>
        <w:keepNext/>
        <w:spacing w:before="160" w:after="0"/>
        <w:jc w:val="center"/>
      </w:pPr>
      <w:r>
        <w:drawing>
          <wp:inline xmlns:a="http://schemas.openxmlformats.org/drawingml/2006/main" xmlns:pic="http://schemas.openxmlformats.org/drawingml/2006/picture">
            <wp:extent cx="5943600" cy="1620982"/>
            <wp:docPr id="5" name="Picture 5"/>
            <wp:cNvGraphicFramePr>
              <a:graphicFrameLocks noChangeAspect="1"/>
            </wp:cNvGraphicFramePr>
            <a:graphic>
              <a:graphicData uri="http://schemas.openxmlformats.org/drawingml/2006/picture">
                <pic:pic>
                  <pic:nvPicPr>
                    <pic:cNvPr id="0" name="figS1_cohort.png"/>
                    <pic:cNvPicPr/>
                  </pic:nvPicPr>
                  <pic:blipFill>
                    <a:blip r:embed="rId13"/>
                    <a:stretch>
                      <a:fillRect/>
                    </a:stretch>
                  </pic:blipFill>
                  <pic:spPr>
                    <a:xfrm>
                      <a:off x="0" y="0"/>
                      <a:ext cx="5943600" cy="1620982"/>
                    </a:xfrm>
                    <a:prstGeom prst="rect"/>
                  </pic:spPr>
                </pic:pic>
              </a:graphicData>
            </a:graphic>
          </wp:inline>
        </w:drawing>
      </w:r>
    </w:p>
    <w:p>
      <w:pPr>
        <w:spacing w:lineRule="exact" w:line="243" w:before="80" w:after="240"/>
      </w:pPr>
      <w:r>
        <w:rPr>
          <w:b/>
          <w:sz w:val="18"/>
        </w:rPr>
        <w:t>Figure S1.</w:t>
      </w:r>
      <w:r>
        <w:rPr>
          <w:sz w:val="18"/>
        </w:rPr>
        <w:t xml:space="preserve"> Cohort composition (7,738 Human Sleep Project patients). (a) Age (median 61 years, range 7–103). (b) Sex (Male n=3,965, Female n=3,767). (c) The ten most prevalent diagnosis categories, led by Obstructive Sleep Apnea (n=5,524); Hypertension (n=3,882); Obesity (n=3,016); categories overlap. The cohort is clinically referred, not a healthy community sample.</w:t>
      </w:r>
    </w:p>
    <w:p>
      <w:pPr>
        <w:spacing w:lineRule="exact" w:line="243" w:before="80" w:after="240"/>
      </w:pPr>
      <w:r>
        <w:rPr>
          <w:b/>
          <w:sz w:val="18"/>
        </w:rPr>
        <w:t>Table S1.</w:t>
      </w:r>
      <w:r>
        <w:rPr>
          <w:sz w:val="18"/>
        </w:rPr>
        <w:t xml:space="preserve"> Diagnosis categories and the case-insensitive keywords matched against EHR diagnosis descriptions. Keyword matching is inclusive; for example, "infarction" also matches myocardial infarction.</w:t>
      </w:r>
    </w:p>
    <w:tbl>
      <w:tblPr>
        <w:tblStyle w:val="TableGrid"/>
        <w:tblW w:type="auto" w:w="0"/>
        <w:tblLook w:firstColumn="1" w:firstRow="1" w:lastColumn="0" w:lastRow="0" w:noHBand="0" w:noVBand="1" w:val="04A0"/>
      </w:tblPr>
      <w:tblGrid>
        <w:gridCol w:w="4824"/>
        <w:gridCol w:w="4824"/>
      </w:tblGrid>
      <w:tr>
        <w:tc>
          <w:tcPr>
            <w:tcW w:type="dxa" w:w="3456"/>
          </w:tcPr>
          <w:p>
            <w:r>
              <w:rPr>
                <w:b/>
                <w:sz w:val="18"/>
              </w:rPr>
              <w:t>Category</w:t>
            </w:r>
          </w:p>
        </w:tc>
        <w:tc>
          <w:tcPr>
            <w:tcW w:type="dxa" w:w="6048"/>
          </w:tcPr>
          <w:p>
            <w:r>
              <w:rPr>
                <w:b/>
                <w:sz w:val="18"/>
              </w:rPr>
              <w:t>Keywords (any match)</w:t>
            </w:r>
          </w:p>
        </w:tc>
      </w:tr>
      <w:tr>
        <w:tc>
          <w:tcPr>
            <w:tcW w:type="dxa" w:w="3456"/>
          </w:tcPr>
          <w:p>
            <w:r>
              <w:rPr>
                <w:b w:val="0"/>
                <w:sz w:val="18"/>
              </w:rPr>
              <w:t>Obstructive Sleep Apnea</w:t>
            </w:r>
          </w:p>
        </w:tc>
        <w:tc>
          <w:tcPr>
            <w:tcW w:type="dxa" w:w="6048"/>
          </w:tcPr>
          <w:p>
            <w:r>
              <w:rPr>
                <w:b w:val="0"/>
                <w:sz w:val="18"/>
              </w:rPr>
              <w:t>sleep apnea</w:t>
            </w:r>
          </w:p>
        </w:tc>
      </w:tr>
      <w:tr>
        <w:tc>
          <w:tcPr>
            <w:tcW w:type="dxa" w:w="3456"/>
          </w:tcPr>
          <w:p>
            <w:r>
              <w:rPr>
                <w:b w:val="0"/>
                <w:sz w:val="18"/>
              </w:rPr>
              <w:t>Hypertension</w:t>
            </w:r>
          </w:p>
        </w:tc>
        <w:tc>
          <w:tcPr>
            <w:tcW w:type="dxa" w:w="6048"/>
          </w:tcPr>
          <w:p>
            <w:r>
              <w:rPr>
                <w:b w:val="0"/>
                <w:sz w:val="18"/>
              </w:rPr>
              <w:t>hypertension</w:t>
            </w:r>
          </w:p>
        </w:tc>
      </w:tr>
      <w:tr>
        <w:tc>
          <w:tcPr>
            <w:tcW w:type="dxa" w:w="3456"/>
          </w:tcPr>
          <w:p>
            <w:r>
              <w:rPr>
                <w:b w:val="0"/>
                <w:sz w:val="18"/>
              </w:rPr>
              <w:t>Diabetes</w:t>
            </w:r>
          </w:p>
        </w:tc>
        <w:tc>
          <w:tcPr>
            <w:tcW w:type="dxa" w:w="6048"/>
          </w:tcPr>
          <w:p>
            <w:r>
              <w:rPr>
                <w:b w:val="0"/>
                <w:sz w:val="18"/>
              </w:rPr>
              <w:t>diabetes</w:t>
            </w:r>
          </w:p>
        </w:tc>
      </w:tr>
      <w:tr>
        <w:tc>
          <w:tcPr>
            <w:tcW w:type="dxa" w:w="3456"/>
          </w:tcPr>
          <w:p>
            <w:r>
              <w:rPr>
                <w:b w:val="0"/>
                <w:sz w:val="18"/>
              </w:rPr>
              <w:t>Heart Failure</w:t>
            </w:r>
          </w:p>
        </w:tc>
        <w:tc>
          <w:tcPr>
            <w:tcW w:type="dxa" w:w="6048"/>
          </w:tcPr>
          <w:p>
            <w:r>
              <w:rPr>
                <w:b w:val="0"/>
                <w:sz w:val="18"/>
              </w:rPr>
              <w:t>heart failure</w:t>
            </w:r>
          </w:p>
        </w:tc>
      </w:tr>
      <w:tr>
        <w:tc>
          <w:tcPr>
            <w:tcW w:type="dxa" w:w="3456"/>
          </w:tcPr>
          <w:p>
            <w:r>
              <w:rPr>
                <w:b w:val="0"/>
                <w:sz w:val="18"/>
              </w:rPr>
              <w:t>Coronary Artery Disease</w:t>
            </w:r>
          </w:p>
        </w:tc>
        <w:tc>
          <w:tcPr>
            <w:tcW w:type="dxa" w:w="6048"/>
          </w:tcPr>
          <w:p>
            <w:r>
              <w:rPr>
                <w:b w:val="0"/>
                <w:sz w:val="18"/>
              </w:rPr>
              <w:t>coronary; atherosclerotic heart</w:t>
            </w:r>
          </w:p>
        </w:tc>
      </w:tr>
      <w:tr>
        <w:tc>
          <w:tcPr>
            <w:tcW w:type="dxa" w:w="3456"/>
          </w:tcPr>
          <w:p>
            <w:r>
              <w:rPr>
                <w:b w:val="0"/>
                <w:sz w:val="18"/>
              </w:rPr>
              <w:t>Heart Transplant</w:t>
            </w:r>
          </w:p>
        </w:tc>
        <w:tc>
          <w:tcPr>
            <w:tcW w:type="dxa" w:w="6048"/>
          </w:tcPr>
          <w:p>
            <w:r>
              <w:rPr>
                <w:b w:val="0"/>
                <w:sz w:val="18"/>
              </w:rPr>
              <w:t>heart transplant; transplant status</w:t>
            </w:r>
          </w:p>
        </w:tc>
      </w:tr>
      <w:tr>
        <w:tc>
          <w:tcPr>
            <w:tcW w:type="dxa" w:w="3456"/>
          </w:tcPr>
          <w:p>
            <w:r>
              <w:rPr>
                <w:b w:val="0"/>
                <w:sz w:val="18"/>
              </w:rPr>
              <w:t>Atrial Fibrillation</w:t>
            </w:r>
          </w:p>
        </w:tc>
        <w:tc>
          <w:tcPr>
            <w:tcW w:type="dxa" w:w="6048"/>
          </w:tcPr>
          <w:p>
            <w:r>
              <w:rPr>
                <w:b w:val="0"/>
                <w:sz w:val="18"/>
              </w:rPr>
              <w:t>atrial fibrillation; atrial flutter</w:t>
            </w:r>
          </w:p>
        </w:tc>
      </w:tr>
      <w:tr>
        <w:tc>
          <w:tcPr>
            <w:tcW w:type="dxa" w:w="3456"/>
          </w:tcPr>
          <w:p>
            <w:r>
              <w:rPr>
                <w:b w:val="0"/>
                <w:sz w:val="18"/>
              </w:rPr>
              <w:t>COPD</w:t>
            </w:r>
          </w:p>
        </w:tc>
        <w:tc>
          <w:tcPr>
            <w:tcW w:type="dxa" w:w="6048"/>
          </w:tcPr>
          <w:p>
            <w:r>
              <w:rPr>
                <w:b w:val="0"/>
                <w:sz w:val="18"/>
              </w:rPr>
              <w:t>chronic obstructive</w:t>
            </w:r>
          </w:p>
        </w:tc>
      </w:tr>
      <w:tr>
        <w:tc>
          <w:tcPr>
            <w:tcW w:type="dxa" w:w="3456"/>
          </w:tcPr>
          <w:p>
            <w:r>
              <w:rPr>
                <w:b w:val="0"/>
                <w:sz w:val="18"/>
              </w:rPr>
              <w:t>Obesity</w:t>
            </w:r>
          </w:p>
        </w:tc>
        <w:tc>
          <w:tcPr>
            <w:tcW w:type="dxa" w:w="6048"/>
          </w:tcPr>
          <w:p>
            <w:r>
              <w:rPr>
                <w:b w:val="0"/>
                <w:sz w:val="18"/>
              </w:rPr>
              <w:t>obesity; obese</w:t>
            </w:r>
          </w:p>
        </w:tc>
      </w:tr>
      <w:tr>
        <w:tc>
          <w:tcPr>
            <w:tcW w:type="dxa" w:w="3456"/>
          </w:tcPr>
          <w:p>
            <w:r>
              <w:rPr>
                <w:b w:val="0"/>
                <w:sz w:val="18"/>
              </w:rPr>
              <w:t>Depression</w:t>
            </w:r>
          </w:p>
        </w:tc>
        <w:tc>
          <w:tcPr>
            <w:tcW w:type="dxa" w:w="6048"/>
          </w:tcPr>
          <w:p>
            <w:r>
              <w:rPr>
                <w:b w:val="0"/>
                <w:sz w:val="18"/>
              </w:rPr>
              <w:t>depressive; depression</w:t>
            </w:r>
          </w:p>
        </w:tc>
      </w:tr>
      <w:tr>
        <w:tc>
          <w:tcPr>
            <w:tcW w:type="dxa" w:w="3456"/>
          </w:tcPr>
          <w:p>
            <w:r>
              <w:rPr>
                <w:b w:val="0"/>
                <w:sz w:val="18"/>
              </w:rPr>
              <w:t>Anxiety</w:t>
            </w:r>
          </w:p>
        </w:tc>
        <w:tc>
          <w:tcPr>
            <w:tcW w:type="dxa" w:w="6048"/>
          </w:tcPr>
          <w:p>
            <w:r>
              <w:rPr>
                <w:b w:val="0"/>
                <w:sz w:val="18"/>
              </w:rPr>
              <w:t>anxiety</w:t>
            </w:r>
          </w:p>
        </w:tc>
      </w:tr>
      <w:tr>
        <w:tc>
          <w:tcPr>
            <w:tcW w:type="dxa" w:w="3456"/>
          </w:tcPr>
          <w:p>
            <w:r>
              <w:rPr>
                <w:b w:val="0"/>
                <w:sz w:val="18"/>
              </w:rPr>
              <w:t>Cognitive Impairment / Dementia</w:t>
            </w:r>
          </w:p>
        </w:tc>
        <w:tc>
          <w:tcPr>
            <w:tcW w:type="dxa" w:w="6048"/>
          </w:tcPr>
          <w:p>
            <w:r>
              <w:rPr>
                <w:b w:val="0"/>
                <w:sz w:val="18"/>
              </w:rPr>
              <w:t>cognitive; alzheimer; dementia</w:t>
            </w:r>
          </w:p>
        </w:tc>
      </w:tr>
      <w:tr>
        <w:tc>
          <w:tcPr>
            <w:tcW w:type="dxa" w:w="3456"/>
          </w:tcPr>
          <w:p>
            <w:r>
              <w:rPr>
                <w:b w:val="0"/>
                <w:sz w:val="18"/>
              </w:rPr>
              <w:t>Stroke / Cerebrovascular</w:t>
            </w:r>
          </w:p>
        </w:tc>
        <w:tc>
          <w:tcPr>
            <w:tcW w:type="dxa" w:w="6048"/>
          </w:tcPr>
          <w:p>
            <w:r>
              <w:rPr>
                <w:b w:val="0"/>
                <w:sz w:val="18"/>
              </w:rPr>
              <w:t>infarction; cerebrovascular; stroke; hemorrhage</w:t>
            </w:r>
          </w:p>
        </w:tc>
      </w:tr>
      <w:tr>
        <w:tc>
          <w:tcPr>
            <w:tcW w:type="dxa" w:w="3456"/>
          </w:tcPr>
          <w:p>
            <w:r>
              <w:rPr>
                <w:b w:val="0"/>
                <w:sz w:val="18"/>
              </w:rPr>
              <w:t>Kidney Disease</w:t>
            </w:r>
          </w:p>
        </w:tc>
        <w:tc>
          <w:tcPr>
            <w:tcW w:type="dxa" w:w="6048"/>
          </w:tcPr>
          <w:p>
            <w:r>
              <w:rPr>
                <w:b w:val="0"/>
                <w:sz w:val="18"/>
              </w:rPr>
              <w:t>kidney; renal</w:t>
            </w:r>
          </w:p>
        </w:tc>
      </w:tr>
      <w:tr>
        <w:tc>
          <w:tcPr>
            <w:tcW w:type="dxa" w:w="3456"/>
          </w:tcPr>
          <w:p>
            <w:r>
              <w:rPr>
                <w:b w:val="0"/>
                <w:sz w:val="18"/>
              </w:rPr>
              <w:t>Anemia</w:t>
            </w:r>
          </w:p>
        </w:tc>
        <w:tc>
          <w:tcPr>
            <w:tcW w:type="dxa" w:w="6048"/>
          </w:tcPr>
          <w:p>
            <w:r>
              <w:rPr>
                <w:b w:val="0"/>
                <w:sz w:val="18"/>
              </w:rPr>
              <w:t>anemia</w:t>
            </w:r>
          </w:p>
        </w:tc>
      </w:tr>
    </w:tbl>
    <w:p>
      <w:pPr>
        <w:pStyle w:val="Heading2"/>
      </w:pPr>
      <w:r>
        <w:rPr/>
        <w:t>S2. Variance and entropy vs. a non-heartbeat-locked noise floor</w:t>
      </w:r>
    </w:p>
    <w:p>
      <w:pPr>
        <w:keepNext/>
        <w:spacing w:before="160" w:after="0"/>
        <w:jc w:val="center"/>
      </w:pPr>
      <w:r>
        <w:drawing>
          <wp:inline xmlns:a="http://schemas.openxmlformats.org/drawingml/2006/main" xmlns:pic="http://schemas.openxmlformats.org/drawingml/2006/picture">
            <wp:extent cx="5943600" cy="4079471"/>
            <wp:docPr id="6" name="Picture 6"/>
            <wp:cNvGraphicFramePr>
              <a:graphicFrameLocks noChangeAspect="1"/>
            </wp:cNvGraphicFramePr>
            <a:graphic>
              <a:graphicData uri="http://schemas.openxmlformats.org/drawingml/2006/picture">
                <pic:pic>
                  <pic:nvPicPr>
                    <pic:cNvPr id="0" name="figS3_post_ica_variance.png"/>
                    <pic:cNvPicPr/>
                  </pic:nvPicPr>
                  <pic:blipFill>
                    <a:blip r:embed="rId14"/>
                    <a:stretch>
                      <a:fillRect/>
                    </a:stretch>
                  </pic:blipFill>
                  <pic:spPr>
                    <a:xfrm>
                      <a:off x="0" y="0"/>
                      <a:ext cx="5943600" cy="4079471"/>
                    </a:xfrm>
                    <a:prstGeom prst="rect"/>
                  </pic:spPr>
                </pic:pic>
              </a:graphicData>
            </a:graphic>
          </wp:inline>
        </w:drawing>
      </w:r>
    </w:p>
    <w:p>
      <w:pPr>
        <w:spacing w:lineRule="exact" w:line="243" w:before="80" w:after="240"/>
      </w:pPr>
      <w:r>
        <w:rPr>
          <w:b/>
          <w:sz w:val="18"/>
        </w:rPr>
        <w:t>Figure S2.</w:t>
      </w:r>
      <w:r>
        <w:rPr>
          <w:sz w:val="18"/>
        </w:rPr>
        <w:t xml:space="preserve"> HEP variance before and after excluding the ECG-related ICA component, vs. a non-heartbeat-locked control (n = 7,851 ICA patients with at least one well-covered site; 973-patient control subsample, Section 2.6; medians, log axis). (a) Four core electrodes (F3/F4/C3/C4): median 1.15 µV² pre-ICA, 0.45 µV² post-ICA (61% drop), and 0.17 µV² for the control (same windows re-epoched around random pseudo-events). (b) Per electrode, all six sites. (c) Spectral entropy (normalised Shannon entropy of the evoked Welch spectrum) of the same conditions, core electrodes (n = 492, separate subsample). (d) Spectral entropy per electrode.</w:t>
      </w:r>
    </w:p>
    <w:p>
      <w:pPr>
        <w:spacing w:lineRule="exact" w:line="297" w:before="0" w:after="120"/>
        <w:jc w:val="both"/>
      </w:pPr>
      <w:r>
        <w:rPr>
          <w:sz w:val="22"/>
        </w:rPr>
        <w:t>Removing the ECG-related component reduced median core-electrode HEP variance by 61%; this ratio of group medians is larger than, and not comparable to, the median per-channel reduction in Section 3.3 (28%). The control's noise floor (0.17 µV²) was well below both pre-ICA (1.15 µV²) and post-ICA (0.45 µV²) values, and post-ICA variance stayed above it at every electrode (panel b), so component removal did not reduce the heartbeat-locked signal to noise. Spectral entropy, a variance-independent measure, fell from pre-ICA (0.61) to post-ICA (0.59) to the control (0.51); the post-ICA decrease was small, and post-ICA values exceeded the control at every electrode (panel d).</w:t>
      </w:r>
    </w:p>
    <w:p>
      <w:pPr>
        <w:pStyle w:val="Heading2"/>
      </w:pPr>
      <w:r>
        <w:rPr/>
        <w:t>S3. EEG-ECG cross-correlation and mutual information</w:t>
      </w:r>
    </w:p>
    <w:p>
      <w:pPr>
        <w:keepNext/>
        <w:spacing w:before="160" w:after="0"/>
        <w:jc w:val="center"/>
      </w:pPr>
      <w:r>
        <w:drawing>
          <wp:inline xmlns:a="http://schemas.openxmlformats.org/drawingml/2006/main" xmlns:pic="http://schemas.openxmlformats.org/drawingml/2006/picture">
            <wp:extent cx="5943600" cy="4079471"/>
            <wp:docPr id="7" name="Picture 7"/>
            <wp:cNvGraphicFramePr>
              <a:graphicFrameLocks noChangeAspect="1"/>
            </wp:cNvGraphicFramePr>
            <a:graphic>
              <a:graphicData uri="http://schemas.openxmlformats.org/drawingml/2006/picture">
                <pic:pic>
                  <pic:nvPicPr>
                    <pic:cNvPr id="0" name="figS4_crosscorr_mi.png"/>
                    <pic:cNvPicPr/>
                  </pic:nvPicPr>
                  <pic:blipFill>
                    <a:blip r:embed="rId15"/>
                    <a:stretch>
                      <a:fillRect/>
                    </a:stretch>
                  </pic:blipFill>
                  <pic:spPr>
                    <a:xfrm>
                      <a:off x="0" y="0"/>
                      <a:ext cx="5943600" cy="4079471"/>
                    </a:xfrm>
                    <a:prstGeom prst="rect"/>
                  </pic:spPr>
                </pic:pic>
              </a:graphicData>
            </a:graphic>
          </wp:inline>
        </w:drawing>
      </w:r>
    </w:p>
    <w:p>
      <w:pPr>
        <w:spacing w:lineRule="exact" w:line="243" w:before="80" w:after="240"/>
      </w:pPr>
      <w:r>
        <w:rPr>
          <w:b/>
          <w:sz w:val="18"/>
        </w:rPr>
        <w:t>Figure S3.</w:t>
      </w:r>
      <w:r>
        <w:rPr>
          <w:sz w:val="18"/>
        </w:rPr>
        <w:t xml:space="preserve"> EEG-ECG cross-correlation and mutual information pre-ICA, post-ICA, and for a non-heartbeat-locked control (n = 148 patients; separate subsample with ICA refitted; Section 2.6). The control re-epochs the pre-ICA EEG around random pseudo-events and correlates it with the R-peak-locked ECG average, giving the chance-level relationship. (a) Cross-correlation vs. lag between the core-electrode (F3/F4/C3/C4) HEP average and the ECG average, sign-aligned per channel; mean ± SEM across patients. (b) Mean peak |cross-correlation| per electrode. (c) Mutual information, core electrodes. (d) Mutual information per electrode.</w:t>
      </w:r>
    </w:p>
    <w:p>
      <w:pPr>
        <w:spacing w:lineRule="exact" w:line="297" w:before="0" w:after="120"/>
        <w:jc w:val="both"/>
      </w:pPr>
      <w:r>
        <w:rPr>
          <w:sz w:val="22"/>
        </w:rPr>
        <w:t>Cross-correlation peaked near zero lag in both heartbeat-locked conditions (median -5 ms pre-ICA, -10 ms post-ICA), consistent with the instantaneous volume conduction assumed by the zero-lag estimator (Section 2.3). Peak |r| fell from 0.64 pre-ICA to 0.56 post-ICA and 0.34 for the control, and mutual information from 0.63 to 0.52 to 0.37 nats (panel c). Post-ICA values stayed above the control at every well-covered electrode (panels b, d), so an EEG-ECG relationship persists after cleaning, in agreement with Section 3.3 and Figure S2. Mutual information, which also captures nonlinear dependence, followed the same order as correlation, giving no sign of dependence beyond the linear measures.</w:t>
      </w:r>
    </w:p>
    <w:p>
      <w:pPr>
        <w:pStyle w:val="Heading2"/>
      </w:pPr>
      <w:r>
        <w:rPr/>
        <w:t>S4. Power spectral density: pre-ICA, post-ICA, non-locked control, and ECG</w:t>
      </w:r>
    </w:p>
    <w:p>
      <w:pPr>
        <w:spacing w:lineRule="exact" w:line="297" w:before="0" w:after="120"/>
        <w:jc w:val="both"/>
      </w:pPr>
      <w:r>
        <w:rPr>
          <w:sz w:val="22"/>
        </w:rPr>
        <w:t>Welch power spectral density was computed for the pre-ICA, post-ICA, and non-locked evoked waveforms of Section S3 and for the ECG evoked average, in the same 150-patient subsample.</w:t>
      </w:r>
    </w:p>
    <w:p>
      <w:pPr>
        <w:keepNext/>
        <w:spacing w:before="160" w:after="0"/>
        <w:jc w:val="center"/>
      </w:pPr>
      <w:r>
        <w:drawing>
          <wp:inline xmlns:a="http://schemas.openxmlformats.org/drawingml/2006/main" xmlns:pic="http://schemas.openxmlformats.org/drawingml/2006/picture">
            <wp:extent cx="5943600" cy="4322618"/>
            <wp:docPr id="8" name="Picture 8"/>
            <wp:cNvGraphicFramePr>
              <a:graphicFrameLocks noChangeAspect="1"/>
            </wp:cNvGraphicFramePr>
            <a:graphic>
              <a:graphicData uri="http://schemas.openxmlformats.org/drawingml/2006/picture">
                <pic:pic>
                  <pic:nvPicPr>
                    <pic:cNvPr id="0" name="figS5_psd_comparison.png"/>
                    <pic:cNvPicPr/>
                  </pic:nvPicPr>
                  <pic:blipFill>
                    <a:blip r:embed="rId16"/>
                    <a:stretch>
                      <a:fillRect/>
                    </a:stretch>
                  </pic:blipFill>
                  <pic:spPr>
                    <a:xfrm>
                      <a:off x="0" y="0"/>
                      <a:ext cx="5943600" cy="4322618"/>
                    </a:xfrm>
                    <a:prstGeom prst="rect"/>
                  </pic:spPr>
                </pic:pic>
              </a:graphicData>
            </a:graphic>
          </wp:inline>
        </w:drawing>
      </w:r>
    </w:p>
    <w:p>
      <w:pPr>
        <w:spacing w:lineRule="exact" w:line="243" w:before="80" w:after="240"/>
      </w:pPr>
      <w:r>
        <w:rPr>
          <w:b/>
          <w:sz w:val="18"/>
        </w:rPr>
        <w:t>Figure S4.</w:t>
      </w:r>
      <w:r>
        <w:rPr>
          <w:sz w:val="18"/>
        </w:rPr>
        <w:t xml:space="preserve"> Power spectral density (Welch, dB) of the pre-ICA, post-ICA, non-heartbeat-locked control, and ECG evoked waveforms (n = 150). (a) Core electrodes (F3/F4/C3/C4), mean ± SEM. (b) Each of the six well-covered sites.</w:t>
      </w:r>
    </w:p>
    <w:p>
      <w:pPr>
        <w:spacing w:lineRule="exact" w:line="297" w:before="0" w:after="120"/>
        <w:jc w:val="both"/>
      </w:pPr>
      <w:r>
        <w:rPr>
          <w:sz w:val="22"/>
        </w:rPr>
        <w:t>The ECG spectrum was broadband, dominated by the sharp QRS transient, which the non-locked control lacked. Pre-ICA and post-ICA EEG spectra lay between these references and closer to the ECG than the control, supporting Sections 3.3 and S3 in the spectral domain. Spectral shape was similar across electrodes (panel b), so CFA varies across the scalp mainly in magnitude (Figure 2c), not spectral content. Spectra end at 100 Hz, the upper edge of the analysis filter (Section 2.2).</w:t>
      </w:r>
    </w:p>
    <w:p>
      <w:pPr>
        <w:pStyle w:val="Heading2"/>
      </w:pPr>
      <w:r>
        <w:rPr/>
        <w:t>S5. Adjustment of the sex effect for BMI</w:t>
      </w:r>
    </w:p>
    <w:p>
      <w:pPr>
        <w:spacing w:lineRule="exact" w:line="297" w:before="0" w:after="120"/>
        <w:jc w:val="both"/>
      </w:pPr>
      <w:r>
        <w:rPr>
          <w:sz w:val="22"/>
        </w:rPr>
        <w:t>Men had higher CFA R² than women (Section 3.4), but women had a higher mean BMI (34.8 vs. 31.8 kg/m²), and BMI itself was associated with CFA. In patients with BMI (n = 6,127), OLS regression of patient-mean CFA R² on sex gave a male-versus-female coefficient of 0.031 (95% CI 0.020 to 0.041, p = 1.1e-08). Adding BMI did not attenuate it (0.040; 95% CI 0.029 to 0.050, p = 3.2e-13), and BMI was an independent predictor (0.0029 per kg/m², p = 1.5e-21).</w:t>
      </w:r>
    </w:p>
    <w:p>
      <w:pPr>
        <w:keepNext/>
        <w:spacing w:before="160" w:after="0"/>
        <w:jc w:val="center"/>
      </w:pPr>
      <w:r>
        <w:drawing>
          <wp:inline xmlns:a="http://schemas.openxmlformats.org/drawingml/2006/main" xmlns:pic="http://schemas.openxmlformats.org/drawingml/2006/picture">
            <wp:extent cx="4114800" cy="2216506"/>
            <wp:docPr id="9" name="Picture 9"/>
            <wp:cNvGraphicFramePr>
              <a:graphicFrameLocks noChangeAspect="1"/>
            </wp:cNvGraphicFramePr>
            <a:graphic>
              <a:graphicData uri="http://schemas.openxmlformats.org/drawingml/2006/picture">
                <pic:pic>
                  <pic:nvPicPr>
                    <pic:cNvPr id="0" name="figS6_sex_bmi_confound.png"/>
                    <pic:cNvPicPr/>
                  </pic:nvPicPr>
                  <pic:blipFill>
                    <a:blip r:embed="rId17"/>
                    <a:stretch>
                      <a:fillRect/>
                    </a:stretch>
                  </pic:blipFill>
                  <pic:spPr>
                    <a:xfrm>
                      <a:off x="0" y="0"/>
                      <a:ext cx="4114800" cy="2216506"/>
                    </a:xfrm>
                    <a:prstGeom prst="rect"/>
                  </pic:spPr>
                </pic:pic>
              </a:graphicData>
            </a:graphic>
          </wp:inline>
        </w:drawing>
      </w:r>
    </w:p>
    <w:p>
      <w:pPr>
        <w:spacing w:lineRule="exact" w:line="243" w:before="80" w:after="240"/>
      </w:pPr>
      <w:r>
        <w:rPr>
          <w:b/>
          <w:sz w:val="18"/>
        </w:rPr>
        <w:t>Figure S5.</w:t>
      </w:r>
      <w:r>
        <w:rPr>
          <w:sz w:val="18"/>
        </w:rPr>
        <w:t xml:space="preserve"> Male-versus-female CFA R² (outside QRS) OLS coefficient, without and with BMI adjustment (n = 6,127); points, coefficient; bars, 95% CI.</w:t>
      </w:r>
    </w:p>
    <w:p>
      <w:pPr>
        <w:spacing w:lineRule="exact" w:line="297" w:before="0" w:after="120"/>
        <w:jc w:val="both"/>
      </w:pPr>
      <w:r>
        <w:rPr>
          <w:sz w:val="22"/>
        </w:rPr>
        <w:t>The sex coefficient rose slightly after BMI adjustment, as expected given women's higher BMI, so BMI does not explain the sex effect; sex and BMI were independently associated with CFA.</w:t>
      </w:r>
    </w:p>
    <w:p>
      <w:pPr>
        <w:pStyle w:val="Heading1"/>
      </w:pPr>
      <w:r>
        <w:rPr/>
        <w:t>Acknowledgements</w:t>
      </w:r>
    </w:p>
    <w:p>
      <w:pPr>
        <w:spacing w:lineRule="exact" w:line="297" w:before="0" w:after="120"/>
        <w:jc w:val="both"/>
      </w:pPr>
      <w:r>
        <w:rPr>
          <w:sz w:val="22"/>
        </w:rPr>
        <w:t>The Human Sleep Project has received support from the Glenn Foundation and the American Federation of Aging Research (AFAR) through the 2018 Glenn / AFAR Award for Medical Research Breakthroughs in Gerontology (BIG) (2018), the American Academy of Sleep Medicine (AASM) through a 2019 Strategic Research Award, the National Institutes of Health (NIH) (R01NS102190, R01NS102574, R01NS107291, RF1AG064312, RF1NS120947, R01AG073410, R01HL161253, R01NS126282, R01AG073598), the National Science Foundation (NSF 2014431), and through the Henry and Allison McCance Center for Brain Health.</w:t>
      </w:r>
    </w:p>
    <w:p>
      <w:pPr>
        <w:pStyle w:val="Heading1"/>
      </w:pPr>
      <w:r>
        <w:rPr/>
        <w:t>References</w:t>
      </w:r>
    </w:p>
    <w:p>
      <w:pPr>
        <w:spacing w:lineRule="exact" w:line="243" w:before="0" w:after="80"/>
        <w:ind w:left="360" w:hanging="360"/>
      </w:pPr>
      <w:r>
        <w:rPr>
          <w:sz w:val="18"/>
        </w:rPr>
        <w:t>1. Dirlich G, Vogl L, Plaschke M, Strian F. Cardiac field effects on the EEG. Electroencephalogr Clin Neurophysiol. 1997;102(4):307-315.</w:t>
      </w:r>
    </w:p>
    <w:p>
      <w:pPr>
        <w:spacing w:lineRule="exact" w:line="243" w:before="0" w:after="80"/>
        <w:ind w:left="360" w:hanging="360"/>
      </w:pPr>
      <w:r>
        <w:rPr>
          <w:sz w:val="18"/>
        </w:rPr>
        <w:t>2. Dirlich G, Dietl T, Vogl L, Strian F. Topography and morphology of heart action-related EEG potentials. Electroencephalogr Clin Neurophysiol. 1998;108(3):299-305.</w:t>
      </w:r>
    </w:p>
    <w:p>
      <w:pPr>
        <w:spacing w:lineRule="exact" w:line="243" w:before="0" w:after="80"/>
        <w:ind w:left="360" w:hanging="360"/>
      </w:pPr>
      <w:r>
        <w:rPr>
          <w:sz w:val="18"/>
        </w:rPr>
        <w:t>3. Urigüen JA, Garcia-Zapirain B. EEG artifact removal—state-of-the-art and guidelines. J Neural Eng. 2015;12(3):031001. doi:10.1088/1741-2560/12/3/031001.</w:t>
      </w:r>
    </w:p>
    <w:p>
      <w:pPr>
        <w:spacing w:lineRule="exact" w:line="243" w:before="0" w:after="80"/>
        <w:ind w:left="360" w:hanging="360"/>
      </w:pPr>
      <w:r>
        <w:rPr>
          <w:sz w:val="18"/>
        </w:rPr>
        <w:t>4. Jiang X, Bian G-B, Tian Z. Removal of artifacts from EEG signals: a review. Sensors. 2019;19(5):987. doi:10.3390/s19050987.</w:t>
      </w:r>
    </w:p>
    <w:p>
      <w:pPr>
        <w:spacing w:lineRule="exact" w:line="243" w:before="0" w:after="80"/>
        <w:ind w:left="360" w:hanging="360"/>
      </w:pPr>
      <w:r>
        <w:rPr>
          <w:sz w:val="18"/>
        </w:rPr>
        <w:t>5. Schandry R, Sparrer B, Weitkunat R. From the heart to the brain: a study of heartbeat contingent scalp potentials. Int J Neurosci. 1986;30:261-275.</w:t>
      </w:r>
    </w:p>
    <w:p>
      <w:pPr>
        <w:spacing w:lineRule="exact" w:line="243" w:before="0" w:after="80"/>
        <w:ind w:left="360" w:hanging="360"/>
      </w:pPr>
      <w:r>
        <w:rPr>
          <w:sz w:val="18"/>
        </w:rPr>
        <w:t>6. Park H-D, Blanke O. Heartbeat-evoked cortical responses: underlying mechanisms, functional roles, and methodological considerations. NeuroImage. 2019;197:502-511.</w:t>
      </w:r>
    </w:p>
    <w:p>
      <w:pPr>
        <w:spacing w:lineRule="exact" w:line="243" w:before="0" w:after="80"/>
        <w:ind w:left="360" w:hanging="360"/>
      </w:pPr>
      <w:r>
        <w:rPr>
          <w:sz w:val="18"/>
        </w:rPr>
        <w:t>7. Coll M-P, Hobson H, Bird G, Murphy J. Systematic review and meta-analysis of the relationship between the heartbeat-evoked potential and interoception. Neurosci Biobehav Rev. 2021;122:190-200.</w:t>
      </w:r>
    </w:p>
    <w:p>
      <w:pPr>
        <w:spacing w:lineRule="exact" w:line="243" w:before="0" w:after="80"/>
        <w:ind w:left="360" w:hanging="360"/>
      </w:pPr>
      <w:r>
        <w:rPr>
          <w:sz w:val="18"/>
        </w:rPr>
        <w:t>8. Steinfath TP, et al. Heartbeat-evoked responses in M/EEG: a systematic review of methods with suggestions for analysis and reporting. Psychophysiology. 2026;63(4):e70297. doi:10.1111/psyp.70297.</w:t>
      </w:r>
    </w:p>
    <w:p>
      <w:pPr>
        <w:spacing w:lineRule="exact" w:line="243" w:before="0" w:after="80"/>
        <w:ind w:left="360" w:hanging="360"/>
      </w:pPr>
      <w:r>
        <w:rPr>
          <w:sz w:val="18"/>
        </w:rPr>
        <w:t>9. Virjee R-I, Kandasamy R, Garfinkel SN, Carmichael DW, Yogarajah M. Review of methods to derive the heartbeat-evoked potential: past practices and future directions. Soc Cogn Affect Neurosci. 2026:nsag057. doi:10.1093/scan/nsag057.</w:t>
      </w:r>
    </w:p>
    <w:p>
      <w:pPr>
        <w:spacing w:lineRule="exact" w:line="243" w:before="0" w:after="80"/>
        <w:ind w:left="360" w:hanging="360"/>
      </w:pPr>
      <w:r>
        <w:rPr>
          <w:sz w:val="18"/>
        </w:rPr>
        <w:t>10. Kern M, Aertsen A, Schulze-Bonhage A, Ball T. Heart cycle-related effects on event-related potentials, spectral power changes, and connectivity patterns in the human ECoG. NeuroImage. 2013;81:178-190.</w:t>
      </w:r>
    </w:p>
    <w:p>
      <w:pPr>
        <w:spacing w:lineRule="exact" w:line="243" w:before="0" w:after="80"/>
        <w:ind w:left="360" w:hanging="360"/>
      </w:pPr>
      <w:r>
        <w:rPr>
          <w:sz w:val="18"/>
        </w:rPr>
        <w:t>11. Buot A, Azzalini D, Chaumon M, Tallon-Baudry C. Does stroke volume influence heartbeat evoked responses? Biol Psychol. 2021;165:108165. doi:10.1016/j.biopsycho.2021.108165.</w:t>
      </w:r>
    </w:p>
    <w:p>
      <w:pPr>
        <w:spacing w:lineRule="exact" w:line="243" w:before="0" w:after="80"/>
        <w:ind w:left="360" w:hanging="360"/>
      </w:pPr>
      <w:r>
        <w:rPr>
          <w:sz w:val="18"/>
        </w:rPr>
        <w:t>12. Tochikubo O, Miyajima E, Shigemasa T, Ishii M. Relation between body fat-corrected ECG voltage and ambulatory blood pressure in patients with essential hypertension. Hypertension. 1999;33(5):1159-1163. doi:10.1161/01.HYP.33.5.1159.</w:t>
      </w:r>
    </w:p>
    <w:p>
      <w:pPr>
        <w:spacing w:lineRule="exact" w:line="243" w:before="0" w:after="80"/>
        <w:ind w:left="360" w:hanging="360"/>
      </w:pPr>
      <w:r>
        <w:rPr>
          <w:sz w:val="18"/>
        </w:rPr>
        <w:t>13. Fraley MA, Birchem JA, Senkottaiyan N, Alpert MA. Obesity and the electrocardiogram. Obes Rev. 2005;6(4):275-281.</w:t>
      </w:r>
    </w:p>
    <w:p>
      <w:pPr>
        <w:spacing w:lineRule="exact" w:line="243" w:before="0" w:after="80"/>
        <w:ind w:left="360" w:hanging="360"/>
      </w:pPr>
      <w:r>
        <w:rPr>
          <w:sz w:val="18"/>
        </w:rPr>
        <w:t>14. Boudewyn MA, Luck SJ, Farrens JL, Kappenman ES. How many trials does it take to get a significant ERP effect? It depends. Psychophysiology. 2018;55(6):e13049.</w:t>
      </w:r>
    </w:p>
    <w:p>
      <w:pPr>
        <w:spacing w:lineRule="exact" w:line="243" w:before="0" w:after="80"/>
        <w:ind w:left="360" w:hanging="360"/>
      </w:pPr>
      <w:r>
        <w:rPr>
          <w:sz w:val="18"/>
        </w:rPr>
        <w:t>15. Li Q, Wen S, Sun H, Ganglberger W, Tripathi A, Turley N, et al.; Westover MB. The Human Sleep Project (HSP). Brain Data Science Platform. 2026. doi:10.60508/m3sw-rz13.</w:t>
      </w:r>
    </w:p>
    <w:p>
      <w:pPr>
        <w:spacing w:lineRule="exact" w:line="243" w:before="0" w:after="80"/>
        <w:ind w:left="360" w:hanging="360"/>
      </w:pPr>
      <w:r>
        <w:rPr>
          <w:sz w:val="18"/>
        </w:rPr>
        <w:t>16. Gramfort A, et al. MEG and EEG data analysis with MNE-Python. Front Neurosci. 2013;7:267.</w:t>
      </w:r>
    </w:p>
    <w:p>
      <w:pPr>
        <w:spacing w:lineRule="exact" w:line="243" w:before="0" w:after="80"/>
        <w:ind w:left="360" w:hanging="360"/>
      </w:pPr>
      <w:r>
        <w:rPr>
          <w:sz w:val="18"/>
        </w:rPr>
        <w:t>17. Hyvarinen A, Oja E. Independent component analysis: algorithms and applications. Neural Netw. 2000;13(4-5):411-430.</w:t>
      </w:r>
    </w:p>
    <w:p>
      <w:pPr>
        <w:spacing w:lineRule="exact" w:line="243" w:before="0" w:after="80"/>
        <w:ind w:left="360" w:hanging="360"/>
      </w:pPr>
      <w:r>
        <w:rPr>
          <w:sz w:val="18"/>
        </w:rPr>
        <w:t>18. Ablin P, Cardoso J-F, Gramfort A. Faster independent component analysis by preconditioning with Hessian approximations. IEEE Trans Signal Process. 2018;66(15):4040-4049.</w:t>
      </w:r>
    </w:p>
    <w:p>
      <w:pPr>
        <w:spacing w:lineRule="exact" w:line="243" w:before="0" w:after="80"/>
        <w:ind w:left="360" w:hanging="360"/>
      </w:pPr>
      <w:r>
        <w:rPr>
          <w:sz w:val="18"/>
        </w:rPr>
        <w:t>19. Kraskov A, Stögbauer H, Grassberger P. Estimating mutual information. Phys Rev E. 2004;69(6):066138.</w:t>
      </w:r>
    </w:p>
    <w:p>
      <w:pPr>
        <w:spacing w:lineRule="exact" w:line="243" w:before="0" w:after="80"/>
        <w:ind w:left="360" w:hanging="360"/>
      </w:pPr>
      <w:r>
        <w:rPr>
          <w:sz w:val="18"/>
        </w:rPr>
        <w:t>20. Benjamini Y, Hochberg Y. Controlling the false discovery rate: a practical and powerful approach to multiple testing. J R Stat Soc Series B. 1995;57(1):289-300.</w:t>
      </w:r>
    </w:p>
    <w:p>
      <w:pPr>
        <w:spacing w:lineRule="exact" w:line="243" w:before="0" w:after="80"/>
        <w:ind w:left="360" w:hanging="360"/>
      </w:pPr>
      <w:r>
        <w:rPr>
          <w:sz w:val="18"/>
        </w:rPr>
        <w:t>21. Vallat R, Walker MP. An open-source, high-performance tool for automated sleep staging. eLife. 2021;10:e70092. doi:10.7554/eLife.70092.</w:t>
      </w:r>
    </w:p>
    <w:p>
      <w:pPr>
        <w:spacing w:lineRule="exact" w:line="243" w:before="0" w:after="80"/>
        <w:ind w:left="360" w:hanging="360"/>
      </w:pPr>
      <w:r>
        <w:rPr>
          <w:sz w:val="18"/>
        </w:rPr>
        <w:t>22. Pérez JJ, Guijarro E, Barcia JA. Suppression of the cardiac electric field artifact from the heart action evoked potential. Med Biol Eng Comput. 2005;43(5):572-581.</w:t>
      </w:r>
    </w:p>
    <w:p>
      <w:pPr>
        <w:spacing w:lineRule="exact" w:line="243" w:before="0" w:after="80"/>
        <w:ind w:left="360" w:hanging="360"/>
      </w:pPr>
      <w:r>
        <w:rPr>
          <w:sz w:val="18"/>
        </w:rPr>
        <w:t>23. Arnau S, Sharifian F, Wascher E, Larra MF. Removing the cardiac field artefact from the EEG using neural network regression. Psychophysiology. 2023:e14323. doi:10.1111/psyp.14323.</w:t>
      </w:r>
    </w:p>
    <w:p>
      <w:pPr>
        <w:spacing w:lineRule="exact" w:line="243" w:before="0" w:after="80"/>
        <w:ind w:left="360" w:hanging="360"/>
      </w:pPr>
      <w:r>
        <w:rPr>
          <w:sz w:val="18"/>
        </w:rPr>
        <w:t>24. Gabriel S, Lau RW, Gabriel C. The dielectric properties of biological tissues: II. Measurements in the frequency range 10 Hz to 20 GHz. Phys Med Biol. 1996;41(11):2251-2269.</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