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432BE1" w14:textId="0E6AB38C" w:rsidR="008A45E8" w:rsidRPr="008A45E8" w:rsidRDefault="002F4C6E" w:rsidP="008A45E8">
      <w:pPr>
        <w:tabs>
          <w:tab w:val="left" w:pos="7269"/>
          <w:tab w:val="right" w:pos="10800"/>
        </w:tabs>
        <w:rPr>
          <w:rFonts w:ascii="Garamond" w:hAnsi="Garamond" w:cs="AngsanaUPC"/>
          <w:b/>
          <w:smallCaps/>
          <w:sz w:val="36"/>
          <w:szCs w:val="36"/>
        </w:rPr>
      </w:pPr>
      <w:r>
        <w:rPr>
          <w:rFonts w:ascii="Garamond" w:hAnsi="Garamond" w:cs="AngsanaUPC"/>
          <w:b/>
          <w:smallCaps/>
          <w:sz w:val="36"/>
          <w:szCs w:val="36"/>
        </w:rPr>
        <w:t>Nir Eilam</w:t>
      </w:r>
    </w:p>
    <w:p w14:paraId="57F71826" w14:textId="6AEDA6D1" w:rsidR="008A45E8" w:rsidRPr="008A45E8" w:rsidRDefault="008A45E8" w:rsidP="008A45E8">
      <w:pPr>
        <w:tabs>
          <w:tab w:val="left" w:pos="1530"/>
          <w:tab w:val="right" w:pos="9180"/>
        </w:tabs>
        <w:rPr>
          <w:rFonts w:ascii="Garamond" w:hAnsi="Garamond"/>
        </w:rPr>
      </w:pPr>
      <w:r w:rsidRPr="008A45E8">
        <w:rPr>
          <w:rFonts w:ascii="Garamond" w:hAnsi="Garamond"/>
        </w:rPr>
        <w:t xml:space="preserve">University of Texas at Austin </w:t>
      </w:r>
      <w:r w:rsidR="002F4C6E">
        <w:rPr>
          <w:rFonts w:ascii="Garamond" w:hAnsi="Garamond"/>
          <w:rtl/>
        </w:rPr>
        <w:tab/>
      </w:r>
      <w:r w:rsidR="002F4C6E">
        <w:rPr>
          <w:rFonts w:ascii="Garamond" w:hAnsi="Garamond"/>
          <w:rtl/>
        </w:rPr>
        <w:tab/>
      </w:r>
    </w:p>
    <w:p w14:paraId="3D665999" w14:textId="6E4E9B64" w:rsidR="008A45E8" w:rsidRPr="008A45E8" w:rsidRDefault="008A45E8" w:rsidP="008A45E8">
      <w:pPr>
        <w:tabs>
          <w:tab w:val="left" w:pos="1530"/>
          <w:tab w:val="right" w:pos="9180"/>
        </w:tabs>
        <w:rPr>
          <w:rFonts w:ascii="Garamond" w:hAnsi="Garamond"/>
        </w:rPr>
      </w:pPr>
      <w:r w:rsidRPr="008A45E8">
        <w:rPr>
          <w:rFonts w:ascii="Garamond" w:hAnsi="Garamond"/>
        </w:rPr>
        <w:t>Department of Economics</w:t>
      </w:r>
      <w:r w:rsidRPr="008A45E8">
        <w:rPr>
          <w:rFonts w:ascii="Garamond" w:hAnsi="Garamond"/>
        </w:rPr>
        <w:tab/>
      </w:r>
      <w:r w:rsidR="002F4C6E">
        <w:rPr>
          <w:rFonts w:ascii="Garamond" w:hAnsi="Garamond"/>
        </w:rPr>
        <w:t xml:space="preserve">   </w:t>
      </w:r>
      <w:r w:rsidR="000E4785">
        <w:rPr>
          <w:rFonts w:ascii="Garamond" w:hAnsi="Garamond"/>
        </w:rPr>
        <w:t xml:space="preserve">cell: </w:t>
      </w:r>
      <w:r w:rsidR="002F4C6E">
        <w:rPr>
          <w:rFonts w:ascii="Garamond" w:hAnsi="Garamond"/>
        </w:rPr>
        <w:t>512</w:t>
      </w:r>
      <w:r w:rsidR="000E4785">
        <w:rPr>
          <w:rFonts w:ascii="Garamond" w:hAnsi="Garamond"/>
        </w:rPr>
        <w:t>-</w:t>
      </w:r>
      <w:r w:rsidR="002F4C6E">
        <w:rPr>
          <w:rFonts w:ascii="Garamond" w:hAnsi="Garamond"/>
        </w:rPr>
        <w:t>783</w:t>
      </w:r>
      <w:r w:rsidR="000E4785">
        <w:rPr>
          <w:rFonts w:ascii="Garamond" w:hAnsi="Garamond"/>
        </w:rPr>
        <w:t>-</w:t>
      </w:r>
      <w:r w:rsidR="002F4C6E">
        <w:rPr>
          <w:rFonts w:ascii="Garamond" w:hAnsi="Garamond"/>
        </w:rPr>
        <w:t>3378</w:t>
      </w:r>
    </w:p>
    <w:p w14:paraId="1A881CB9" w14:textId="60395CB5" w:rsidR="008A45E8" w:rsidRPr="008A45E8" w:rsidRDefault="001F6573" w:rsidP="002F4C6E">
      <w:pPr>
        <w:tabs>
          <w:tab w:val="left" w:pos="1530"/>
          <w:tab w:val="right" w:pos="9180"/>
        </w:tabs>
        <w:rPr>
          <w:rFonts w:ascii="Garamond" w:hAnsi="Garamond"/>
        </w:rPr>
      </w:pPr>
      <w:r>
        <w:rPr>
          <w:rFonts w:ascii="Garamond" w:hAnsi="Garamond"/>
        </w:rPr>
        <w:t>2225 Speedway C3100</w:t>
      </w:r>
      <w:r>
        <w:rPr>
          <w:rFonts w:ascii="Garamond" w:hAnsi="Garamond"/>
        </w:rPr>
        <w:tab/>
      </w:r>
      <w:r w:rsidR="002F4C6E">
        <w:rPr>
          <w:rFonts w:ascii="Garamond" w:hAnsi="Garamond"/>
        </w:rPr>
        <w:t>nir.eilam@gmail.com</w:t>
      </w:r>
    </w:p>
    <w:p w14:paraId="72C2AC63" w14:textId="62949E0E" w:rsidR="008A45E8" w:rsidRPr="008A45E8" w:rsidRDefault="008A45E8" w:rsidP="0077335C">
      <w:pPr>
        <w:pBdr>
          <w:bottom w:val="single" w:sz="6" w:space="1" w:color="auto"/>
        </w:pBdr>
        <w:tabs>
          <w:tab w:val="left" w:pos="1530"/>
          <w:tab w:val="right" w:pos="9180"/>
        </w:tabs>
        <w:ind w:right="432"/>
        <w:rPr>
          <w:rFonts w:ascii="Garamond" w:hAnsi="Garamond"/>
        </w:rPr>
      </w:pPr>
      <w:r w:rsidRPr="008A45E8">
        <w:rPr>
          <w:rFonts w:ascii="Garamond" w:hAnsi="Garamond"/>
        </w:rPr>
        <w:t>Austin, TX 78712</w:t>
      </w:r>
      <w:r w:rsidRPr="008A45E8">
        <w:rPr>
          <w:rFonts w:ascii="Garamond" w:hAnsi="Garamond"/>
        </w:rPr>
        <w:tab/>
      </w:r>
      <w:r w:rsidR="002F4C6E">
        <w:rPr>
          <w:rFonts w:ascii="Garamond" w:hAnsi="Garamond"/>
        </w:rPr>
        <w:t>www.nir-eilam</w:t>
      </w:r>
      <w:r w:rsidR="000E4785">
        <w:rPr>
          <w:rFonts w:ascii="Garamond" w:hAnsi="Garamond"/>
        </w:rPr>
        <w:t>.com</w:t>
      </w:r>
    </w:p>
    <w:tbl>
      <w:tblPr>
        <w:tblW w:w="9990" w:type="dxa"/>
        <w:tblInd w:w="-180" w:type="dxa"/>
        <w:tblLook w:val="01E0" w:firstRow="1" w:lastRow="1" w:firstColumn="1" w:lastColumn="1" w:noHBand="0" w:noVBand="0"/>
      </w:tblPr>
      <w:tblGrid>
        <w:gridCol w:w="180"/>
        <w:gridCol w:w="286"/>
        <w:gridCol w:w="1694"/>
        <w:gridCol w:w="4230"/>
        <w:gridCol w:w="3168"/>
        <w:gridCol w:w="432"/>
      </w:tblGrid>
      <w:tr w:rsidR="007B6DAE" w:rsidRPr="008A45E8" w14:paraId="3B3F6A99" w14:textId="77777777" w:rsidTr="00F1234E">
        <w:trPr>
          <w:gridBefore w:val="1"/>
          <w:wBefore w:w="180" w:type="dxa"/>
        </w:trPr>
        <w:tc>
          <w:tcPr>
            <w:tcW w:w="9810" w:type="dxa"/>
            <w:gridSpan w:val="5"/>
          </w:tcPr>
          <w:p w14:paraId="315C413C" w14:textId="77777777" w:rsidR="007B6DAE" w:rsidRPr="00567366" w:rsidRDefault="007B6DAE" w:rsidP="008A45E8">
            <w:pPr>
              <w:rPr>
                <w:rFonts w:ascii="Garamond" w:hAnsi="Garamond"/>
                <w:sz w:val="28"/>
                <w:szCs w:val="28"/>
              </w:rPr>
            </w:pPr>
          </w:p>
        </w:tc>
      </w:tr>
      <w:tr w:rsidR="007B6DAE" w:rsidRPr="008A45E8" w14:paraId="50EEC841" w14:textId="77777777" w:rsidTr="00F1234E">
        <w:trPr>
          <w:gridBefore w:val="1"/>
          <w:wBefore w:w="180" w:type="dxa"/>
        </w:trPr>
        <w:tc>
          <w:tcPr>
            <w:tcW w:w="9810" w:type="dxa"/>
            <w:gridSpan w:val="5"/>
          </w:tcPr>
          <w:p w14:paraId="3E835F60" w14:textId="73247681" w:rsidR="007B6DAE" w:rsidRPr="00D25563" w:rsidRDefault="007836F0" w:rsidP="005108AD">
            <w:pPr>
              <w:rPr>
                <w:rFonts w:ascii="Garamond" w:hAnsi="Garamond"/>
                <w:sz w:val="28"/>
                <w:szCs w:val="28"/>
                <w:u w:val="single"/>
              </w:rPr>
            </w:pPr>
            <w:r w:rsidRPr="00D25563">
              <w:rPr>
                <w:rFonts w:ascii="Garamond" w:hAnsi="Garamond"/>
                <w:bCs/>
                <w:smallCaps/>
                <w:sz w:val="28"/>
                <w:szCs w:val="28"/>
                <w:u w:val="single"/>
              </w:rPr>
              <w:t>Education</w:t>
            </w:r>
          </w:p>
        </w:tc>
      </w:tr>
      <w:tr w:rsidR="00D25563" w:rsidRPr="00D25563" w14:paraId="48709860" w14:textId="77777777" w:rsidTr="00F1234E">
        <w:trPr>
          <w:gridBefore w:val="1"/>
          <w:wBefore w:w="180" w:type="dxa"/>
        </w:trPr>
        <w:tc>
          <w:tcPr>
            <w:tcW w:w="9810" w:type="dxa"/>
            <w:gridSpan w:val="5"/>
          </w:tcPr>
          <w:p w14:paraId="26A9500C" w14:textId="77777777" w:rsidR="00D25563" w:rsidRPr="00D25563" w:rsidRDefault="00D25563" w:rsidP="005108AD">
            <w:pPr>
              <w:rPr>
                <w:rFonts w:ascii="Garamond" w:hAnsi="Garamond"/>
                <w:bCs/>
                <w:smallCaps/>
                <w:sz w:val="10"/>
                <w:szCs w:val="10"/>
                <w:u w:val="single"/>
              </w:rPr>
            </w:pPr>
          </w:p>
        </w:tc>
      </w:tr>
      <w:tr w:rsidR="005318B8" w:rsidRPr="008A45E8" w14:paraId="006EA95E" w14:textId="77777777" w:rsidTr="00F1234E">
        <w:trPr>
          <w:gridBefore w:val="1"/>
          <w:wBefore w:w="180" w:type="dxa"/>
          <w:trHeight w:val="262"/>
        </w:trPr>
        <w:tc>
          <w:tcPr>
            <w:tcW w:w="286" w:type="dxa"/>
          </w:tcPr>
          <w:p w14:paraId="73855268" w14:textId="77777777" w:rsidR="005318B8" w:rsidRPr="008A45E8" w:rsidRDefault="005318B8" w:rsidP="005318B8">
            <w:pPr>
              <w:rPr>
                <w:rFonts w:ascii="Garamond" w:hAnsi="Garamond"/>
              </w:rPr>
            </w:pPr>
          </w:p>
        </w:tc>
        <w:tc>
          <w:tcPr>
            <w:tcW w:w="9524" w:type="dxa"/>
            <w:gridSpan w:val="4"/>
          </w:tcPr>
          <w:p w14:paraId="5CB75617" w14:textId="65149CB7" w:rsidR="005318B8" w:rsidRPr="008A45E8" w:rsidRDefault="005318B8" w:rsidP="005318B8">
            <w:pPr>
              <w:rPr>
                <w:rFonts w:ascii="Garamond" w:hAnsi="Garamond"/>
              </w:rPr>
            </w:pPr>
            <w:r w:rsidRPr="00806D4B">
              <w:rPr>
                <w:rFonts w:ascii="Garamond" w:hAnsi="Garamond"/>
                <w:b/>
                <w:bCs/>
              </w:rPr>
              <w:t>Ph.D. Candidate, Economics</w:t>
            </w:r>
            <w:r>
              <w:rPr>
                <w:rFonts w:ascii="Garamond" w:hAnsi="Garamond"/>
              </w:rPr>
              <w:t>, University of Texas at Austin</w:t>
            </w:r>
            <w:r w:rsidRPr="008A45E8">
              <w:rPr>
                <w:rFonts w:ascii="Garamond" w:hAnsi="Garamond"/>
              </w:rPr>
              <w:t xml:space="preserve">, </w:t>
            </w:r>
            <w:r>
              <w:rPr>
                <w:rFonts w:ascii="Garamond" w:hAnsi="Garamond"/>
              </w:rPr>
              <w:t>May</w:t>
            </w:r>
            <w:r>
              <w:rPr>
                <w:rFonts w:ascii="Garamond" w:hAnsi="Garamond" w:hint="cs"/>
                <w:rtl/>
              </w:rPr>
              <w:t xml:space="preserve"> </w:t>
            </w:r>
            <w:r>
              <w:rPr>
                <w:rFonts w:ascii="Garamond" w:hAnsi="Garamond"/>
              </w:rPr>
              <w:t>2021 (Expected)</w:t>
            </w:r>
          </w:p>
        </w:tc>
      </w:tr>
      <w:tr w:rsidR="005318B8" w:rsidRPr="008A45E8" w14:paraId="1E452D01" w14:textId="77777777" w:rsidTr="00F1234E">
        <w:trPr>
          <w:gridBefore w:val="1"/>
          <w:wBefore w:w="180" w:type="dxa"/>
          <w:trHeight w:val="288"/>
        </w:trPr>
        <w:tc>
          <w:tcPr>
            <w:tcW w:w="286" w:type="dxa"/>
          </w:tcPr>
          <w:p w14:paraId="42DF53B1" w14:textId="77777777" w:rsidR="005318B8" w:rsidRPr="008A45E8" w:rsidRDefault="005318B8" w:rsidP="005318B8">
            <w:pPr>
              <w:rPr>
                <w:rFonts w:ascii="Garamond" w:hAnsi="Garamond"/>
              </w:rPr>
            </w:pPr>
          </w:p>
        </w:tc>
        <w:tc>
          <w:tcPr>
            <w:tcW w:w="9524" w:type="dxa"/>
            <w:gridSpan w:val="4"/>
          </w:tcPr>
          <w:p w14:paraId="45ED8845" w14:textId="77777777" w:rsidR="005318B8" w:rsidRDefault="005318B8" w:rsidP="005318B8">
            <w:pPr>
              <w:rPr>
                <w:rFonts w:ascii="Garamond" w:hAnsi="Garamond"/>
              </w:rPr>
            </w:pPr>
            <w:r w:rsidRPr="00806D4B">
              <w:rPr>
                <w:rFonts w:ascii="Garamond" w:hAnsi="Garamond"/>
                <w:b/>
                <w:bCs/>
              </w:rPr>
              <w:t>M.A., Economics</w:t>
            </w:r>
            <w:r>
              <w:rPr>
                <w:rFonts w:ascii="Garamond" w:hAnsi="Garamond"/>
              </w:rPr>
              <w:t>, Tel-Aviv University , 2015</w:t>
            </w:r>
          </w:p>
          <w:p w14:paraId="07B5278B" w14:textId="3F073C65" w:rsidR="005318B8" w:rsidRDefault="005318B8" w:rsidP="005318B8">
            <w:pPr>
              <w:rPr>
                <w:rFonts w:ascii="Garamond" w:hAnsi="Garamond"/>
              </w:rPr>
            </w:pPr>
            <w:r w:rsidRPr="00806D4B">
              <w:rPr>
                <w:rFonts w:ascii="Garamond" w:hAnsi="Garamond"/>
                <w:b/>
                <w:bCs/>
              </w:rPr>
              <w:t>B.A., Economics</w:t>
            </w:r>
            <w:r>
              <w:rPr>
                <w:rFonts w:ascii="Garamond" w:hAnsi="Garamond"/>
                <w:b/>
                <w:bCs/>
              </w:rPr>
              <w:t xml:space="preserve"> </w:t>
            </w:r>
            <w:r>
              <w:rPr>
                <w:rFonts w:ascii="Garamond" w:hAnsi="Garamond"/>
              </w:rPr>
              <w:t>(Summa Cum Laude), Tel-Aviv University, 2010</w:t>
            </w:r>
          </w:p>
          <w:p w14:paraId="0C9A80A0" w14:textId="48E196E9" w:rsidR="005318B8" w:rsidRPr="00BC0575" w:rsidRDefault="005318B8" w:rsidP="005318B8">
            <w:pPr>
              <w:rPr>
                <w:rFonts w:ascii="Garamond" w:hAnsi="Garamond"/>
                <w:rtl/>
              </w:rPr>
            </w:pPr>
            <w:r>
              <w:rPr>
                <w:rFonts w:ascii="Garamond" w:hAnsi="Garamond"/>
                <w:b/>
                <w:bCs/>
              </w:rPr>
              <w:t>B.A.,</w:t>
            </w:r>
            <w:r w:rsidRPr="00806D4B">
              <w:rPr>
                <w:rFonts w:ascii="Garamond" w:hAnsi="Garamond"/>
                <w:b/>
                <w:bCs/>
              </w:rPr>
              <w:t xml:space="preserve"> Management</w:t>
            </w:r>
            <w:r>
              <w:rPr>
                <w:rFonts w:ascii="Garamond" w:hAnsi="Garamond"/>
                <w:b/>
                <w:bCs/>
              </w:rPr>
              <w:t xml:space="preserve"> </w:t>
            </w:r>
            <w:r>
              <w:rPr>
                <w:rFonts w:ascii="Garamond" w:hAnsi="Garamond"/>
              </w:rPr>
              <w:t>(Magna Cum Laude), Tel-Aviv University, 2010</w:t>
            </w:r>
          </w:p>
        </w:tc>
      </w:tr>
      <w:tr w:rsidR="005318B8" w:rsidRPr="008A45E8" w14:paraId="30A69655" w14:textId="77777777" w:rsidTr="00F1234E">
        <w:trPr>
          <w:gridBefore w:val="1"/>
          <w:gridAfter w:val="1"/>
          <w:wBefore w:w="180" w:type="dxa"/>
          <w:wAfter w:w="432" w:type="dxa"/>
        </w:trPr>
        <w:tc>
          <w:tcPr>
            <w:tcW w:w="9378" w:type="dxa"/>
            <w:gridSpan w:val="4"/>
          </w:tcPr>
          <w:p w14:paraId="104CBB89" w14:textId="77777777" w:rsidR="005318B8" w:rsidRDefault="005318B8" w:rsidP="00E33D38">
            <w:pPr>
              <w:rPr>
                <w:rFonts w:ascii="Garamond" w:hAnsi="Garamond"/>
                <w:sz w:val="26"/>
                <w:szCs w:val="26"/>
                <w:u w:val="single"/>
              </w:rPr>
            </w:pPr>
          </w:p>
          <w:p w14:paraId="08DD6634" w14:textId="29A3E9CA" w:rsidR="005318B8" w:rsidRPr="00D25563" w:rsidRDefault="005318B8" w:rsidP="00E33D38">
            <w:pPr>
              <w:rPr>
                <w:rFonts w:ascii="Garamond" w:hAnsi="Garamond"/>
                <w:sz w:val="26"/>
                <w:szCs w:val="26"/>
                <w:u w:val="single"/>
              </w:rPr>
            </w:pPr>
            <w:r w:rsidRPr="00D25563">
              <w:rPr>
                <w:rFonts w:ascii="Garamond" w:hAnsi="Garamond"/>
                <w:sz w:val="26"/>
                <w:szCs w:val="26"/>
                <w:u w:val="single"/>
              </w:rPr>
              <w:t>R</w:t>
            </w:r>
            <w:r w:rsidRPr="00D25563">
              <w:rPr>
                <w:rFonts w:ascii="Garamond" w:hAnsi="Garamond"/>
                <w:bCs/>
                <w:smallCaps/>
                <w:sz w:val="26"/>
                <w:szCs w:val="26"/>
                <w:u w:val="single"/>
              </w:rPr>
              <w:t>eferences</w:t>
            </w:r>
          </w:p>
        </w:tc>
      </w:tr>
      <w:tr w:rsidR="005318B8" w:rsidRPr="00D25563" w14:paraId="58F12C23" w14:textId="77777777" w:rsidTr="00F1234E">
        <w:trPr>
          <w:gridBefore w:val="1"/>
          <w:gridAfter w:val="1"/>
          <w:wBefore w:w="180" w:type="dxa"/>
          <w:wAfter w:w="432" w:type="dxa"/>
        </w:trPr>
        <w:tc>
          <w:tcPr>
            <w:tcW w:w="9378" w:type="dxa"/>
            <w:gridSpan w:val="4"/>
          </w:tcPr>
          <w:p w14:paraId="01E212A0" w14:textId="77777777" w:rsidR="005318B8" w:rsidRPr="00D25563" w:rsidRDefault="005318B8" w:rsidP="00E33D38">
            <w:pPr>
              <w:rPr>
                <w:rFonts w:ascii="Garamond" w:hAnsi="Garamond"/>
                <w:sz w:val="10"/>
                <w:szCs w:val="10"/>
                <w:u w:val="single"/>
              </w:rPr>
            </w:pPr>
          </w:p>
        </w:tc>
      </w:tr>
      <w:tr w:rsidR="005318B8" w:rsidRPr="008A45E8" w14:paraId="4331EE67" w14:textId="77777777" w:rsidTr="00F1234E">
        <w:trPr>
          <w:gridBefore w:val="1"/>
          <w:gridAfter w:val="1"/>
          <w:wBefore w:w="180" w:type="dxa"/>
          <w:wAfter w:w="432" w:type="dxa"/>
          <w:trHeight w:val="258"/>
        </w:trPr>
        <w:tc>
          <w:tcPr>
            <w:tcW w:w="286" w:type="dxa"/>
          </w:tcPr>
          <w:p w14:paraId="37371468" w14:textId="77777777" w:rsidR="005318B8" w:rsidRPr="008A45E8" w:rsidRDefault="005318B8" w:rsidP="00E33D38">
            <w:pPr>
              <w:rPr>
                <w:rFonts w:ascii="Garamond" w:hAnsi="Garamond"/>
              </w:rPr>
            </w:pPr>
          </w:p>
        </w:tc>
        <w:tc>
          <w:tcPr>
            <w:tcW w:w="5924" w:type="dxa"/>
            <w:gridSpan w:val="2"/>
          </w:tcPr>
          <w:p w14:paraId="5716B485" w14:textId="1B23A736" w:rsidR="005318B8" w:rsidRPr="008A45E8" w:rsidRDefault="00304AAF" w:rsidP="00E33D38">
            <w:pPr>
              <w:rPr>
                <w:rFonts w:ascii="Garamond" w:hAnsi="Garamond"/>
              </w:rPr>
            </w:pPr>
            <w:r>
              <w:rPr>
                <w:rFonts w:ascii="Garamond" w:hAnsi="Garamond"/>
              </w:rPr>
              <w:t xml:space="preserve">Manuela </w:t>
            </w:r>
            <w:proofErr w:type="spellStart"/>
            <w:r>
              <w:rPr>
                <w:rFonts w:ascii="Garamond" w:hAnsi="Garamond"/>
              </w:rPr>
              <w:t>Angelucci</w:t>
            </w:r>
            <w:proofErr w:type="spellEnd"/>
          </w:p>
        </w:tc>
        <w:tc>
          <w:tcPr>
            <w:tcW w:w="3168" w:type="dxa"/>
          </w:tcPr>
          <w:p w14:paraId="1D182AE2" w14:textId="0568ED68" w:rsidR="005318B8" w:rsidRPr="008A45E8" w:rsidRDefault="00304AAF" w:rsidP="00E33D38">
            <w:pPr>
              <w:rPr>
                <w:rFonts w:ascii="Garamond" w:hAnsi="Garamond"/>
              </w:rPr>
            </w:pPr>
            <w:r>
              <w:rPr>
                <w:rFonts w:ascii="Garamond" w:hAnsi="Garamond"/>
              </w:rPr>
              <w:t xml:space="preserve">Mike </w:t>
            </w:r>
            <w:proofErr w:type="spellStart"/>
            <w:r>
              <w:rPr>
                <w:rFonts w:ascii="Garamond" w:hAnsi="Garamond"/>
              </w:rPr>
              <w:t>Geruso</w:t>
            </w:r>
            <w:proofErr w:type="spellEnd"/>
          </w:p>
        </w:tc>
      </w:tr>
      <w:tr w:rsidR="005318B8" w:rsidRPr="008A45E8" w14:paraId="6992A47F" w14:textId="77777777" w:rsidTr="00F1234E">
        <w:trPr>
          <w:gridBefore w:val="1"/>
          <w:gridAfter w:val="1"/>
          <w:wBefore w:w="180" w:type="dxa"/>
          <w:wAfter w:w="432" w:type="dxa"/>
          <w:trHeight w:val="258"/>
        </w:trPr>
        <w:tc>
          <w:tcPr>
            <w:tcW w:w="286" w:type="dxa"/>
          </w:tcPr>
          <w:p w14:paraId="6D93B823" w14:textId="77777777" w:rsidR="005318B8" w:rsidRPr="008A45E8" w:rsidRDefault="005318B8" w:rsidP="00E33D38">
            <w:pPr>
              <w:rPr>
                <w:rFonts w:ascii="Garamond" w:hAnsi="Garamond"/>
              </w:rPr>
            </w:pPr>
          </w:p>
        </w:tc>
        <w:tc>
          <w:tcPr>
            <w:tcW w:w="5924" w:type="dxa"/>
            <w:gridSpan w:val="2"/>
          </w:tcPr>
          <w:p w14:paraId="570C04EF" w14:textId="77777777" w:rsidR="005318B8" w:rsidRPr="00A27F37" w:rsidRDefault="005318B8" w:rsidP="00E33D38">
            <w:pPr>
              <w:rPr>
                <w:rFonts w:ascii="Garamond" w:hAnsi="Garamond"/>
              </w:rPr>
            </w:pPr>
            <w:r w:rsidRPr="00A27F37">
              <w:rPr>
                <w:rFonts w:ascii="Garamond" w:hAnsi="Garamond"/>
              </w:rPr>
              <w:t>Department of Economics</w:t>
            </w:r>
          </w:p>
        </w:tc>
        <w:tc>
          <w:tcPr>
            <w:tcW w:w="3168" w:type="dxa"/>
          </w:tcPr>
          <w:p w14:paraId="03262629" w14:textId="77777777" w:rsidR="005318B8" w:rsidRPr="008A45E8" w:rsidRDefault="005318B8" w:rsidP="00E33D38">
            <w:pPr>
              <w:rPr>
                <w:rFonts w:ascii="Garamond" w:hAnsi="Garamond"/>
              </w:rPr>
            </w:pPr>
            <w:r>
              <w:rPr>
                <w:rFonts w:ascii="Garamond" w:hAnsi="Garamond"/>
              </w:rPr>
              <w:t>Department of Economics</w:t>
            </w:r>
          </w:p>
        </w:tc>
      </w:tr>
      <w:tr w:rsidR="005318B8" w:rsidRPr="008A45E8" w14:paraId="4E1A4F77" w14:textId="77777777" w:rsidTr="00F1234E">
        <w:trPr>
          <w:gridBefore w:val="1"/>
          <w:gridAfter w:val="1"/>
          <w:wBefore w:w="180" w:type="dxa"/>
          <w:wAfter w:w="432" w:type="dxa"/>
          <w:trHeight w:val="258"/>
        </w:trPr>
        <w:tc>
          <w:tcPr>
            <w:tcW w:w="286" w:type="dxa"/>
          </w:tcPr>
          <w:p w14:paraId="39BD7F6B" w14:textId="77777777" w:rsidR="005318B8" w:rsidRPr="008A45E8" w:rsidRDefault="005318B8" w:rsidP="00E33D38">
            <w:pPr>
              <w:rPr>
                <w:rFonts w:ascii="Garamond" w:hAnsi="Garamond"/>
              </w:rPr>
            </w:pPr>
          </w:p>
        </w:tc>
        <w:tc>
          <w:tcPr>
            <w:tcW w:w="5924" w:type="dxa"/>
            <w:gridSpan w:val="2"/>
          </w:tcPr>
          <w:p w14:paraId="35CE1033" w14:textId="77777777" w:rsidR="005318B8" w:rsidRPr="00A27F37" w:rsidRDefault="005318B8" w:rsidP="00E33D38">
            <w:pPr>
              <w:rPr>
                <w:rFonts w:ascii="Garamond" w:hAnsi="Garamond"/>
              </w:rPr>
            </w:pPr>
            <w:r>
              <w:rPr>
                <w:rFonts w:ascii="Garamond" w:hAnsi="Garamond"/>
              </w:rPr>
              <w:t>University of Texas at Austin</w:t>
            </w:r>
          </w:p>
        </w:tc>
        <w:tc>
          <w:tcPr>
            <w:tcW w:w="3168" w:type="dxa"/>
          </w:tcPr>
          <w:p w14:paraId="3D5056AF" w14:textId="77777777" w:rsidR="005318B8" w:rsidRDefault="005318B8" w:rsidP="00E33D38">
            <w:pPr>
              <w:rPr>
                <w:rFonts w:ascii="Garamond" w:hAnsi="Garamond"/>
              </w:rPr>
            </w:pPr>
            <w:r>
              <w:rPr>
                <w:rFonts w:ascii="Garamond" w:hAnsi="Garamond"/>
              </w:rPr>
              <w:t>University of Texas at Austin</w:t>
            </w:r>
          </w:p>
        </w:tc>
      </w:tr>
      <w:tr w:rsidR="00653A00" w:rsidRPr="008A45E8" w14:paraId="207C8CA5" w14:textId="77777777" w:rsidTr="00F1234E">
        <w:trPr>
          <w:gridBefore w:val="1"/>
          <w:gridAfter w:val="1"/>
          <w:wBefore w:w="180" w:type="dxa"/>
          <w:wAfter w:w="432" w:type="dxa"/>
          <w:trHeight w:val="258"/>
        </w:trPr>
        <w:tc>
          <w:tcPr>
            <w:tcW w:w="286" w:type="dxa"/>
          </w:tcPr>
          <w:p w14:paraId="6267648A" w14:textId="77777777" w:rsidR="00653A00" w:rsidRPr="008A45E8" w:rsidRDefault="00653A00" w:rsidP="00653A00">
            <w:pPr>
              <w:rPr>
                <w:rFonts w:ascii="Garamond" w:hAnsi="Garamond"/>
              </w:rPr>
            </w:pPr>
          </w:p>
        </w:tc>
        <w:tc>
          <w:tcPr>
            <w:tcW w:w="5924" w:type="dxa"/>
            <w:gridSpan w:val="2"/>
          </w:tcPr>
          <w:p w14:paraId="3388F9F2" w14:textId="60601D94" w:rsidR="00653A00" w:rsidRPr="00A27F37" w:rsidRDefault="00653A00" w:rsidP="00653A00">
            <w:pPr>
              <w:rPr>
                <w:rFonts w:ascii="Garamond" w:hAnsi="Garamond"/>
              </w:rPr>
            </w:pPr>
            <w:r>
              <w:rPr>
                <w:rFonts w:ascii="Garamond" w:hAnsi="Garamond"/>
              </w:rPr>
              <w:t>512-475-8511</w:t>
            </w:r>
          </w:p>
        </w:tc>
        <w:tc>
          <w:tcPr>
            <w:tcW w:w="3168" w:type="dxa"/>
          </w:tcPr>
          <w:p w14:paraId="28E97D66" w14:textId="1616BFCE" w:rsidR="00653A00" w:rsidRPr="000F2299" w:rsidRDefault="00653A00" w:rsidP="00653A00">
            <w:pPr>
              <w:rPr>
                <w:rFonts w:ascii="Garamond" w:hAnsi="Garamond"/>
              </w:rPr>
            </w:pPr>
            <w:r>
              <w:rPr>
                <w:rFonts w:ascii="Garamond" w:hAnsi="Garamond"/>
              </w:rPr>
              <w:t>512-475-</w:t>
            </w:r>
            <w:r w:rsidR="00821C3E">
              <w:rPr>
                <w:rFonts w:ascii="Garamond" w:hAnsi="Garamond"/>
              </w:rPr>
              <w:t>8704</w:t>
            </w:r>
          </w:p>
        </w:tc>
      </w:tr>
      <w:tr w:rsidR="00653A00" w:rsidRPr="008A45E8" w14:paraId="6BB4117E" w14:textId="77777777" w:rsidTr="00F1234E">
        <w:trPr>
          <w:gridBefore w:val="1"/>
          <w:gridAfter w:val="1"/>
          <w:wBefore w:w="180" w:type="dxa"/>
          <w:wAfter w:w="432" w:type="dxa"/>
          <w:trHeight w:val="258"/>
        </w:trPr>
        <w:tc>
          <w:tcPr>
            <w:tcW w:w="286" w:type="dxa"/>
          </w:tcPr>
          <w:p w14:paraId="652C6091" w14:textId="77777777" w:rsidR="00653A00" w:rsidRPr="008A45E8" w:rsidRDefault="00653A00" w:rsidP="00653A00">
            <w:pPr>
              <w:rPr>
                <w:rFonts w:ascii="Garamond" w:hAnsi="Garamond"/>
              </w:rPr>
            </w:pPr>
          </w:p>
        </w:tc>
        <w:tc>
          <w:tcPr>
            <w:tcW w:w="5924" w:type="dxa"/>
            <w:gridSpan w:val="2"/>
          </w:tcPr>
          <w:p w14:paraId="72819794" w14:textId="3880AEC2" w:rsidR="00653A00" w:rsidRPr="00304AAF" w:rsidRDefault="00653A00" w:rsidP="00653A00">
            <w:r w:rsidRPr="00304AAF">
              <w:rPr>
                <w:rFonts w:ascii="Garamond" w:hAnsi="Garamond"/>
              </w:rPr>
              <w:t>mangeluc@utexas.edu</w:t>
            </w:r>
          </w:p>
        </w:tc>
        <w:tc>
          <w:tcPr>
            <w:tcW w:w="3168" w:type="dxa"/>
          </w:tcPr>
          <w:p w14:paraId="17FB0432" w14:textId="77777777" w:rsidR="00653A00" w:rsidRPr="00304AAF" w:rsidRDefault="00653A00" w:rsidP="00653A00">
            <w:pPr>
              <w:rPr>
                <w:rFonts w:ascii="Garamond" w:hAnsi="Garamond"/>
              </w:rPr>
            </w:pPr>
            <w:hyperlink r:id="rId7" w:history="1">
              <w:r w:rsidRPr="00304AAF">
                <w:rPr>
                  <w:rFonts w:ascii="Garamond" w:hAnsi="Garamond"/>
                </w:rPr>
                <w:t>mike.geruso@utexas.edu</w:t>
              </w:r>
            </w:hyperlink>
          </w:p>
          <w:p w14:paraId="70A10119" w14:textId="0FDA5D0F" w:rsidR="00653A00" w:rsidRPr="000F2299" w:rsidRDefault="00653A00" w:rsidP="00653A00">
            <w:pPr>
              <w:rPr>
                <w:rFonts w:ascii="Garamond" w:hAnsi="Garamond"/>
              </w:rPr>
            </w:pPr>
          </w:p>
        </w:tc>
      </w:tr>
      <w:tr w:rsidR="00653A00" w:rsidRPr="008A45E8" w14:paraId="2F7133EA" w14:textId="77777777" w:rsidTr="00F1234E">
        <w:trPr>
          <w:gridBefore w:val="1"/>
          <w:gridAfter w:val="1"/>
          <w:wBefore w:w="180" w:type="dxa"/>
          <w:wAfter w:w="432" w:type="dxa"/>
          <w:trHeight w:val="258"/>
        </w:trPr>
        <w:tc>
          <w:tcPr>
            <w:tcW w:w="286" w:type="dxa"/>
          </w:tcPr>
          <w:p w14:paraId="592BAFAC" w14:textId="77777777" w:rsidR="00653A00" w:rsidRPr="008A45E8" w:rsidRDefault="00653A00" w:rsidP="00653A00">
            <w:pPr>
              <w:rPr>
                <w:rFonts w:ascii="Garamond" w:hAnsi="Garamond"/>
              </w:rPr>
            </w:pPr>
          </w:p>
        </w:tc>
        <w:tc>
          <w:tcPr>
            <w:tcW w:w="5924" w:type="dxa"/>
            <w:gridSpan w:val="2"/>
          </w:tcPr>
          <w:p w14:paraId="7BFF2F59" w14:textId="77777777" w:rsidR="00653A00" w:rsidRPr="000F2299" w:rsidRDefault="00653A00" w:rsidP="00653A00">
            <w:pPr>
              <w:rPr>
                <w:rFonts w:ascii="Garamond" w:hAnsi="Garamond"/>
              </w:rPr>
            </w:pPr>
            <w:r>
              <w:rPr>
                <w:rFonts w:ascii="Garamond" w:hAnsi="Garamond"/>
              </w:rPr>
              <w:t>Scott Cunningham</w:t>
            </w:r>
            <w:r w:rsidRPr="000F2299">
              <w:rPr>
                <w:rFonts w:ascii="Garamond" w:hAnsi="Garamond"/>
              </w:rPr>
              <w:t xml:space="preserve"> </w:t>
            </w:r>
          </w:p>
        </w:tc>
        <w:tc>
          <w:tcPr>
            <w:tcW w:w="3168" w:type="dxa"/>
          </w:tcPr>
          <w:p w14:paraId="07C86FAF" w14:textId="77777777" w:rsidR="00653A00" w:rsidRPr="008A45E8" w:rsidRDefault="00653A00" w:rsidP="00653A00">
            <w:pPr>
              <w:rPr>
                <w:rFonts w:ascii="Garamond" w:hAnsi="Garamond"/>
              </w:rPr>
            </w:pPr>
          </w:p>
        </w:tc>
      </w:tr>
      <w:tr w:rsidR="00653A00" w:rsidRPr="008A45E8" w14:paraId="7AE68AAE" w14:textId="77777777" w:rsidTr="00F1234E">
        <w:trPr>
          <w:gridBefore w:val="1"/>
          <w:gridAfter w:val="1"/>
          <w:wBefore w:w="180" w:type="dxa"/>
          <w:wAfter w:w="432" w:type="dxa"/>
          <w:trHeight w:val="258"/>
        </w:trPr>
        <w:tc>
          <w:tcPr>
            <w:tcW w:w="286" w:type="dxa"/>
          </w:tcPr>
          <w:p w14:paraId="24E15959" w14:textId="77777777" w:rsidR="00653A00" w:rsidRPr="008A45E8" w:rsidRDefault="00653A00" w:rsidP="00653A00">
            <w:pPr>
              <w:rPr>
                <w:rFonts w:ascii="Garamond" w:hAnsi="Garamond"/>
              </w:rPr>
            </w:pPr>
          </w:p>
        </w:tc>
        <w:tc>
          <w:tcPr>
            <w:tcW w:w="5924" w:type="dxa"/>
            <w:gridSpan w:val="2"/>
          </w:tcPr>
          <w:p w14:paraId="742D6DCA" w14:textId="77777777" w:rsidR="00653A00" w:rsidRPr="000F2299" w:rsidRDefault="00653A00" w:rsidP="00653A00">
            <w:pPr>
              <w:rPr>
                <w:rFonts w:ascii="Garamond" w:hAnsi="Garamond"/>
              </w:rPr>
            </w:pPr>
            <w:r w:rsidRPr="000F2299">
              <w:rPr>
                <w:rFonts w:ascii="Garamond" w:hAnsi="Garamond"/>
              </w:rPr>
              <w:t xml:space="preserve">Department of </w:t>
            </w:r>
            <w:r>
              <w:rPr>
                <w:rFonts w:ascii="Garamond" w:hAnsi="Garamond"/>
              </w:rPr>
              <w:t>Economics</w:t>
            </w:r>
          </w:p>
        </w:tc>
        <w:tc>
          <w:tcPr>
            <w:tcW w:w="3168" w:type="dxa"/>
          </w:tcPr>
          <w:p w14:paraId="0DD9E302" w14:textId="77777777" w:rsidR="00653A00" w:rsidRPr="008A45E8" w:rsidRDefault="00653A00" w:rsidP="00653A00">
            <w:pPr>
              <w:rPr>
                <w:rFonts w:ascii="Garamond" w:hAnsi="Garamond"/>
              </w:rPr>
            </w:pPr>
          </w:p>
        </w:tc>
      </w:tr>
      <w:tr w:rsidR="00653A00" w:rsidRPr="008A45E8" w14:paraId="28DBFBD2" w14:textId="77777777" w:rsidTr="00F1234E">
        <w:trPr>
          <w:gridBefore w:val="1"/>
          <w:gridAfter w:val="1"/>
          <w:wBefore w:w="180" w:type="dxa"/>
          <w:wAfter w:w="432" w:type="dxa"/>
          <w:trHeight w:val="258"/>
        </w:trPr>
        <w:tc>
          <w:tcPr>
            <w:tcW w:w="286" w:type="dxa"/>
          </w:tcPr>
          <w:p w14:paraId="796335EF" w14:textId="77777777" w:rsidR="00653A00" w:rsidRPr="008A45E8" w:rsidRDefault="00653A00" w:rsidP="00653A00">
            <w:pPr>
              <w:rPr>
                <w:rFonts w:ascii="Garamond" w:hAnsi="Garamond"/>
              </w:rPr>
            </w:pPr>
          </w:p>
        </w:tc>
        <w:tc>
          <w:tcPr>
            <w:tcW w:w="5924" w:type="dxa"/>
            <w:gridSpan w:val="2"/>
          </w:tcPr>
          <w:p w14:paraId="6E19146C" w14:textId="77777777" w:rsidR="00653A00" w:rsidRPr="000F2299" w:rsidRDefault="00653A00" w:rsidP="00653A00">
            <w:pPr>
              <w:rPr>
                <w:rFonts w:ascii="Garamond" w:hAnsi="Garamond"/>
              </w:rPr>
            </w:pPr>
            <w:r>
              <w:rPr>
                <w:rFonts w:ascii="Garamond" w:hAnsi="Garamond"/>
              </w:rPr>
              <w:t>Baylor University</w:t>
            </w:r>
          </w:p>
        </w:tc>
        <w:tc>
          <w:tcPr>
            <w:tcW w:w="3168" w:type="dxa"/>
          </w:tcPr>
          <w:p w14:paraId="53316427" w14:textId="77777777" w:rsidR="00653A00" w:rsidRDefault="00653A00" w:rsidP="00653A00">
            <w:pPr>
              <w:rPr>
                <w:rFonts w:ascii="Garamond" w:hAnsi="Garamond"/>
              </w:rPr>
            </w:pPr>
          </w:p>
        </w:tc>
      </w:tr>
      <w:tr w:rsidR="00653A00" w:rsidRPr="008A45E8" w14:paraId="6E2D9A25" w14:textId="77777777" w:rsidTr="00F1234E">
        <w:trPr>
          <w:gridBefore w:val="1"/>
          <w:gridAfter w:val="1"/>
          <w:wBefore w:w="180" w:type="dxa"/>
          <w:wAfter w:w="432" w:type="dxa"/>
          <w:trHeight w:val="258"/>
        </w:trPr>
        <w:tc>
          <w:tcPr>
            <w:tcW w:w="286" w:type="dxa"/>
          </w:tcPr>
          <w:p w14:paraId="1A585DFD" w14:textId="77777777" w:rsidR="00653A00" w:rsidRPr="008A45E8" w:rsidRDefault="00653A00" w:rsidP="00653A00">
            <w:pPr>
              <w:rPr>
                <w:rFonts w:ascii="Garamond" w:hAnsi="Garamond"/>
              </w:rPr>
            </w:pPr>
          </w:p>
        </w:tc>
        <w:tc>
          <w:tcPr>
            <w:tcW w:w="5924" w:type="dxa"/>
            <w:gridSpan w:val="2"/>
          </w:tcPr>
          <w:p w14:paraId="4B1A7D50" w14:textId="3CEF5930" w:rsidR="00653A00" w:rsidRPr="000F2299" w:rsidRDefault="00653A00" w:rsidP="00653A00">
            <w:pPr>
              <w:rPr>
                <w:rFonts w:ascii="Garamond" w:hAnsi="Garamond"/>
              </w:rPr>
            </w:pPr>
            <w:r>
              <w:rPr>
                <w:rFonts w:ascii="Garamond" w:hAnsi="Garamond"/>
                <w:shd w:val="clear" w:color="auto" w:fill="FFFFFF"/>
              </w:rPr>
              <w:t>254-</w:t>
            </w:r>
            <w:r w:rsidR="00821C3E">
              <w:rPr>
                <w:rFonts w:ascii="Garamond" w:hAnsi="Garamond"/>
                <w:shd w:val="clear" w:color="auto" w:fill="FFFFFF"/>
              </w:rPr>
              <w:t>710</w:t>
            </w:r>
            <w:r>
              <w:rPr>
                <w:rFonts w:ascii="Garamond" w:hAnsi="Garamond"/>
                <w:shd w:val="clear" w:color="auto" w:fill="FFFFFF"/>
              </w:rPr>
              <w:t>-</w:t>
            </w:r>
            <w:r w:rsidR="00821C3E">
              <w:rPr>
                <w:rFonts w:ascii="Garamond" w:hAnsi="Garamond"/>
                <w:shd w:val="clear" w:color="auto" w:fill="FFFFFF"/>
              </w:rPr>
              <w:t>4753</w:t>
            </w:r>
          </w:p>
        </w:tc>
        <w:tc>
          <w:tcPr>
            <w:tcW w:w="3168" w:type="dxa"/>
          </w:tcPr>
          <w:p w14:paraId="52464E10" w14:textId="77777777" w:rsidR="00653A00" w:rsidRPr="008A45E8" w:rsidRDefault="00653A00" w:rsidP="00653A00">
            <w:pPr>
              <w:rPr>
                <w:rFonts w:ascii="Garamond" w:hAnsi="Garamond"/>
              </w:rPr>
            </w:pPr>
          </w:p>
        </w:tc>
      </w:tr>
      <w:tr w:rsidR="00653A00" w:rsidRPr="008A45E8" w14:paraId="0560FAF6" w14:textId="77777777" w:rsidTr="00F1234E">
        <w:trPr>
          <w:gridBefore w:val="1"/>
          <w:gridAfter w:val="1"/>
          <w:wBefore w:w="180" w:type="dxa"/>
          <w:wAfter w:w="432" w:type="dxa"/>
          <w:trHeight w:val="258"/>
        </w:trPr>
        <w:tc>
          <w:tcPr>
            <w:tcW w:w="286" w:type="dxa"/>
          </w:tcPr>
          <w:p w14:paraId="667F7194" w14:textId="77777777" w:rsidR="00653A00" w:rsidRPr="008A45E8" w:rsidRDefault="00653A00" w:rsidP="00653A00">
            <w:pPr>
              <w:rPr>
                <w:rFonts w:ascii="Garamond" w:hAnsi="Garamond"/>
              </w:rPr>
            </w:pPr>
          </w:p>
        </w:tc>
        <w:tc>
          <w:tcPr>
            <w:tcW w:w="5924" w:type="dxa"/>
            <w:gridSpan w:val="2"/>
          </w:tcPr>
          <w:p w14:paraId="42352996" w14:textId="77777777" w:rsidR="00653A00" w:rsidRPr="007836F0" w:rsidRDefault="00653A00" w:rsidP="00653A00">
            <w:pPr>
              <w:rPr>
                <w:rFonts w:ascii="Garamond" w:hAnsi="Garamond"/>
                <w:shd w:val="clear" w:color="auto" w:fill="FFFFFF"/>
              </w:rPr>
            </w:pPr>
            <w:hyperlink r:id="rId8" w:history="1">
              <w:r>
                <w:rPr>
                  <w:rFonts w:ascii="Garamond" w:hAnsi="Garamond"/>
                  <w:shd w:val="clear" w:color="auto" w:fill="FFFFFF"/>
                </w:rPr>
                <w:t>scott_cunningham@baylor.edu</w:t>
              </w:r>
            </w:hyperlink>
          </w:p>
        </w:tc>
        <w:tc>
          <w:tcPr>
            <w:tcW w:w="3168" w:type="dxa"/>
          </w:tcPr>
          <w:p w14:paraId="0C892BC6" w14:textId="77777777" w:rsidR="00653A00" w:rsidRPr="008A45E8" w:rsidRDefault="00653A00" w:rsidP="00653A00">
            <w:pPr>
              <w:rPr>
                <w:rFonts w:ascii="Garamond" w:hAnsi="Garamond"/>
              </w:rPr>
            </w:pPr>
          </w:p>
        </w:tc>
      </w:tr>
      <w:tr w:rsidR="00653A00" w:rsidRPr="008A45E8" w14:paraId="31C00D90" w14:textId="77777777" w:rsidTr="00F1234E">
        <w:trPr>
          <w:gridBefore w:val="1"/>
          <w:gridAfter w:val="1"/>
          <w:wBefore w:w="180" w:type="dxa"/>
          <w:wAfter w:w="432" w:type="dxa"/>
        </w:trPr>
        <w:tc>
          <w:tcPr>
            <w:tcW w:w="9378" w:type="dxa"/>
            <w:gridSpan w:val="4"/>
          </w:tcPr>
          <w:p w14:paraId="74887366" w14:textId="77777777" w:rsidR="00653A00" w:rsidRPr="00567366" w:rsidRDefault="00653A00" w:rsidP="00653A00">
            <w:pPr>
              <w:rPr>
                <w:rFonts w:ascii="Garamond" w:hAnsi="Garamond"/>
                <w:sz w:val="28"/>
                <w:szCs w:val="28"/>
              </w:rPr>
            </w:pPr>
          </w:p>
        </w:tc>
      </w:tr>
      <w:tr w:rsidR="00653A00" w:rsidRPr="007836F0" w14:paraId="0A9AD180" w14:textId="77777777" w:rsidTr="00F1234E">
        <w:trPr>
          <w:gridBefore w:val="1"/>
          <w:wBefore w:w="180" w:type="dxa"/>
        </w:trPr>
        <w:tc>
          <w:tcPr>
            <w:tcW w:w="9810" w:type="dxa"/>
            <w:gridSpan w:val="5"/>
          </w:tcPr>
          <w:p w14:paraId="11E1482E" w14:textId="6774B49A" w:rsidR="00653A00" w:rsidRPr="00D25563" w:rsidRDefault="00653A00" w:rsidP="00653A00">
            <w:pPr>
              <w:rPr>
                <w:rFonts w:ascii="Garamond" w:hAnsi="Garamond"/>
                <w:sz w:val="26"/>
                <w:szCs w:val="26"/>
              </w:rPr>
            </w:pPr>
            <w:r w:rsidRPr="00D25563">
              <w:rPr>
                <w:rFonts w:ascii="Garamond" w:hAnsi="Garamond"/>
                <w:sz w:val="26"/>
                <w:szCs w:val="26"/>
                <w:u w:val="single"/>
              </w:rPr>
              <w:t>T</w:t>
            </w:r>
            <w:r w:rsidRPr="00D25563">
              <w:rPr>
                <w:rFonts w:ascii="Garamond" w:hAnsi="Garamond"/>
                <w:bCs/>
                <w:smallCaps/>
                <w:sz w:val="26"/>
                <w:szCs w:val="26"/>
                <w:u w:val="single"/>
              </w:rPr>
              <w:t>eaching and Research Fields</w:t>
            </w:r>
          </w:p>
        </w:tc>
      </w:tr>
      <w:tr w:rsidR="00653A00" w:rsidRPr="00D25563" w14:paraId="451A85C1" w14:textId="77777777" w:rsidTr="00F1234E">
        <w:trPr>
          <w:gridBefore w:val="1"/>
          <w:wBefore w:w="180" w:type="dxa"/>
        </w:trPr>
        <w:tc>
          <w:tcPr>
            <w:tcW w:w="9810" w:type="dxa"/>
            <w:gridSpan w:val="5"/>
          </w:tcPr>
          <w:p w14:paraId="6E301174" w14:textId="77777777" w:rsidR="00653A00" w:rsidRPr="00D25563" w:rsidRDefault="00653A00" w:rsidP="00653A00">
            <w:pPr>
              <w:rPr>
                <w:rFonts w:ascii="Garamond" w:hAnsi="Garamond"/>
                <w:sz w:val="10"/>
                <w:szCs w:val="10"/>
                <w:u w:val="single"/>
              </w:rPr>
            </w:pPr>
          </w:p>
        </w:tc>
      </w:tr>
      <w:tr w:rsidR="00653A00" w:rsidRPr="008A45E8" w14:paraId="12C4DB61" w14:textId="77777777" w:rsidTr="00F1234E">
        <w:trPr>
          <w:gridBefore w:val="1"/>
          <w:wBefore w:w="180" w:type="dxa"/>
        </w:trPr>
        <w:tc>
          <w:tcPr>
            <w:tcW w:w="286" w:type="dxa"/>
          </w:tcPr>
          <w:p w14:paraId="7063C53C" w14:textId="77777777" w:rsidR="00653A00" w:rsidRPr="008A45E8" w:rsidRDefault="00653A00" w:rsidP="00653A00">
            <w:pPr>
              <w:rPr>
                <w:rFonts w:ascii="Garamond" w:hAnsi="Garamond"/>
              </w:rPr>
            </w:pPr>
          </w:p>
        </w:tc>
        <w:tc>
          <w:tcPr>
            <w:tcW w:w="9524" w:type="dxa"/>
            <w:gridSpan w:val="4"/>
          </w:tcPr>
          <w:p w14:paraId="3E926F4E" w14:textId="6589C896" w:rsidR="00653A00" w:rsidRPr="008A45E8" w:rsidRDefault="00653A00" w:rsidP="00653A00">
            <w:pPr>
              <w:rPr>
                <w:rFonts w:ascii="Garamond" w:hAnsi="Garamond"/>
              </w:rPr>
            </w:pPr>
            <w:r w:rsidRPr="001B6630">
              <w:rPr>
                <w:rFonts w:ascii="Garamond" w:hAnsi="Garamond"/>
                <w:b/>
              </w:rPr>
              <w:t>Fields</w:t>
            </w:r>
            <w:r>
              <w:rPr>
                <w:rFonts w:ascii="Garamond" w:hAnsi="Garamond"/>
                <w:b/>
              </w:rPr>
              <w:t>:</w:t>
            </w:r>
            <w:r w:rsidRPr="008A45E8">
              <w:rPr>
                <w:rFonts w:ascii="Garamond" w:hAnsi="Garamond"/>
              </w:rPr>
              <w:t xml:space="preserve"> </w:t>
            </w:r>
            <w:r>
              <w:rPr>
                <w:rFonts w:ascii="Garamond" w:hAnsi="Garamond"/>
              </w:rPr>
              <w:t>Labor Economics, Health Economics</w:t>
            </w:r>
          </w:p>
        </w:tc>
      </w:tr>
      <w:tr w:rsidR="00653A00" w:rsidRPr="008A45E8" w14:paraId="6E3122DB" w14:textId="77777777" w:rsidTr="00F1234E">
        <w:trPr>
          <w:gridBefore w:val="1"/>
          <w:wBefore w:w="180" w:type="dxa"/>
        </w:trPr>
        <w:tc>
          <w:tcPr>
            <w:tcW w:w="286" w:type="dxa"/>
          </w:tcPr>
          <w:p w14:paraId="779237BB" w14:textId="77777777" w:rsidR="00653A00" w:rsidRPr="008A45E8" w:rsidRDefault="00653A00" w:rsidP="00653A00">
            <w:pPr>
              <w:rPr>
                <w:rFonts w:ascii="Garamond" w:hAnsi="Garamond"/>
              </w:rPr>
            </w:pPr>
          </w:p>
        </w:tc>
        <w:tc>
          <w:tcPr>
            <w:tcW w:w="9524" w:type="dxa"/>
            <w:gridSpan w:val="4"/>
          </w:tcPr>
          <w:p w14:paraId="3F710748" w14:textId="104B123C" w:rsidR="00653A00" w:rsidRDefault="00653A00" w:rsidP="00653A00">
            <w:pPr>
              <w:rPr>
                <w:rFonts w:ascii="Garamond" w:hAnsi="Garamond"/>
              </w:rPr>
            </w:pPr>
            <w:r w:rsidRPr="001B6630">
              <w:rPr>
                <w:rFonts w:ascii="Garamond" w:hAnsi="Garamond"/>
                <w:b/>
              </w:rPr>
              <w:t>Sub-Fields:</w:t>
            </w:r>
            <w:r>
              <w:rPr>
                <w:rFonts w:ascii="Garamond" w:hAnsi="Garamond"/>
              </w:rPr>
              <w:t xml:space="preserve"> Environmental Economics</w:t>
            </w:r>
          </w:p>
        </w:tc>
      </w:tr>
      <w:tr w:rsidR="00653A00" w:rsidRPr="008A45E8" w14:paraId="608AE1FD" w14:textId="77777777" w:rsidTr="00F1234E">
        <w:trPr>
          <w:trHeight w:val="387"/>
        </w:trPr>
        <w:tc>
          <w:tcPr>
            <w:tcW w:w="9990" w:type="dxa"/>
            <w:gridSpan w:val="6"/>
          </w:tcPr>
          <w:p w14:paraId="1318C6CB" w14:textId="388F250D" w:rsidR="00653A00" w:rsidRDefault="00653A00" w:rsidP="00653A00">
            <w:pPr>
              <w:rPr>
                <w:rFonts w:ascii="Garamond" w:hAnsi="Garamond"/>
                <w:bCs/>
                <w:smallCaps/>
                <w:sz w:val="26"/>
                <w:szCs w:val="26"/>
                <w:u w:val="single"/>
              </w:rPr>
            </w:pPr>
          </w:p>
          <w:tbl>
            <w:tblPr>
              <w:tblW w:w="9328" w:type="dxa"/>
              <w:tblInd w:w="71" w:type="dxa"/>
              <w:tblLook w:val="01E0" w:firstRow="1" w:lastRow="1" w:firstColumn="1" w:lastColumn="1" w:noHBand="0" w:noVBand="0"/>
            </w:tblPr>
            <w:tblGrid>
              <w:gridCol w:w="236"/>
              <w:gridCol w:w="1583"/>
              <w:gridCol w:w="7488"/>
              <w:gridCol w:w="21"/>
            </w:tblGrid>
            <w:tr w:rsidR="00653A00" w:rsidRPr="00D25563" w14:paraId="04E64EB8" w14:textId="77777777" w:rsidTr="00B911B3">
              <w:trPr>
                <w:gridAfter w:val="1"/>
                <w:wAfter w:w="21" w:type="dxa"/>
              </w:trPr>
              <w:tc>
                <w:tcPr>
                  <w:tcW w:w="9307" w:type="dxa"/>
                  <w:gridSpan w:val="3"/>
                </w:tcPr>
                <w:p w14:paraId="76646792" w14:textId="77777777" w:rsidR="00653A00" w:rsidRPr="00D25563" w:rsidRDefault="00653A00" w:rsidP="00653A00">
                  <w:pPr>
                    <w:rPr>
                      <w:rFonts w:ascii="Garamond" w:hAnsi="Garamond"/>
                      <w:sz w:val="26"/>
                      <w:szCs w:val="26"/>
                      <w:u w:val="single"/>
                    </w:rPr>
                  </w:pPr>
                  <w:r w:rsidRPr="00D25563">
                    <w:rPr>
                      <w:rFonts w:ascii="Garamond" w:hAnsi="Garamond"/>
                      <w:bCs/>
                      <w:smallCaps/>
                      <w:sz w:val="26"/>
                      <w:szCs w:val="26"/>
                      <w:u w:val="single"/>
                    </w:rPr>
                    <w:t>Research Experience and Other Employment</w:t>
                  </w:r>
                </w:p>
              </w:tc>
            </w:tr>
            <w:tr w:rsidR="00653A00" w:rsidRPr="00D25563" w14:paraId="0445D5F3" w14:textId="77777777" w:rsidTr="00B911B3">
              <w:trPr>
                <w:gridAfter w:val="1"/>
                <w:wAfter w:w="21" w:type="dxa"/>
              </w:trPr>
              <w:tc>
                <w:tcPr>
                  <w:tcW w:w="9307" w:type="dxa"/>
                  <w:gridSpan w:val="3"/>
                </w:tcPr>
                <w:p w14:paraId="126693EE" w14:textId="77777777" w:rsidR="00653A00" w:rsidRPr="00D25563" w:rsidRDefault="00653A00" w:rsidP="00653A00">
                  <w:pPr>
                    <w:rPr>
                      <w:rFonts w:ascii="Garamond" w:hAnsi="Garamond"/>
                      <w:bCs/>
                      <w:smallCaps/>
                      <w:sz w:val="10"/>
                      <w:szCs w:val="10"/>
                      <w:u w:val="single"/>
                    </w:rPr>
                  </w:pPr>
                </w:p>
              </w:tc>
            </w:tr>
            <w:tr w:rsidR="00653A00" w:rsidRPr="000321A7" w14:paraId="26259F66" w14:textId="77777777" w:rsidTr="00B911B3">
              <w:tc>
                <w:tcPr>
                  <w:tcW w:w="236" w:type="dxa"/>
                </w:tcPr>
                <w:p w14:paraId="062D7F82" w14:textId="77777777" w:rsidR="00653A00" w:rsidRPr="008A45E8" w:rsidRDefault="00653A00" w:rsidP="00653A00">
                  <w:pPr>
                    <w:rPr>
                      <w:rFonts w:ascii="Garamond" w:hAnsi="Garamond"/>
                    </w:rPr>
                  </w:pPr>
                </w:p>
              </w:tc>
              <w:tc>
                <w:tcPr>
                  <w:tcW w:w="1583" w:type="dxa"/>
                </w:tcPr>
                <w:p w14:paraId="1A81427F" w14:textId="77777777" w:rsidR="00653A00" w:rsidRPr="008A45E8" w:rsidRDefault="00653A00" w:rsidP="00653A00">
                  <w:pPr>
                    <w:rPr>
                      <w:rFonts w:ascii="Garamond" w:hAnsi="Garamond"/>
                    </w:rPr>
                  </w:pPr>
                  <w:r>
                    <w:rPr>
                      <w:rFonts w:ascii="Garamond" w:hAnsi="Garamond"/>
                    </w:rPr>
                    <w:t>2011 – 2013</w:t>
                  </w:r>
                </w:p>
              </w:tc>
              <w:tc>
                <w:tcPr>
                  <w:tcW w:w="7509" w:type="dxa"/>
                  <w:gridSpan w:val="2"/>
                </w:tcPr>
                <w:p w14:paraId="6BE0B250" w14:textId="1DBF2C31" w:rsidR="00653A00" w:rsidRPr="000321A7" w:rsidRDefault="00653A00" w:rsidP="00653A00">
                  <w:pPr>
                    <w:rPr>
                      <w:rFonts w:ascii="Garamond" w:hAnsi="Garamond"/>
                      <w:iCs/>
                    </w:rPr>
                  </w:pPr>
                  <w:r>
                    <w:rPr>
                      <w:rFonts w:ascii="Garamond" w:hAnsi="Garamond"/>
                    </w:rPr>
                    <w:t xml:space="preserve">  </w:t>
                  </w:r>
                  <w:r w:rsidRPr="000321A7">
                    <w:rPr>
                      <w:rFonts w:ascii="Garamond" w:hAnsi="Garamond"/>
                    </w:rPr>
                    <w:t>Researcher, Taub Center for Social Policy Studies in Israel</w:t>
                  </w:r>
                </w:p>
              </w:tc>
            </w:tr>
            <w:tr w:rsidR="00653A00" w14:paraId="247E83F4" w14:textId="77777777" w:rsidTr="00B911B3">
              <w:tc>
                <w:tcPr>
                  <w:tcW w:w="236" w:type="dxa"/>
                </w:tcPr>
                <w:p w14:paraId="0C60DB1C" w14:textId="77777777" w:rsidR="00653A00" w:rsidRPr="008A45E8" w:rsidRDefault="00653A00" w:rsidP="00653A00">
                  <w:pPr>
                    <w:rPr>
                      <w:rFonts w:ascii="Garamond" w:hAnsi="Garamond"/>
                    </w:rPr>
                  </w:pPr>
                </w:p>
              </w:tc>
              <w:tc>
                <w:tcPr>
                  <w:tcW w:w="1583" w:type="dxa"/>
                </w:tcPr>
                <w:p w14:paraId="7AC2667C" w14:textId="77777777" w:rsidR="00653A00" w:rsidRDefault="00653A00" w:rsidP="00653A00">
                  <w:pPr>
                    <w:rPr>
                      <w:rFonts w:ascii="Garamond" w:hAnsi="Garamond"/>
                    </w:rPr>
                  </w:pPr>
                  <w:r>
                    <w:rPr>
                      <w:rFonts w:ascii="Garamond" w:hAnsi="Garamond"/>
                    </w:rPr>
                    <w:t>2009 – 2010</w:t>
                  </w:r>
                </w:p>
              </w:tc>
              <w:tc>
                <w:tcPr>
                  <w:tcW w:w="7509" w:type="dxa"/>
                  <w:gridSpan w:val="2"/>
                </w:tcPr>
                <w:p w14:paraId="0EE28E6C" w14:textId="3FD5E69A" w:rsidR="00653A00" w:rsidRDefault="00653A00" w:rsidP="00653A00">
                  <w:pPr>
                    <w:rPr>
                      <w:rFonts w:ascii="Garamond" w:hAnsi="Garamond"/>
                    </w:rPr>
                  </w:pPr>
                  <w:r>
                    <w:rPr>
                      <w:rFonts w:ascii="Garamond" w:hAnsi="Garamond"/>
                    </w:rPr>
                    <w:t xml:space="preserve">  </w:t>
                  </w:r>
                  <w:r w:rsidRPr="00413A40">
                    <w:rPr>
                      <w:rFonts w:ascii="Garamond" w:hAnsi="Garamond"/>
                    </w:rPr>
                    <w:t>Research Assistant</w:t>
                  </w:r>
                  <w:r>
                    <w:rPr>
                      <w:rFonts w:ascii="Garamond" w:hAnsi="Garamond"/>
                    </w:rPr>
                    <w:t xml:space="preserve"> for </w:t>
                  </w:r>
                  <w:r w:rsidRPr="00413A40">
                    <w:rPr>
                      <w:rFonts w:ascii="Garamond" w:hAnsi="Garamond"/>
                    </w:rPr>
                    <w:t>Dr. Dan Weiss, Tel-Aviv University</w:t>
                  </w:r>
                </w:p>
              </w:tc>
            </w:tr>
          </w:tbl>
          <w:p w14:paraId="4C4DD255" w14:textId="607F6A2A" w:rsidR="00653A00" w:rsidRDefault="00653A00" w:rsidP="00653A00">
            <w:pPr>
              <w:rPr>
                <w:rFonts w:ascii="Garamond" w:hAnsi="Garamond"/>
                <w:bCs/>
                <w:smallCaps/>
                <w:sz w:val="26"/>
                <w:szCs w:val="26"/>
                <w:u w:val="single"/>
              </w:rPr>
            </w:pPr>
          </w:p>
        </w:tc>
      </w:tr>
      <w:tr w:rsidR="00653A00" w:rsidRPr="008A45E8" w14:paraId="237D262F" w14:textId="77777777" w:rsidTr="00F1234E">
        <w:trPr>
          <w:gridBefore w:val="1"/>
          <w:wBefore w:w="180" w:type="dxa"/>
          <w:trHeight w:val="387"/>
        </w:trPr>
        <w:tc>
          <w:tcPr>
            <w:tcW w:w="9810" w:type="dxa"/>
            <w:gridSpan w:val="5"/>
          </w:tcPr>
          <w:p w14:paraId="1D09D1B9" w14:textId="77777777" w:rsidR="00653A00" w:rsidRDefault="00653A00" w:rsidP="00653A00">
            <w:pPr>
              <w:rPr>
                <w:rFonts w:ascii="Garamond" w:hAnsi="Garamond"/>
                <w:bCs/>
                <w:smallCaps/>
                <w:sz w:val="26"/>
                <w:szCs w:val="26"/>
                <w:u w:val="single"/>
              </w:rPr>
            </w:pPr>
          </w:p>
          <w:p w14:paraId="6E765037" w14:textId="2F42497B" w:rsidR="00653A00" w:rsidRPr="006E6D49" w:rsidRDefault="00653A00" w:rsidP="00653A00">
            <w:pPr>
              <w:rPr>
                <w:rFonts w:ascii="Garamond" w:hAnsi="Garamond"/>
                <w:bCs/>
                <w:smallCaps/>
                <w:sz w:val="26"/>
                <w:szCs w:val="26"/>
                <w:u w:val="single"/>
              </w:rPr>
            </w:pPr>
            <w:r>
              <w:rPr>
                <w:rFonts w:ascii="Garamond" w:hAnsi="Garamond"/>
                <w:bCs/>
                <w:smallCaps/>
                <w:sz w:val="26"/>
                <w:szCs w:val="26"/>
                <w:u w:val="single"/>
              </w:rPr>
              <w:t>Teaching Experience</w:t>
            </w:r>
          </w:p>
          <w:p w14:paraId="52A87429" w14:textId="72A197C1" w:rsidR="00653A00" w:rsidRPr="00FA502C" w:rsidRDefault="00653A00" w:rsidP="00653A00">
            <w:pPr>
              <w:rPr>
                <w:rFonts w:ascii="Garamond" w:hAnsi="Garamond"/>
                <w:bCs/>
                <w:smallCaps/>
                <w:sz w:val="26"/>
                <w:szCs w:val="26"/>
                <w:u w:val="single"/>
              </w:rPr>
            </w:pPr>
            <w:r w:rsidRPr="008462DB">
              <w:rPr>
                <w:rFonts w:ascii="Garamond" w:hAnsi="Garamond"/>
                <w:b/>
                <w:bCs/>
              </w:rPr>
              <w:t>Teaching Assistant</w:t>
            </w:r>
            <w:r w:rsidRPr="00FA502C">
              <w:rPr>
                <w:rFonts w:ascii="Garamond" w:hAnsi="Garamond"/>
              </w:rPr>
              <w:t>, University of Texas at Austin</w:t>
            </w:r>
          </w:p>
        </w:tc>
      </w:tr>
      <w:tr w:rsidR="00653A00" w:rsidRPr="00D25563" w14:paraId="7AFE0F85" w14:textId="77777777" w:rsidTr="00F1234E">
        <w:trPr>
          <w:gridBefore w:val="1"/>
          <w:wBefore w:w="180" w:type="dxa"/>
        </w:trPr>
        <w:tc>
          <w:tcPr>
            <w:tcW w:w="9810" w:type="dxa"/>
            <w:gridSpan w:val="5"/>
          </w:tcPr>
          <w:p w14:paraId="66EBB14F" w14:textId="77777777" w:rsidR="00653A00" w:rsidRPr="00D25563" w:rsidRDefault="00653A00" w:rsidP="00653A00">
            <w:pPr>
              <w:rPr>
                <w:rFonts w:ascii="Garamond" w:hAnsi="Garamond"/>
                <w:bCs/>
                <w:smallCaps/>
                <w:sz w:val="10"/>
                <w:szCs w:val="10"/>
                <w:u w:val="single"/>
              </w:rPr>
            </w:pPr>
          </w:p>
        </w:tc>
      </w:tr>
      <w:tr w:rsidR="00653A00" w:rsidRPr="008A45E8" w14:paraId="78DE014D" w14:textId="77777777" w:rsidTr="00F1234E">
        <w:trPr>
          <w:gridBefore w:val="1"/>
          <w:wBefore w:w="180" w:type="dxa"/>
        </w:trPr>
        <w:tc>
          <w:tcPr>
            <w:tcW w:w="286" w:type="dxa"/>
          </w:tcPr>
          <w:p w14:paraId="132E9206" w14:textId="77777777" w:rsidR="00653A00" w:rsidRPr="008A45E8" w:rsidRDefault="00653A00" w:rsidP="00653A00">
            <w:pPr>
              <w:rPr>
                <w:rFonts w:ascii="Garamond" w:hAnsi="Garamond"/>
              </w:rPr>
            </w:pPr>
          </w:p>
        </w:tc>
        <w:tc>
          <w:tcPr>
            <w:tcW w:w="1694" w:type="dxa"/>
          </w:tcPr>
          <w:p w14:paraId="7CA4A573" w14:textId="15A12C38" w:rsidR="00653A00" w:rsidRPr="008A45E8" w:rsidRDefault="00653A00" w:rsidP="00653A00">
            <w:pPr>
              <w:rPr>
                <w:rFonts w:ascii="Garamond" w:hAnsi="Garamond"/>
              </w:rPr>
            </w:pPr>
            <w:r>
              <w:rPr>
                <w:rFonts w:ascii="Garamond" w:hAnsi="Garamond"/>
              </w:rPr>
              <w:t>Fall 16, 17, 18</w:t>
            </w:r>
          </w:p>
        </w:tc>
        <w:tc>
          <w:tcPr>
            <w:tcW w:w="7830" w:type="dxa"/>
            <w:gridSpan w:val="3"/>
          </w:tcPr>
          <w:p w14:paraId="536C3299" w14:textId="78268FD3" w:rsidR="00653A00" w:rsidRPr="008A45E8" w:rsidRDefault="00653A00" w:rsidP="00653A00">
            <w:pPr>
              <w:ind w:right="-144"/>
              <w:rPr>
                <w:rFonts w:ascii="Garamond" w:hAnsi="Garamond"/>
              </w:rPr>
            </w:pPr>
            <w:r w:rsidRPr="00474E85">
              <w:rPr>
                <w:rFonts w:ascii="Garamond" w:hAnsi="Garamond"/>
              </w:rPr>
              <w:t>Microeconomics 1 (</w:t>
            </w:r>
            <w:r w:rsidRPr="00474E85">
              <w:rPr>
                <w:rFonts w:ascii="Garamond" w:hAnsi="Garamond"/>
                <w:i/>
                <w:iCs/>
              </w:rPr>
              <w:t>PhD</w:t>
            </w:r>
            <w:r w:rsidRPr="00474E85">
              <w:rPr>
                <w:rFonts w:ascii="Garamond" w:hAnsi="Garamond"/>
              </w:rPr>
              <w:t>)</w:t>
            </w:r>
            <w:r>
              <w:rPr>
                <w:rFonts w:ascii="Garamond" w:hAnsi="Garamond"/>
              </w:rPr>
              <w:t xml:space="preserve">, for Prof. </w:t>
            </w:r>
            <w:r w:rsidRPr="00474E85">
              <w:rPr>
                <w:rFonts w:ascii="Garamond" w:hAnsi="Garamond"/>
              </w:rPr>
              <w:t>Vasiliki Skret</w:t>
            </w:r>
            <w:r>
              <w:rPr>
                <w:rFonts w:ascii="Garamond" w:hAnsi="Garamond"/>
              </w:rPr>
              <w:t>a</w:t>
            </w:r>
            <w:r w:rsidRPr="00474E85">
              <w:rPr>
                <w:rFonts w:ascii="Garamond" w:hAnsi="Garamond"/>
              </w:rPr>
              <w:t xml:space="preserve"> and </w:t>
            </w:r>
            <w:r>
              <w:rPr>
                <w:rFonts w:ascii="Garamond" w:hAnsi="Garamond"/>
              </w:rPr>
              <w:t xml:space="preserve">Prof. </w:t>
            </w:r>
            <w:r w:rsidRPr="00474E85">
              <w:rPr>
                <w:rFonts w:ascii="Garamond" w:hAnsi="Garamond"/>
              </w:rPr>
              <w:t>Svetlana Boyarchenko</w:t>
            </w:r>
            <w:r>
              <w:rPr>
                <w:rFonts w:ascii="Garamond" w:hAnsi="Garamond"/>
              </w:rPr>
              <w:t xml:space="preserve">; </w:t>
            </w:r>
            <w:r w:rsidRPr="0088631D">
              <w:rPr>
                <w:rFonts w:ascii="Garamond" w:hAnsi="Garamond"/>
              </w:rPr>
              <w:t>4.7/5 | 4.8/5 |4.6/5</w:t>
            </w:r>
          </w:p>
        </w:tc>
      </w:tr>
      <w:tr w:rsidR="00653A00" w:rsidRPr="008A45E8" w14:paraId="069AEB23" w14:textId="77777777" w:rsidTr="00F1234E">
        <w:trPr>
          <w:gridBefore w:val="1"/>
          <w:wBefore w:w="180" w:type="dxa"/>
        </w:trPr>
        <w:tc>
          <w:tcPr>
            <w:tcW w:w="286" w:type="dxa"/>
          </w:tcPr>
          <w:p w14:paraId="3E1B0B7C" w14:textId="77777777" w:rsidR="00653A00" w:rsidRPr="008A45E8" w:rsidRDefault="00653A00" w:rsidP="00653A00">
            <w:pPr>
              <w:rPr>
                <w:rFonts w:ascii="Garamond" w:hAnsi="Garamond"/>
              </w:rPr>
            </w:pPr>
          </w:p>
        </w:tc>
        <w:tc>
          <w:tcPr>
            <w:tcW w:w="1694" w:type="dxa"/>
          </w:tcPr>
          <w:p w14:paraId="2E9465A5" w14:textId="46C62161" w:rsidR="00653A00" w:rsidRDefault="00653A00" w:rsidP="00653A00">
            <w:pPr>
              <w:rPr>
                <w:rFonts w:ascii="Garamond" w:hAnsi="Garamond"/>
              </w:rPr>
            </w:pPr>
            <w:r>
              <w:rPr>
                <w:rFonts w:ascii="Garamond" w:hAnsi="Garamond"/>
              </w:rPr>
              <w:t>Spring 20</w:t>
            </w:r>
          </w:p>
        </w:tc>
        <w:tc>
          <w:tcPr>
            <w:tcW w:w="7830" w:type="dxa"/>
            <w:gridSpan w:val="3"/>
          </w:tcPr>
          <w:p w14:paraId="0E0C3D5E" w14:textId="7A688051" w:rsidR="00653A00" w:rsidRPr="00474E85" w:rsidRDefault="00653A00" w:rsidP="00653A00">
            <w:pPr>
              <w:rPr>
                <w:rFonts w:ascii="Garamond" w:hAnsi="Garamond"/>
              </w:rPr>
            </w:pPr>
            <w:r>
              <w:rPr>
                <w:rFonts w:ascii="Garamond" w:hAnsi="Garamond"/>
              </w:rPr>
              <w:t>Causal Inference (</w:t>
            </w:r>
            <w:r>
              <w:rPr>
                <w:rFonts w:ascii="Garamond" w:hAnsi="Garamond"/>
                <w:i/>
                <w:iCs/>
              </w:rPr>
              <w:t xml:space="preserve">MA), </w:t>
            </w:r>
            <w:r>
              <w:rPr>
                <w:rFonts w:ascii="Garamond" w:hAnsi="Garamond"/>
              </w:rPr>
              <w:t>for Prof.</w:t>
            </w:r>
            <w:r>
              <w:rPr>
                <w:rFonts w:ascii="Garamond" w:hAnsi="Garamond"/>
                <w:i/>
                <w:iCs/>
              </w:rPr>
              <w:t xml:space="preserve"> </w:t>
            </w:r>
            <w:r>
              <w:rPr>
                <w:rFonts w:ascii="Garamond" w:hAnsi="Garamond"/>
              </w:rPr>
              <w:t>Scott Cunningham</w:t>
            </w:r>
          </w:p>
        </w:tc>
      </w:tr>
      <w:tr w:rsidR="00653A00" w:rsidRPr="008A45E8" w14:paraId="76EAE9BF" w14:textId="77777777" w:rsidTr="00F1234E">
        <w:trPr>
          <w:gridBefore w:val="1"/>
          <w:wBefore w:w="180" w:type="dxa"/>
        </w:trPr>
        <w:tc>
          <w:tcPr>
            <w:tcW w:w="286" w:type="dxa"/>
          </w:tcPr>
          <w:p w14:paraId="77E4F27C" w14:textId="77777777" w:rsidR="00653A00" w:rsidRPr="008A45E8" w:rsidRDefault="00653A00" w:rsidP="00653A00">
            <w:pPr>
              <w:rPr>
                <w:rFonts w:ascii="Garamond" w:hAnsi="Garamond"/>
              </w:rPr>
            </w:pPr>
          </w:p>
        </w:tc>
        <w:tc>
          <w:tcPr>
            <w:tcW w:w="1694" w:type="dxa"/>
          </w:tcPr>
          <w:p w14:paraId="253787A5" w14:textId="3870261D" w:rsidR="00653A00" w:rsidRPr="008A45E8" w:rsidRDefault="00653A00" w:rsidP="00653A00">
            <w:pPr>
              <w:rPr>
                <w:rFonts w:ascii="Garamond" w:hAnsi="Garamond"/>
              </w:rPr>
            </w:pPr>
            <w:r>
              <w:rPr>
                <w:rFonts w:ascii="Garamond" w:hAnsi="Garamond"/>
              </w:rPr>
              <w:t>Summer 19</w:t>
            </w:r>
          </w:p>
        </w:tc>
        <w:tc>
          <w:tcPr>
            <w:tcW w:w="7830" w:type="dxa"/>
            <w:gridSpan w:val="3"/>
          </w:tcPr>
          <w:p w14:paraId="5E5B7D83" w14:textId="160FAE92" w:rsidR="00653A00" w:rsidRPr="008A45E8" w:rsidRDefault="00653A00" w:rsidP="00653A00">
            <w:pPr>
              <w:rPr>
                <w:rFonts w:ascii="Garamond" w:hAnsi="Garamond"/>
              </w:rPr>
            </w:pPr>
            <w:r w:rsidRPr="00474E85">
              <w:rPr>
                <w:rFonts w:ascii="Garamond" w:hAnsi="Garamond"/>
              </w:rPr>
              <w:t>Microtheory for Business (</w:t>
            </w:r>
            <w:r>
              <w:rPr>
                <w:rFonts w:ascii="Garamond" w:hAnsi="Garamond"/>
                <w:i/>
                <w:iCs/>
              </w:rPr>
              <w:t>MA</w:t>
            </w:r>
            <w:r w:rsidRPr="00474E85">
              <w:rPr>
                <w:rFonts w:ascii="Garamond" w:hAnsi="Garamond"/>
              </w:rPr>
              <w:t>)</w:t>
            </w:r>
            <w:r>
              <w:rPr>
                <w:rFonts w:ascii="Garamond" w:hAnsi="Garamond"/>
              </w:rPr>
              <w:t xml:space="preserve">, </w:t>
            </w:r>
            <w:r w:rsidRPr="00474E85">
              <w:rPr>
                <w:rFonts w:ascii="Garamond" w:hAnsi="Garamond"/>
              </w:rPr>
              <w:t>for</w:t>
            </w:r>
            <w:r>
              <w:rPr>
                <w:rFonts w:ascii="Garamond" w:hAnsi="Garamond"/>
              </w:rPr>
              <w:t xml:space="preserve"> Prof.  </w:t>
            </w:r>
            <w:r w:rsidRPr="00474E85">
              <w:rPr>
                <w:rFonts w:ascii="Garamond" w:hAnsi="Garamond"/>
              </w:rPr>
              <w:t>John Thompson</w:t>
            </w:r>
            <w:r>
              <w:rPr>
                <w:rFonts w:ascii="Garamond" w:hAnsi="Garamond"/>
              </w:rPr>
              <w:t xml:space="preserve">; </w:t>
            </w:r>
            <w:r w:rsidRPr="0088631D">
              <w:rPr>
                <w:rFonts w:ascii="Garamond" w:hAnsi="Garamond"/>
              </w:rPr>
              <w:t>4.7/5</w:t>
            </w:r>
          </w:p>
        </w:tc>
      </w:tr>
      <w:tr w:rsidR="00653A00" w:rsidRPr="008A45E8" w14:paraId="11A33398" w14:textId="77777777" w:rsidTr="00F1234E">
        <w:trPr>
          <w:gridBefore w:val="1"/>
          <w:wBefore w:w="180" w:type="dxa"/>
        </w:trPr>
        <w:tc>
          <w:tcPr>
            <w:tcW w:w="286" w:type="dxa"/>
          </w:tcPr>
          <w:p w14:paraId="2D163874" w14:textId="77777777" w:rsidR="00653A00" w:rsidRPr="008A45E8" w:rsidRDefault="00653A00" w:rsidP="00653A00">
            <w:pPr>
              <w:rPr>
                <w:rFonts w:ascii="Garamond" w:hAnsi="Garamond"/>
              </w:rPr>
            </w:pPr>
          </w:p>
        </w:tc>
        <w:tc>
          <w:tcPr>
            <w:tcW w:w="1694" w:type="dxa"/>
          </w:tcPr>
          <w:p w14:paraId="48807B8E" w14:textId="4024F2BD" w:rsidR="00653A00" w:rsidRPr="008A45E8" w:rsidRDefault="00653A00" w:rsidP="00653A00">
            <w:pPr>
              <w:rPr>
                <w:rFonts w:ascii="Garamond" w:hAnsi="Garamond"/>
              </w:rPr>
            </w:pPr>
            <w:r>
              <w:rPr>
                <w:rFonts w:ascii="Garamond" w:hAnsi="Garamond"/>
              </w:rPr>
              <w:t>Spring 19</w:t>
            </w:r>
          </w:p>
        </w:tc>
        <w:tc>
          <w:tcPr>
            <w:tcW w:w="7830" w:type="dxa"/>
            <w:gridSpan w:val="3"/>
          </w:tcPr>
          <w:p w14:paraId="0410C005" w14:textId="41FB9A27" w:rsidR="00653A00" w:rsidRPr="008A45E8" w:rsidRDefault="00653A00" w:rsidP="00653A00">
            <w:pPr>
              <w:rPr>
                <w:rFonts w:ascii="Garamond" w:hAnsi="Garamond"/>
              </w:rPr>
            </w:pPr>
            <w:r>
              <w:rPr>
                <w:rFonts w:ascii="Garamond" w:hAnsi="Garamond"/>
              </w:rPr>
              <w:t xml:space="preserve">Public Economics, for Prof. Helen Schneider </w:t>
            </w:r>
          </w:p>
        </w:tc>
      </w:tr>
      <w:tr w:rsidR="00653A00" w:rsidRPr="008A45E8" w14:paraId="6197B967" w14:textId="77777777" w:rsidTr="00F1234E">
        <w:trPr>
          <w:gridBefore w:val="1"/>
          <w:wBefore w:w="180" w:type="dxa"/>
        </w:trPr>
        <w:tc>
          <w:tcPr>
            <w:tcW w:w="286" w:type="dxa"/>
          </w:tcPr>
          <w:p w14:paraId="3CFF1567" w14:textId="77777777" w:rsidR="00653A00" w:rsidRPr="008A45E8" w:rsidRDefault="00653A00" w:rsidP="00653A00">
            <w:pPr>
              <w:rPr>
                <w:rFonts w:ascii="Garamond" w:hAnsi="Garamond"/>
              </w:rPr>
            </w:pPr>
          </w:p>
        </w:tc>
        <w:tc>
          <w:tcPr>
            <w:tcW w:w="1694" w:type="dxa"/>
          </w:tcPr>
          <w:p w14:paraId="20E4D953" w14:textId="4005D836" w:rsidR="00653A00" w:rsidRPr="008A45E8" w:rsidRDefault="00653A00" w:rsidP="00653A00">
            <w:pPr>
              <w:rPr>
                <w:rFonts w:ascii="Garamond" w:hAnsi="Garamond"/>
              </w:rPr>
            </w:pPr>
            <w:r>
              <w:rPr>
                <w:rFonts w:ascii="Garamond" w:hAnsi="Garamond"/>
              </w:rPr>
              <w:t>Summer 18</w:t>
            </w:r>
          </w:p>
        </w:tc>
        <w:tc>
          <w:tcPr>
            <w:tcW w:w="7830" w:type="dxa"/>
            <w:gridSpan w:val="3"/>
          </w:tcPr>
          <w:p w14:paraId="067214E1" w14:textId="319BBA80" w:rsidR="00653A00" w:rsidRPr="008A45E8" w:rsidRDefault="00653A00" w:rsidP="00653A00">
            <w:pPr>
              <w:rPr>
                <w:rFonts w:ascii="Garamond" w:hAnsi="Garamond"/>
              </w:rPr>
            </w:pPr>
            <w:r>
              <w:rPr>
                <w:rFonts w:ascii="Garamond" w:hAnsi="Garamond"/>
              </w:rPr>
              <w:t>Comparative Economic Systems, for Prof. Brian Trinque</w:t>
            </w:r>
          </w:p>
        </w:tc>
      </w:tr>
      <w:tr w:rsidR="00653A00" w:rsidRPr="008A45E8" w14:paraId="2BEDC2CC" w14:textId="77777777" w:rsidTr="00F1234E">
        <w:trPr>
          <w:gridBefore w:val="1"/>
          <w:wBefore w:w="180" w:type="dxa"/>
        </w:trPr>
        <w:tc>
          <w:tcPr>
            <w:tcW w:w="286" w:type="dxa"/>
          </w:tcPr>
          <w:p w14:paraId="1C78B082" w14:textId="77777777" w:rsidR="00653A00" w:rsidRPr="008A45E8" w:rsidRDefault="00653A00" w:rsidP="00653A00">
            <w:pPr>
              <w:rPr>
                <w:rFonts w:ascii="Garamond" w:hAnsi="Garamond"/>
              </w:rPr>
            </w:pPr>
          </w:p>
        </w:tc>
        <w:tc>
          <w:tcPr>
            <w:tcW w:w="1694" w:type="dxa"/>
          </w:tcPr>
          <w:p w14:paraId="5D183C73" w14:textId="0D9AF380" w:rsidR="00653A00" w:rsidRDefault="00653A00" w:rsidP="00653A00">
            <w:pPr>
              <w:rPr>
                <w:rFonts w:ascii="Garamond" w:hAnsi="Garamond"/>
              </w:rPr>
            </w:pPr>
            <w:r>
              <w:rPr>
                <w:rFonts w:ascii="Garamond" w:hAnsi="Garamond"/>
              </w:rPr>
              <w:t>Spring 18</w:t>
            </w:r>
          </w:p>
        </w:tc>
        <w:tc>
          <w:tcPr>
            <w:tcW w:w="7830" w:type="dxa"/>
            <w:gridSpan w:val="3"/>
          </w:tcPr>
          <w:p w14:paraId="05D3DDB9" w14:textId="4A53E22D" w:rsidR="00653A00" w:rsidRDefault="00653A00" w:rsidP="00653A00">
            <w:pPr>
              <w:rPr>
                <w:rFonts w:ascii="Garamond" w:hAnsi="Garamond"/>
              </w:rPr>
            </w:pPr>
            <w:r>
              <w:rPr>
                <w:rFonts w:ascii="Garamond" w:hAnsi="Garamond"/>
              </w:rPr>
              <w:t>Urban Economics, for Prof. Devrim Ikizler</w:t>
            </w:r>
          </w:p>
        </w:tc>
      </w:tr>
      <w:tr w:rsidR="00653A00" w:rsidRPr="008A45E8" w14:paraId="7DB84B4D" w14:textId="77777777" w:rsidTr="00F1234E">
        <w:trPr>
          <w:gridBefore w:val="1"/>
          <w:wBefore w:w="180" w:type="dxa"/>
        </w:trPr>
        <w:tc>
          <w:tcPr>
            <w:tcW w:w="286" w:type="dxa"/>
          </w:tcPr>
          <w:p w14:paraId="1ED24525" w14:textId="77777777" w:rsidR="00653A00" w:rsidRPr="008A45E8" w:rsidRDefault="00653A00" w:rsidP="00653A00">
            <w:pPr>
              <w:rPr>
                <w:rFonts w:ascii="Garamond" w:hAnsi="Garamond"/>
              </w:rPr>
            </w:pPr>
          </w:p>
        </w:tc>
        <w:tc>
          <w:tcPr>
            <w:tcW w:w="1694" w:type="dxa"/>
          </w:tcPr>
          <w:p w14:paraId="03B368A6" w14:textId="2EEA9528" w:rsidR="00653A00" w:rsidRDefault="00653A00" w:rsidP="00653A00">
            <w:pPr>
              <w:rPr>
                <w:rFonts w:ascii="Garamond" w:hAnsi="Garamond"/>
              </w:rPr>
            </w:pPr>
            <w:r>
              <w:rPr>
                <w:rFonts w:ascii="Garamond" w:hAnsi="Garamond"/>
              </w:rPr>
              <w:t>Summer 16, 17</w:t>
            </w:r>
          </w:p>
        </w:tc>
        <w:tc>
          <w:tcPr>
            <w:tcW w:w="7830" w:type="dxa"/>
            <w:gridSpan w:val="3"/>
          </w:tcPr>
          <w:p w14:paraId="14C2515E" w14:textId="76293906" w:rsidR="00653A00" w:rsidRDefault="00653A00" w:rsidP="00653A00">
            <w:pPr>
              <w:rPr>
                <w:rFonts w:ascii="Garamond" w:hAnsi="Garamond"/>
              </w:rPr>
            </w:pPr>
            <w:r>
              <w:rPr>
                <w:rFonts w:ascii="Garamond" w:hAnsi="Garamond"/>
              </w:rPr>
              <w:t xml:space="preserve">Health Economics, for Prof. Helen Schneider </w:t>
            </w:r>
          </w:p>
        </w:tc>
      </w:tr>
      <w:tr w:rsidR="00653A00" w:rsidRPr="008A45E8" w14:paraId="6A79666A" w14:textId="77777777" w:rsidTr="00F1234E">
        <w:trPr>
          <w:gridBefore w:val="1"/>
          <w:wBefore w:w="180" w:type="dxa"/>
        </w:trPr>
        <w:tc>
          <w:tcPr>
            <w:tcW w:w="286" w:type="dxa"/>
          </w:tcPr>
          <w:p w14:paraId="24EC0850" w14:textId="77777777" w:rsidR="00653A00" w:rsidRPr="008A45E8" w:rsidRDefault="00653A00" w:rsidP="00653A00">
            <w:pPr>
              <w:rPr>
                <w:rFonts w:ascii="Garamond" w:hAnsi="Garamond"/>
              </w:rPr>
            </w:pPr>
          </w:p>
        </w:tc>
        <w:tc>
          <w:tcPr>
            <w:tcW w:w="1694" w:type="dxa"/>
          </w:tcPr>
          <w:p w14:paraId="0E079BD7" w14:textId="17925519" w:rsidR="00653A00" w:rsidRDefault="00653A00" w:rsidP="00653A00">
            <w:pPr>
              <w:rPr>
                <w:rFonts w:ascii="Garamond" w:hAnsi="Garamond"/>
              </w:rPr>
            </w:pPr>
            <w:r>
              <w:rPr>
                <w:rFonts w:ascii="Garamond" w:hAnsi="Garamond"/>
              </w:rPr>
              <w:t>Spring 16</w:t>
            </w:r>
          </w:p>
        </w:tc>
        <w:tc>
          <w:tcPr>
            <w:tcW w:w="7830" w:type="dxa"/>
            <w:gridSpan w:val="3"/>
          </w:tcPr>
          <w:p w14:paraId="54F2321D" w14:textId="407B3FBC" w:rsidR="00653A00" w:rsidRDefault="00653A00" w:rsidP="00653A00">
            <w:pPr>
              <w:rPr>
                <w:rFonts w:ascii="Garamond" w:hAnsi="Garamond"/>
              </w:rPr>
            </w:pPr>
            <w:r>
              <w:rPr>
                <w:rFonts w:ascii="Garamond" w:hAnsi="Garamond"/>
              </w:rPr>
              <w:t xml:space="preserve">Microeconomic Theory, for Prof. Wayne Hickenbottom; </w:t>
            </w:r>
            <w:r w:rsidRPr="0088631D">
              <w:rPr>
                <w:rFonts w:ascii="Garamond" w:hAnsi="Garamond"/>
              </w:rPr>
              <w:t>5/5 | 4.4/5 | 4.7/5</w:t>
            </w:r>
          </w:p>
        </w:tc>
      </w:tr>
      <w:tr w:rsidR="00653A00" w:rsidRPr="008A45E8" w14:paraId="639AE4FA" w14:textId="77777777" w:rsidTr="00F1234E">
        <w:trPr>
          <w:gridBefore w:val="1"/>
          <w:wBefore w:w="180" w:type="dxa"/>
          <w:trHeight w:val="61"/>
        </w:trPr>
        <w:tc>
          <w:tcPr>
            <w:tcW w:w="286" w:type="dxa"/>
          </w:tcPr>
          <w:p w14:paraId="15C41485" w14:textId="77777777" w:rsidR="00653A00" w:rsidRPr="008A45E8" w:rsidRDefault="00653A00" w:rsidP="00653A00">
            <w:pPr>
              <w:rPr>
                <w:rFonts w:ascii="Garamond" w:hAnsi="Garamond"/>
              </w:rPr>
            </w:pPr>
          </w:p>
        </w:tc>
        <w:tc>
          <w:tcPr>
            <w:tcW w:w="1694" w:type="dxa"/>
          </w:tcPr>
          <w:p w14:paraId="1E53FF58" w14:textId="29242258" w:rsidR="00653A00" w:rsidRDefault="00653A00" w:rsidP="00653A00">
            <w:pPr>
              <w:rPr>
                <w:rFonts w:ascii="Garamond" w:hAnsi="Garamond"/>
              </w:rPr>
            </w:pPr>
            <w:r>
              <w:rPr>
                <w:rFonts w:ascii="Garamond" w:hAnsi="Garamond"/>
              </w:rPr>
              <w:t>Fall 15</w:t>
            </w:r>
          </w:p>
        </w:tc>
        <w:tc>
          <w:tcPr>
            <w:tcW w:w="7830" w:type="dxa"/>
            <w:gridSpan w:val="3"/>
          </w:tcPr>
          <w:p w14:paraId="1777A252" w14:textId="3243488E" w:rsidR="00653A00" w:rsidRDefault="00653A00" w:rsidP="00653A00">
            <w:pPr>
              <w:rPr>
                <w:rFonts w:ascii="Garamond" w:hAnsi="Garamond"/>
              </w:rPr>
            </w:pPr>
            <w:r>
              <w:rPr>
                <w:rFonts w:ascii="Garamond" w:hAnsi="Garamond"/>
              </w:rPr>
              <w:t>Intro to Microeconomics, for Prof. Tom Weisman</w:t>
            </w:r>
          </w:p>
        </w:tc>
      </w:tr>
      <w:tr w:rsidR="00653A00" w:rsidRPr="008A45E8" w14:paraId="534905C4" w14:textId="77777777" w:rsidTr="00F1234E">
        <w:trPr>
          <w:gridBefore w:val="1"/>
          <w:wBefore w:w="180" w:type="dxa"/>
        </w:trPr>
        <w:tc>
          <w:tcPr>
            <w:tcW w:w="9810" w:type="dxa"/>
            <w:gridSpan w:val="5"/>
          </w:tcPr>
          <w:p w14:paraId="5A432CA7" w14:textId="40736DC3" w:rsidR="00653A00" w:rsidRPr="006E6D49" w:rsidRDefault="00653A00" w:rsidP="00653A00">
            <w:pPr>
              <w:rPr>
                <w:rFonts w:ascii="Garamond" w:hAnsi="Garamond"/>
                <w:sz w:val="18"/>
                <w:szCs w:val="18"/>
              </w:rPr>
            </w:pPr>
            <w:r w:rsidRPr="006E6D49">
              <w:rPr>
                <w:rFonts w:ascii="Garamond" w:hAnsi="Garamond"/>
                <w:sz w:val="18"/>
                <w:szCs w:val="18"/>
              </w:rPr>
              <w:lastRenderedPageBreak/>
              <w:t xml:space="preserve">* Numeric teaching evaluation scores detailed if weekly review sessions were held;  </w:t>
            </w:r>
            <w:r>
              <w:rPr>
                <w:rFonts w:ascii="Garamond" w:hAnsi="Garamond"/>
                <w:sz w:val="18"/>
                <w:szCs w:val="18"/>
              </w:rPr>
              <w:t>c</w:t>
            </w:r>
            <w:r w:rsidRPr="006E6D49">
              <w:rPr>
                <w:rFonts w:ascii="Garamond" w:hAnsi="Garamond"/>
                <w:sz w:val="18"/>
                <w:szCs w:val="18"/>
              </w:rPr>
              <w:t>omments are available on the website</w:t>
            </w:r>
          </w:p>
          <w:p w14:paraId="4F2A28F2" w14:textId="77777777" w:rsidR="00653A00" w:rsidRDefault="00653A00" w:rsidP="00653A00">
            <w:pPr>
              <w:rPr>
                <w:rFonts w:ascii="Garamond" w:hAnsi="Garamond"/>
                <w:bCs/>
                <w:smallCaps/>
                <w:sz w:val="26"/>
                <w:szCs w:val="26"/>
                <w:u w:val="single"/>
              </w:rPr>
            </w:pPr>
          </w:p>
          <w:p w14:paraId="5A3C384F" w14:textId="2B9B18BC" w:rsidR="00653A00" w:rsidRPr="00D25563" w:rsidRDefault="00653A00" w:rsidP="00653A00">
            <w:pPr>
              <w:rPr>
                <w:rFonts w:ascii="Garamond" w:hAnsi="Garamond"/>
                <w:bCs/>
                <w:smallCaps/>
                <w:sz w:val="26"/>
                <w:szCs w:val="26"/>
                <w:u w:val="single"/>
              </w:rPr>
            </w:pPr>
            <w:r w:rsidRPr="00D25563">
              <w:rPr>
                <w:rFonts w:ascii="Garamond" w:hAnsi="Garamond"/>
                <w:bCs/>
                <w:smallCaps/>
                <w:sz w:val="26"/>
                <w:szCs w:val="26"/>
                <w:u w:val="single"/>
              </w:rPr>
              <w:t>Professional Activities</w:t>
            </w:r>
          </w:p>
        </w:tc>
      </w:tr>
      <w:tr w:rsidR="00653A00" w:rsidRPr="00D25563" w14:paraId="5D218F75" w14:textId="77777777" w:rsidTr="00F1234E">
        <w:trPr>
          <w:gridBefore w:val="1"/>
          <w:wBefore w:w="180" w:type="dxa"/>
        </w:trPr>
        <w:tc>
          <w:tcPr>
            <w:tcW w:w="9810" w:type="dxa"/>
            <w:gridSpan w:val="5"/>
          </w:tcPr>
          <w:p w14:paraId="64AD083A" w14:textId="77777777" w:rsidR="00653A00" w:rsidRPr="00D25563" w:rsidRDefault="00653A00" w:rsidP="00653A00">
            <w:pPr>
              <w:rPr>
                <w:rFonts w:ascii="Garamond" w:hAnsi="Garamond"/>
                <w:bCs/>
                <w:smallCaps/>
                <w:sz w:val="10"/>
                <w:szCs w:val="10"/>
                <w:u w:val="single"/>
              </w:rPr>
            </w:pPr>
          </w:p>
        </w:tc>
      </w:tr>
      <w:tr w:rsidR="00653A00" w:rsidRPr="008A45E8" w14:paraId="2E3A3F4C" w14:textId="77777777" w:rsidTr="00F1234E">
        <w:trPr>
          <w:gridBefore w:val="1"/>
          <w:wBefore w:w="180" w:type="dxa"/>
        </w:trPr>
        <w:tc>
          <w:tcPr>
            <w:tcW w:w="9810" w:type="dxa"/>
            <w:gridSpan w:val="5"/>
          </w:tcPr>
          <w:p w14:paraId="143AA8A8" w14:textId="3020137C" w:rsidR="00653A00" w:rsidRPr="006A4284" w:rsidRDefault="00653A00" w:rsidP="00653A00">
            <w:pPr>
              <w:rPr>
                <w:rFonts w:ascii="Garamond" w:hAnsi="Garamond"/>
                <w:bCs/>
                <w:sz w:val="18"/>
                <w:szCs w:val="18"/>
              </w:rPr>
            </w:pPr>
            <w:r>
              <w:rPr>
                <w:rFonts w:ascii="Garamond" w:hAnsi="Garamond"/>
                <w:b/>
              </w:rPr>
              <w:t xml:space="preserve">Presentations at </w:t>
            </w:r>
            <w:r w:rsidRPr="001B6630">
              <w:rPr>
                <w:rFonts w:ascii="Garamond" w:hAnsi="Garamond"/>
                <w:b/>
              </w:rPr>
              <w:t>Con</w:t>
            </w:r>
            <w:r>
              <w:rPr>
                <w:rFonts w:ascii="Garamond" w:hAnsi="Garamond"/>
                <w:b/>
              </w:rPr>
              <w:t xml:space="preserve">ferences and Invited Seminars </w:t>
            </w:r>
            <w:r w:rsidRPr="006A4284">
              <w:rPr>
                <w:rFonts w:ascii="Garamond" w:hAnsi="Garamond"/>
                <w:bCs/>
                <w:sz w:val="18"/>
                <w:szCs w:val="18"/>
              </w:rPr>
              <w:t xml:space="preserve">* Scheduled, </w:t>
            </w:r>
            <w:r w:rsidRPr="006A4284">
              <w:rPr>
                <w:rFonts w:ascii="Tiro Bangla" w:hAnsi="Tiro Bangla" w:cs="Tiro Bangla"/>
                <w:bCs/>
                <w:sz w:val="18"/>
                <w:szCs w:val="18"/>
              </w:rPr>
              <w:t xml:space="preserve">† </w:t>
            </w:r>
            <w:r w:rsidRPr="006A4284">
              <w:rPr>
                <w:rFonts w:ascii="Garamond" w:hAnsi="Garamond"/>
                <w:bCs/>
                <w:sz w:val="18"/>
                <w:szCs w:val="18"/>
              </w:rPr>
              <w:t>Virtual</w:t>
            </w:r>
            <w:r w:rsidRPr="006A4284">
              <w:rPr>
                <w:rFonts w:ascii="Tiro Bangla" w:hAnsi="Tiro Bangla" w:cs="Tiro Bangla"/>
                <w:bCs/>
                <w:sz w:val="18"/>
                <w:szCs w:val="18"/>
              </w:rPr>
              <w:t xml:space="preserve">, </w:t>
            </w:r>
            <w:r w:rsidRPr="006A4284">
              <w:rPr>
                <w:rFonts w:ascii="Symbol" w:hAnsi="Symbol"/>
                <w:bCs/>
                <w:sz w:val="18"/>
                <w:szCs w:val="18"/>
              </w:rPr>
              <w:t>Y</w:t>
            </w:r>
            <w:r w:rsidRPr="006A4284">
              <w:rPr>
                <w:rFonts w:ascii="Symbol" w:hAnsi="Symbol" w:hint="cs"/>
                <w:bCs/>
                <w:sz w:val="18"/>
                <w:szCs w:val="18"/>
                <w:rtl/>
              </w:rPr>
              <w:t xml:space="preserve"> </w:t>
            </w:r>
            <w:r w:rsidRPr="006A4284">
              <w:rPr>
                <w:rFonts w:ascii="Garamond" w:hAnsi="Garamond"/>
                <w:bCs/>
                <w:sz w:val="18"/>
                <w:szCs w:val="18"/>
              </w:rPr>
              <w:t>Paper accepted; session cancelled</w:t>
            </w:r>
          </w:p>
          <w:p w14:paraId="3B840601" w14:textId="52A8AA53" w:rsidR="00653A00" w:rsidRPr="00E03A23" w:rsidRDefault="00653A00" w:rsidP="00653A00">
            <w:pPr>
              <w:rPr>
                <w:rFonts w:ascii="Garamond" w:hAnsi="Garamond"/>
                <w:b/>
              </w:rPr>
            </w:pPr>
            <w:r w:rsidRPr="00E03A23">
              <w:rPr>
                <w:rFonts w:ascii="Garamond" w:hAnsi="Garamond"/>
                <w:b/>
              </w:rPr>
              <w:t>2020</w:t>
            </w:r>
          </w:p>
          <w:p w14:paraId="0B17E4BA" w14:textId="0449BC19" w:rsidR="00653A00" w:rsidRDefault="00653A00" w:rsidP="00653A00">
            <w:pPr>
              <w:rPr>
                <w:rFonts w:ascii="Garamond" w:hAnsi="Garamond"/>
                <w:i/>
                <w:iCs/>
              </w:rPr>
            </w:pPr>
            <w:r w:rsidRPr="00B763A8">
              <w:rPr>
                <w:rFonts w:ascii="Garamond" w:hAnsi="Garamond"/>
                <w:sz w:val="20"/>
                <w:szCs w:val="20"/>
              </w:rPr>
              <w:t>*</w:t>
            </w:r>
            <w:r w:rsidRPr="00B763A8">
              <w:rPr>
                <w:rFonts w:ascii="Tiro Bangla" w:hAnsi="Tiro Bangla" w:cs="Tiro Bangla"/>
                <w:bCs/>
                <w:sz w:val="20"/>
                <w:szCs w:val="20"/>
              </w:rPr>
              <w:t>†</w:t>
            </w:r>
            <w:r>
              <w:rPr>
                <w:rFonts w:ascii="Tiro Bangla" w:hAnsi="Tiro Bangla" w:cs="Tiro Bangla"/>
                <w:bCs/>
              </w:rPr>
              <w:t xml:space="preserve"> </w:t>
            </w:r>
            <w:r>
              <w:rPr>
                <w:rFonts w:ascii="Garamond" w:hAnsi="Garamond"/>
              </w:rPr>
              <w:t xml:space="preserve">Triangle Health Economics Workshop at UNC: </w:t>
            </w:r>
            <w:r>
              <w:rPr>
                <w:rFonts w:ascii="Garamond" w:hAnsi="Garamond"/>
                <w:i/>
                <w:iCs/>
              </w:rPr>
              <w:t>“</w:t>
            </w:r>
            <w:proofErr w:type="spellStart"/>
            <w:r>
              <w:rPr>
                <w:rFonts w:ascii="Garamond" w:hAnsi="Garamond"/>
                <w:i/>
                <w:iCs/>
              </w:rPr>
              <w:t>PrEP</w:t>
            </w:r>
            <w:proofErr w:type="spellEnd"/>
            <w:r>
              <w:rPr>
                <w:rFonts w:ascii="Garamond" w:hAnsi="Garamond"/>
                <w:i/>
                <w:iCs/>
              </w:rPr>
              <w:t xml:space="preserve"> and Moral Hazard”</w:t>
            </w:r>
          </w:p>
          <w:p w14:paraId="70626085" w14:textId="77777777" w:rsidR="00653A00" w:rsidRDefault="00653A00" w:rsidP="00653A00">
            <w:pPr>
              <w:rPr>
                <w:rFonts w:ascii="Garamond" w:hAnsi="Garamond"/>
                <w:i/>
                <w:iCs/>
              </w:rPr>
            </w:pPr>
            <w:r w:rsidRPr="00B763A8">
              <w:rPr>
                <w:rFonts w:ascii="Garamond" w:hAnsi="Garamond"/>
                <w:sz w:val="20"/>
                <w:szCs w:val="20"/>
              </w:rPr>
              <w:t>*</w:t>
            </w:r>
            <w:r w:rsidRPr="00B763A8">
              <w:rPr>
                <w:rFonts w:ascii="Tiro Bangla" w:hAnsi="Tiro Bangla" w:cs="Tiro Bangla"/>
                <w:bCs/>
                <w:sz w:val="20"/>
                <w:szCs w:val="20"/>
              </w:rPr>
              <w:t>†</w:t>
            </w:r>
            <w:r>
              <w:rPr>
                <w:rFonts w:ascii="Tiro Bangla" w:hAnsi="Tiro Bangla" w:cs="Tiro Bangla"/>
                <w:bCs/>
              </w:rPr>
              <w:t xml:space="preserve"> </w:t>
            </w:r>
            <w:r>
              <w:rPr>
                <w:rFonts w:ascii="Garamond" w:hAnsi="Garamond"/>
              </w:rPr>
              <w:t>Southern Economic Association (SEA): “</w:t>
            </w:r>
            <w:r w:rsidRPr="00F6271F">
              <w:rPr>
                <w:rFonts w:ascii="Garamond" w:hAnsi="Garamond"/>
                <w:i/>
                <w:iCs/>
              </w:rPr>
              <w:t>Extreme Weather and Migration in The United States”</w:t>
            </w:r>
          </w:p>
          <w:p w14:paraId="53B1824B" w14:textId="77777777" w:rsidR="00653A00" w:rsidRPr="009E0815" w:rsidRDefault="00653A00" w:rsidP="00653A00">
            <w:pPr>
              <w:jc w:val="both"/>
              <w:rPr>
                <w:rFonts w:ascii="Garamond" w:hAnsi="Garamond"/>
                <w:i/>
                <w:iCs/>
              </w:rPr>
            </w:pPr>
            <w:r w:rsidRPr="00B763A8">
              <w:rPr>
                <w:rFonts w:ascii="Garamond" w:hAnsi="Garamond"/>
                <w:sz w:val="20"/>
                <w:szCs w:val="20"/>
              </w:rPr>
              <w:t>*</w:t>
            </w:r>
            <w:r w:rsidRPr="00B763A8">
              <w:rPr>
                <w:rFonts w:ascii="Tiro Bangla" w:hAnsi="Tiro Bangla" w:cs="Tiro Bangla"/>
                <w:bCs/>
                <w:sz w:val="20"/>
                <w:szCs w:val="20"/>
              </w:rPr>
              <w:t>†</w:t>
            </w:r>
            <w:r>
              <w:rPr>
                <w:rFonts w:ascii="Tiro Bangla" w:hAnsi="Tiro Bangla" w:cs="Tiro Bangla"/>
                <w:bCs/>
              </w:rPr>
              <w:t xml:space="preserve"> </w:t>
            </w:r>
            <w:r>
              <w:rPr>
                <w:rFonts w:ascii="Garamond" w:hAnsi="Garamond"/>
              </w:rPr>
              <w:t>National Tax Association (NTA): “</w:t>
            </w:r>
            <w:r w:rsidRPr="00F6271F">
              <w:rPr>
                <w:rFonts w:ascii="Garamond" w:hAnsi="Garamond"/>
                <w:i/>
                <w:iCs/>
              </w:rPr>
              <w:t>Extreme Weather and Migration in The United States”</w:t>
            </w:r>
            <w:r>
              <w:rPr>
                <w:rFonts w:ascii="Garamond" w:hAnsi="Garamond"/>
                <w:i/>
                <w:iCs/>
              </w:rPr>
              <w:t xml:space="preserve"> </w:t>
            </w:r>
            <w:r>
              <w:rPr>
                <w:rFonts w:ascii="Garamond" w:hAnsi="Garamond"/>
              </w:rPr>
              <w:t xml:space="preserve">and </w:t>
            </w:r>
            <w:r>
              <w:rPr>
                <w:rFonts w:ascii="Garamond" w:hAnsi="Garamond"/>
                <w:i/>
                <w:iCs/>
              </w:rPr>
              <w:t>“</w:t>
            </w:r>
            <w:proofErr w:type="spellStart"/>
            <w:r>
              <w:rPr>
                <w:rFonts w:ascii="Garamond" w:hAnsi="Garamond"/>
                <w:i/>
                <w:iCs/>
              </w:rPr>
              <w:t>PrEP</w:t>
            </w:r>
            <w:proofErr w:type="spellEnd"/>
            <w:r>
              <w:rPr>
                <w:rFonts w:ascii="Garamond" w:hAnsi="Garamond"/>
                <w:i/>
                <w:iCs/>
              </w:rPr>
              <w:t xml:space="preserve"> and Moral Hazard”</w:t>
            </w:r>
          </w:p>
          <w:p w14:paraId="1BC1AEFA" w14:textId="2CD73078" w:rsidR="00653A00" w:rsidRDefault="00653A00" w:rsidP="00653A00">
            <w:pPr>
              <w:rPr>
                <w:rFonts w:ascii="Garamond" w:hAnsi="Garamond"/>
                <w:i/>
                <w:iCs/>
              </w:rPr>
            </w:pPr>
            <w:r w:rsidRPr="00B763A8">
              <w:rPr>
                <w:rFonts w:ascii="Garamond" w:hAnsi="Garamond"/>
                <w:sz w:val="20"/>
                <w:szCs w:val="20"/>
              </w:rPr>
              <w:t>*</w:t>
            </w:r>
            <w:r w:rsidRPr="00B763A8">
              <w:rPr>
                <w:rFonts w:ascii="Tiro Bangla" w:hAnsi="Tiro Bangla" w:cs="Tiro Bangla"/>
                <w:bCs/>
                <w:sz w:val="20"/>
                <w:szCs w:val="20"/>
              </w:rPr>
              <w:t>†</w:t>
            </w:r>
            <w:r>
              <w:rPr>
                <w:rFonts w:ascii="Tiro Bangla" w:hAnsi="Tiro Bangla" w:cs="Tiro Bangla"/>
                <w:bCs/>
              </w:rPr>
              <w:t xml:space="preserve"> </w:t>
            </w:r>
            <w:r w:rsidRPr="00A74CFC">
              <w:rPr>
                <w:rFonts w:ascii="Garamond" w:hAnsi="Garamond"/>
              </w:rPr>
              <w:t xml:space="preserve">The American Economic Association Committee on the Status of LGBTQ+ Individuals in the Economics Profession (CSQIEP) </w:t>
            </w:r>
            <w:r>
              <w:rPr>
                <w:rFonts w:ascii="Garamond" w:hAnsi="Garamond"/>
              </w:rPr>
              <w:t>V</w:t>
            </w:r>
            <w:r w:rsidRPr="00A74CFC">
              <w:rPr>
                <w:rFonts w:ascii="Garamond" w:hAnsi="Garamond"/>
              </w:rPr>
              <w:t xml:space="preserve">irtual </w:t>
            </w:r>
            <w:r>
              <w:rPr>
                <w:rFonts w:ascii="Garamond" w:hAnsi="Garamond"/>
              </w:rPr>
              <w:t>S</w:t>
            </w:r>
            <w:r w:rsidRPr="00A74CFC">
              <w:rPr>
                <w:rFonts w:ascii="Garamond" w:hAnsi="Garamond"/>
              </w:rPr>
              <w:t xml:space="preserve">eminar </w:t>
            </w:r>
            <w:r>
              <w:rPr>
                <w:rFonts w:ascii="Garamond" w:hAnsi="Garamond"/>
              </w:rPr>
              <w:t>S</w:t>
            </w:r>
            <w:r w:rsidRPr="00A74CFC">
              <w:rPr>
                <w:rFonts w:ascii="Garamond" w:hAnsi="Garamond"/>
              </w:rPr>
              <w:t>eries</w:t>
            </w:r>
            <w:r>
              <w:rPr>
                <w:rFonts w:ascii="Garamond" w:hAnsi="Garamond"/>
              </w:rPr>
              <w:t>:</w:t>
            </w:r>
            <w:r w:rsidRPr="00A74CFC">
              <w:rPr>
                <w:rFonts w:ascii="Garamond" w:hAnsi="Garamond"/>
              </w:rPr>
              <w:t xml:space="preserve"> </w:t>
            </w:r>
            <w:r>
              <w:rPr>
                <w:rFonts w:ascii="Garamond" w:hAnsi="Garamond"/>
                <w:i/>
                <w:iCs/>
              </w:rPr>
              <w:t>“</w:t>
            </w:r>
            <w:proofErr w:type="spellStart"/>
            <w:r>
              <w:rPr>
                <w:rFonts w:ascii="Garamond" w:hAnsi="Garamond"/>
                <w:i/>
                <w:iCs/>
              </w:rPr>
              <w:t>PrEP</w:t>
            </w:r>
            <w:proofErr w:type="spellEnd"/>
            <w:r>
              <w:rPr>
                <w:rFonts w:ascii="Garamond" w:hAnsi="Garamond"/>
                <w:i/>
                <w:iCs/>
              </w:rPr>
              <w:t xml:space="preserve"> and Moral Hazard”</w:t>
            </w:r>
          </w:p>
          <w:p w14:paraId="566B3E2A" w14:textId="1C2C1345" w:rsidR="00653A00" w:rsidRDefault="00653A00" w:rsidP="00653A00">
            <w:pPr>
              <w:rPr>
                <w:rFonts w:ascii="Garamond" w:hAnsi="Garamond"/>
                <w:i/>
                <w:iCs/>
              </w:rPr>
            </w:pPr>
            <w:r w:rsidRPr="00017032">
              <w:rPr>
                <w:rFonts w:ascii="Symbol" w:hAnsi="Symbol"/>
                <w:bCs/>
                <w:sz w:val="20"/>
                <w:szCs w:val="20"/>
              </w:rPr>
              <w:t>Y</w:t>
            </w:r>
            <w:r>
              <w:rPr>
                <w:rFonts w:ascii="Garamond" w:hAnsi="Garamond"/>
              </w:rPr>
              <w:t xml:space="preserve"> American Society of Health Economists (</w:t>
            </w:r>
            <w:proofErr w:type="spellStart"/>
            <w:r>
              <w:rPr>
                <w:rFonts w:ascii="Garamond" w:hAnsi="Garamond"/>
              </w:rPr>
              <w:t>ASHEcon</w:t>
            </w:r>
            <w:proofErr w:type="spellEnd"/>
            <w:r>
              <w:rPr>
                <w:rFonts w:ascii="Garamond" w:hAnsi="Garamond"/>
              </w:rPr>
              <w:t xml:space="preserve">): </w:t>
            </w:r>
            <w:r>
              <w:rPr>
                <w:rFonts w:ascii="Garamond" w:hAnsi="Garamond"/>
                <w:i/>
                <w:iCs/>
              </w:rPr>
              <w:t>“</w:t>
            </w:r>
            <w:proofErr w:type="spellStart"/>
            <w:r>
              <w:rPr>
                <w:rFonts w:ascii="Garamond" w:hAnsi="Garamond"/>
                <w:i/>
                <w:iCs/>
              </w:rPr>
              <w:t>PrEP</w:t>
            </w:r>
            <w:proofErr w:type="spellEnd"/>
            <w:r>
              <w:rPr>
                <w:rFonts w:ascii="Garamond" w:hAnsi="Garamond"/>
                <w:i/>
                <w:iCs/>
              </w:rPr>
              <w:t xml:space="preserve"> and Moral Hazard”</w:t>
            </w:r>
          </w:p>
          <w:p w14:paraId="61EC0146" w14:textId="6EF419AA" w:rsidR="00653A00" w:rsidRDefault="00653A00" w:rsidP="00653A00">
            <w:pPr>
              <w:rPr>
                <w:rFonts w:ascii="Garamond" w:hAnsi="Garamond"/>
                <w:i/>
                <w:iCs/>
              </w:rPr>
            </w:pPr>
            <w:r w:rsidRPr="00017032">
              <w:rPr>
                <w:rFonts w:ascii="Symbol" w:hAnsi="Symbol"/>
                <w:bCs/>
                <w:sz w:val="20"/>
                <w:szCs w:val="20"/>
              </w:rPr>
              <w:t>Y</w:t>
            </w:r>
            <w:r>
              <w:rPr>
                <w:rFonts w:ascii="Garamond" w:hAnsi="Garamond"/>
              </w:rPr>
              <w:t xml:space="preserve"> Population Association of America (PAA): </w:t>
            </w:r>
            <w:r>
              <w:rPr>
                <w:rFonts w:ascii="Garamond" w:hAnsi="Garamond"/>
                <w:i/>
                <w:iCs/>
              </w:rPr>
              <w:t>“</w:t>
            </w:r>
            <w:proofErr w:type="spellStart"/>
            <w:r>
              <w:rPr>
                <w:rFonts w:ascii="Garamond" w:hAnsi="Garamond"/>
                <w:i/>
                <w:iCs/>
              </w:rPr>
              <w:t>PrEP</w:t>
            </w:r>
            <w:proofErr w:type="spellEnd"/>
            <w:r>
              <w:rPr>
                <w:rFonts w:ascii="Garamond" w:hAnsi="Garamond"/>
                <w:i/>
                <w:iCs/>
              </w:rPr>
              <w:t xml:space="preserve"> and Moral Hazard”</w:t>
            </w:r>
          </w:p>
          <w:p w14:paraId="657BDED3" w14:textId="25C241C0" w:rsidR="00653A00" w:rsidRPr="00E03A23" w:rsidRDefault="00653A00" w:rsidP="00653A00">
            <w:pPr>
              <w:rPr>
                <w:rFonts w:ascii="Garamond" w:hAnsi="Garamond"/>
                <w:b/>
              </w:rPr>
            </w:pPr>
            <w:r>
              <w:rPr>
                <w:rFonts w:ascii="Garamond" w:hAnsi="Garamond"/>
                <w:b/>
              </w:rPr>
              <w:t>2019</w:t>
            </w:r>
          </w:p>
          <w:p w14:paraId="58D251F0" w14:textId="2B328B96" w:rsidR="00653A00" w:rsidRDefault="00653A00" w:rsidP="00653A00">
            <w:pPr>
              <w:rPr>
                <w:rFonts w:ascii="Garamond" w:hAnsi="Garamond"/>
                <w:b/>
              </w:rPr>
            </w:pPr>
            <w:r>
              <w:rPr>
                <w:rFonts w:ascii="Garamond" w:hAnsi="Garamond"/>
              </w:rPr>
              <w:t xml:space="preserve">Texas Health Economics Conference at Baylor: </w:t>
            </w:r>
            <w:r>
              <w:rPr>
                <w:rFonts w:ascii="Garamond" w:hAnsi="Garamond"/>
                <w:i/>
                <w:iCs/>
              </w:rPr>
              <w:t>“</w:t>
            </w:r>
            <w:proofErr w:type="spellStart"/>
            <w:r>
              <w:rPr>
                <w:rFonts w:ascii="Garamond" w:hAnsi="Garamond"/>
                <w:i/>
                <w:iCs/>
              </w:rPr>
              <w:t>PrEP</w:t>
            </w:r>
            <w:proofErr w:type="spellEnd"/>
            <w:r>
              <w:rPr>
                <w:rFonts w:ascii="Garamond" w:hAnsi="Garamond"/>
                <w:i/>
                <w:iCs/>
              </w:rPr>
              <w:t xml:space="preserve"> and Moral Hazard”</w:t>
            </w:r>
          </w:p>
          <w:p w14:paraId="167F5706" w14:textId="2589890B" w:rsidR="00653A00" w:rsidRPr="00E03A23" w:rsidRDefault="00653A00" w:rsidP="00653A00">
            <w:pPr>
              <w:rPr>
                <w:rFonts w:ascii="Garamond" w:hAnsi="Garamond"/>
                <w:i/>
                <w:iCs/>
              </w:rPr>
            </w:pPr>
            <w:r>
              <w:rPr>
                <w:rFonts w:ascii="Garamond" w:hAnsi="Garamond"/>
              </w:rPr>
              <w:t xml:space="preserve">Southern Economic Association (SEA): </w:t>
            </w:r>
            <w:r>
              <w:rPr>
                <w:rFonts w:ascii="Garamond" w:hAnsi="Garamond"/>
                <w:i/>
                <w:iCs/>
              </w:rPr>
              <w:t>“</w:t>
            </w:r>
            <w:proofErr w:type="spellStart"/>
            <w:r>
              <w:rPr>
                <w:rFonts w:ascii="Garamond" w:hAnsi="Garamond"/>
                <w:i/>
                <w:iCs/>
              </w:rPr>
              <w:t>PrEP</w:t>
            </w:r>
            <w:proofErr w:type="spellEnd"/>
            <w:r>
              <w:rPr>
                <w:rFonts w:ascii="Garamond" w:hAnsi="Garamond"/>
                <w:i/>
                <w:iCs/>
              </w:rPr>
              <w:t xml:space="preserve"> and Moral Hazard”</w:t>
            </w:r>
          </w:p>
        </w:tc>
      </w:tr>
      <w:tr w:rsidR="00653A00" w:rsidRPr="008A45E8" w14:paraId="3CC41847" w14:textId="77777777" w:rsidTr="00F1234E">
        <w:trPr>
          <w:gridBefore w:val="1"/>
          <w:wBefore w:w="180" w:type="dxa"/>
        </w:trPr>
        <w:tc>
          <w:tcPr>
            <w:tcW w:w="9810" w:type="dxa"/>
            <w:gridSpan w:val="5"/>
          </w:tcPr>
          <w:p w14:paraId="6EE5B8A6" w14:textId="77777777" w:rsidR="00653A00" w:rsidRDefault="00653A00" w:rsidP="00653A00">
            <w:pPr>
              <w:rPr>
                <w:rFonts w:ascii="Garamond" w:hAnsi="Garamond"/>
                <w:bCs/>
                <w:smallCaps/>
                <w:sz w:val="26"/>
                <w:szCs w:val="26"/>
                <w:u w:val="single"/>
              </w:rPr>
            </w:pPr>
          </w:p>
          <w:p w14:paraId="47846283" w14:textId="1730BE60" w:rsidR="00653A00" w:rsidRPr="00D25563" w:rsidRDefault="00653A00" w:rsidP="00653A00">
            <w:pPr>
              <w:rPr>
                <w:rFonts w:ascii="Garamond" w:hAnsi="Garamond"/>
                <w:bCs/>
                <w:smallCaps/>
                <w:sz w:val="26"/>
                <w:szCs w:val="26"/>
              </w:rPr>
            </w:pPr>
            <w:r>
              <w:rPr>
                <w:rFonts w:ascii="Garamond" w:hAnsi="Garamond"/>
                <w:bCs/>
                <w:smallCaps/>
                <w:sz w:val="26"/>
                <w:szCs w:val="26"/>
                <w:u w:val="single"/>
              </w:rPr>
              <w:t>Working Papers</w:t>
            </w:r>
          </w:p>
        </w:tc>
      </w:tr>
      <w:tr w:rsidR="00653A00" w:rsidRPr="00567366" w14:paraId="6761639C" w14:textId="77777777" w:rsidTr="00F1234E">
        <w:trPr>
          <w:gridBefore w:val="1"/>
          <w:wBefore w:w="180" w:type="dxa"/>
        </w:trPr>
        <w:tc>
          <w:tcPr>
            <w:tcW w:w="9810" w:type="dxa"/>
            <w:gridSpan w:val="5"/>
          </w:tcPr>
          <w:p w14:paraId="5DB44253" w14:textId="77777777" w:rsidR="00653A00" w:rsidRPr="00567366" w:rsidRDefault="00653A00" w:rsidP="00653A00">
            <w:pPr>
              <w:rPr>
                <w:rFonts w:ascii="Garamond" w:hAnsi="Garamond"/>
                <w:b/>
                <w:sz w:val="10"/>
                <w:szCs w:val="10"/>
              </w:rPr>
            </w:pPr>
          </w:p>
        </w:tc>
      </w:tr>
      <w:tr w:rsidR="00653A00" w:rsidRPr="008A45E8" w14:paraId="51214E16" w14:textId="77777777" w:rsidTr="00F1234E">
        <w:trPr>
          <w:gridBefore w:val="1"/>
          <w:wBefore w:w="180" w:type="dxa"/>
          <w:trHeight w:val="61"/>
        </w:trPr>
        <w:tc>
          <w:tcPr>
            <w:tcW w:w="9810" w:type="dxa"/>
            <w:gridSpan w:val="5"/>
          </w:tcPr>
          <w:p w14:paraId="49E429B8" w14:textId="53AB669C" w:rsidR="00653A00" w:rsidRPr="00C85B16" w:rsidRDefault="00653A00" w:rsidP="00653A00">
            <w:pPr>
              <w:rPr>
                <w:rFonts w:ascii="Garamond" w:hAnsi="Garamond"/>
                <w:b/>
                <w:bCs/>
              </w:rPr>
            </w:pPr>
            <w:r w:rsidRPr="00C85B16">
              <w:rPr>
                <w:rFonts w:ascii="Garamond" w:hAnsi="Garamond"/>
                <w:b/>
                <w:bCs/>
              </w:rPr>
              <w:t>“Prep and Moral Hazard” (</w:t>
            </w:r>
            <w:r w:rsidRPr="00C85B16">
              <w:rPr>
                <w:rFonts w:ascii="Garamond" w:hAnsi="Garamond"/>
                <w:b/>
                <w:bCs/>
                <w:i/>
              </w:rPr>
              <w:t>Job Market Paper</w:t>
            </w:r>
            <w:r w:rsidRPr="00C85B16">
              <w:rPr>
                <w:rFonts w:ascii="Garamond" w:hAnsi="Garamond"/>
                <w:b/>
                <w:bCs/>
              </w:rPr>
              <w:t xml:space="preserve">) </w:t>
            </w:r>
            <w:r w:rsidRPr="00575CEE">
              <w:rPr>
                <w:rFonts w:ascii="Garamond" w:hAnsi="Garamond"/>
              </w:rPr>
              <w:t>with Scott Delhommer</w:t>
            </w:r>
          </w:p>
        </w:tc>
      </w:tr>
      <w:tr w:rsidR="00653A00" w:rsidRPr="008A45E8" w14:paraId="53D330D2" w14:textId="77777777" w:rsidTr="00F1234E">
        <w:trPr>
          <w:gridBefore w:val="1"/>
          <w:wBefore w:w="180" w:type="dxa"/>
          <w:trHeight w:val="61"/>
        </w:trPr>
        <w:tc>
          <w:tcPr>
            <w:tcW w:w="9810" w:type="dxa"/>
            <w:gridSpan w:val="5"/>
          </w:tcPr>
          <w:p w14:paraId="620E25F6" w14:textId="77777777" w:rsidR="00653A00" w:rsidRDefault="00653A00" w:rsidP="00653A00">
            <w:pPr>
              <w:rPr>
                <w:rFonts w:ascii="Garamond" w:hAnsi="Garamond"/>
              </w:rPr>
            </w:pPr>
          </w:p>
        </w:tc>
      </w:tr>
      <w:tr w:rsidR="00653A00" w:rsidRPr="0077335C" w14:paraId="51A90786" w14:textId="77777777" w:rsidTr="00F1234E">
        <w:trPr>
          <w:gridBefore w:val="1"/>
          <w:wBefore w:w="180" w:type="dxa"/>
        </w:trPr>
        <w:tc>
          <w:tcPr>
            <w:tcW w:w="9810" w:type="dxa"/>
            <w:gridSpan w:val="5"/>
          </w:tcPr>
          <w:p w14:paraId="05BD7E75" w14:textId="44BA4926" w:rsidR="00653A00" w:rsidRPr="00C37160" w:rsidRDefault="00653A00" w:rsidP="00653A00">
            <w:pPr>
              <w:ind w:left="288"/>
              <w:jc w:val="both"/>
              <w:rPr>
                <w:rFonts w:ascii="Garamond" w:hAnsi="Garamond"/>
                <w:sz w:val="20"/>
                <w:szCs w:val="20"/>
              </w:rPr>
            </w:pPr>
            <w:r w:rsidRPr="0077335C">
              <w:rPr>
                <w:rFonts w:ascii="Garamond" w:hAnsi="Garamond"/>
                <w:sz w:val="20"/>
                <w:szCs w:val="20"/>
              </w:rPr>
              <w:t xml:space="preserve">PrEP is a drug introduced in 2012 that reduces the risk of contracting HIV if exposed to the virus. Since its introduction, the drug has become popular amongst gay men, who are responsible for the majority of new HIV infections. Given the reduced risk of contracting HIV, men on PrEP might be more likely to engage in risky sexual behavior, specifically multiple sexual partners and non-protected sex; these might lead to increases in other STIs. In this paper, we examine this empirically, by applying several difference-in-difference analyses, comparing the evolution of STIs in states with different PrEP adoption rates and between men and women. In addition, we exploit cross-state variation in the gay male population before PrEP was introduced as a treatment intensity measure. We show that STI rates were parallel in high and low PrEP states before the introduction of </w:t>
            </w:r>
            <w:proofErr w:type="gramStart"/>
            <w:r w:rsidRPr="0077335C">
              <w:rPr>
                <w:rFonts w:ascii="Garamond" w:hAnsi="Garamond"/>
                <w:sz w:val="20"/>
                <w:szCs w:val="20"/>
              </w:rPr>
              <w:t>PrEP, but</w:t>
            </w:r>
            <w:proofErr w:type="gramEnd"/>
            <w:r w:rsidRPr="0077335C">
              <w:rPr>
                <w:rFonts w:ascii="Garamond" w:hAnsi="Garamond"/>
                <w:sz w:val="20"/>
                <w:szCs w:val="20"/>
              </w:rPr>
              <w:t xml:space="preserve"> began to diverge afterwards. We estimate that one additional male PrEP user increases male Chlamydia incidences by 0.73 and male Gonorrhea incidences by 0.83, a sizable effect. We also conduct back of the envelope calculations to estimate the costs associated with the additional STIs due to the introduction of PrEP and create a counterfactual distribution of STIs, estimating that male STI rates would have been </w:t>
            </w:r>
            <w:r>
              <w:rPr>
                <w:rFonts w:ascii="Garamond" w:hAnsi="Garamond"/>
                <w:sz w:val="20"/>
                <w:szCs w:val="20"/>
              </w:rPr>
              <w:t>7</w:t>
            </w:r>
            <w:r w:rsidRPr="0077335C">
              <w:rPr>
                <w:rFonts w:ascii="Garamond" w:hAnsi="Garamond"/>
                <w:sz w:val="20"/>
                <w:szCs w:val="20"/>
              </w:rPr>
              <w:t xml:space="preserve">% lower in the absence of </w:t>
            </w:r>
            <w:proofErr w:type="spellStart"/>
            <w:r w:rsidRPr="0077335C">
              <w:rPr>
                <w:rFonts w:ascii="Garamond" w:hAnsi="Garamond"/>
                <w:sz w:val="20"/>
                <w:szCs w:val="20"/>
              </w:rPr>
              <w:t>PrEP.</w:t>
            </w:r>
            <w:proofErr w:type="spellEnd"/>
            <w:r w:rsidRPr="0077335C">
              <w:rPr>
                <w:rFonts w:ascii="Garamond" w:hAnsi="Garamond"/>
                <w:sz w:val="20"/>
                <w:szCs w:val="20"/>
              </w:rPr>
              <w:t xml:space="preserve"> This informs an open question regarding the increases in STDs in recent years, as well as the unintended consequences of the rollout of a major drug.</w:t>
            </w:r>
          </w:p>
        </w:tc>
      </w:tr>
      <w:tr w:rsidR="00653A00" w:rsidRPr="008A45E8" w14:paraId="7B9D05DB" w14:textId="77777777" w:rsidTr="00F1234E">
        <w:trPr>
          <w:gridBefore w:val="1"/>
          <w:wBefore w:w="180" w:type="dxa"/>
        </w:trPr>
        <w:tc>
          <w:tcPr>
            <w:tcW w:w="9810" w:type="dxa"/>
            <w:gridSpan w:val="5"/>
          </w:tcPr>
          <w:p w14:paraId="5C928249" w14:textId="0E1109B6" w:rsidR="00653A00" w:rsidRPr="008A45E8" w:rsidRDefault="00653A00" w:rsidP="00653A00">
            <w:pPr>
              <w:rPr>
                <w:rFonts w:ascii="Garamond" w:hAnsi="Garamond"/>
              </w:rPr>
            </w:pPr>
          </w:p>
        </w:tc>
      </w:tr>
      <w:tr w:rsidR="00653A00" w:rsidRPr="008A45E8" w14:paraId="7A792B11" w14:textId="77777777" w:rsidTr="00F1234E">
        <w:trPr>
          <w:gridBefore w:val="1"/>
          <w:wBefore w:w="180" w:type="dxa"/>
        </w:trPr>
        <w:tc>
          <w:tcPr>
            <w:tcW w:w="9810" w:type="dxa"/>
            <w:gridSpan w:val="5"/>
          </w:tcPr>
          <w:p w14:paraId="51F68C82" w14:textId="7AEF7F38" w:rsidR="00653A00" w:rsidRPr="00C85B16" w:rsidRDefault="00653A00" w:rsidP="00653A00">
            <w:pPr>
              <w:rPr>
                <w:rFonts w:ascii="Garamond" w:hAnsi="Garamond"/>
                <w:b/>
                <w:bCs/>
              </w:rPr>
            </w:pPr>
            <w:r w:rsidRPr="00C85B16">
              <w:rPr>
                <w:rFonts w:ascii="Garamond" w:hAnsi="Garamond"/>
                <w:b/>
                <w:bCs/>
              </w:rPr>
              <w:t>“Extreme Weather and Migration in the United States”</w:t>
            </w:r>
          </w:p>
        </w:tc>
      </w:tr>
      <w:tr w:rsidR="00653A00" w:rsidRPr="008A45E8" w14:paraId="72E3891E" w14:textId="77777777" w:rsidTr="00F1234E">
        <w:trPr>
          <w:gridBefore w:val="1"/>
          <w:wBefore w:w="180" w:type="dxa"/>
        </w:trPr>
        <w:tc>
          <w:tcPr>
            <w:tcW w:w="9810" w:type="dxa"/>
            <w:gridSpan w:val="5"/>
          </w:tcPr>
          <w:p w14:paraId="15763532" w14:textId="77777777" w:rsidR="00653A00" w:rsidRPr="008A45E8" w:rsidRDefault="00653A00" w:rsidP="00653A00">
            <w:pPr>
              <w:rPr>
                <w:rFonts w:ascii="Garamond" w:hAnsi="Garamond"/>
              </w:rPr>
            </w:pPr>
          </w:p>
        </w:tc>
      </w:tr>
      <w:tr w:rsidR="00653A00" w:rsidRPr="005B22FA" w14:paraId="2CCCE24A" w14:textId="77777777" w:rsidTr="00F1234E">
        <w:trPr>
          <w:gridBefore w:val="1"/>
          <w:wBefore w:w="180" w:type="dxa"/>
        </w:trPr>
        <w:tc>
          <w:tcPr>
            <w:tcW w:w="9810" w:type="dxa"/>
            <w:gridSpan w:val="5"/>
          </w:tcPr>
          <w:p w14:paraId="1C24047D" w14:textId="37D768CF" w:rsidR="00653A00" w:rsidRPr="00991593" w:rsidRDefault="00653A00" w:rsidP="00653A00">
            <w:pPr>
              <w:widowControl w:val="0"/>
              <w:autoSpaceDE w:val="0"/>
              <w:autoSpaceDN w:val="0"/>
              <w:adjustRightInd w:val="0"/>
              <w:ind w:left="288"/>
              <w:jc w:val="both"/>
              <w:rPr>
                <w:rFonts w:ascii="Garamond" w:hAnsi="Garamond" w:cs="Times"/>
                <w:sz w:val="20"/>
                <w:szCs w:val="20"/>
              </w:rPr>
            </w:pPr>
            <w:r w:rsidRPr="005B22FA">
              <w:rPr>
                <w:rFonts w:ascii="Garamond" w:hAnsi="Garamond" w:cs="Times"/>
                <w:sz w:val="20"/>
                <w:szCs w:val="20"/>
              </w:rPr>
              <w:t>Extreme weather has become more frequent and intense over the past few decades. Its effect on various outcomes has been studied extensively in recent years, whereas its effect on migration in developed countries has been understudied. Given that the United States population has been historically highly mobile, direct and indirect effects of extreme weather could catalyze people to migrate. I test this empirically, following the approach of Deschenes and Greenstone (2011), by relating decade-to-decade variation in temperature, precipitation and natural disasters to net migration at the county level in the Unites States over 6 decades (1950-2010). I find that the relationship between temperature and net-migration exhibits an inverted U-shape, where decades in which the temperature was further away from the 50-60 temperature bin are associated with decreased net-migration; the effect is strongest at the extreme temperature bins. Specifically, one additional day in a year (averaged over a decade) with temperature above 90 decreases net migration by approximately 1.5 migrants per 100 population. Incidences of natural disasters and increased precipitation are also associated with decreased net-migration. I find that the effect is strongest for younger people, and I find no effect for old people. I also find that the magnitude of the relationship is not stronger for agriculture-dependent counties; urban counties seem to exhibit a slightly stronger relationship than rural counties. This result could be important as migration could be mitigating the detrimental effects of climate change. In addition, it suggests that future increase in extreme weather could entail a migration response that will have various implications on different markets, which should be taken into account when considering the general equilibrium effects of climate change.</w:t>
            </w:r>
            <w:r w:rsidRPr="00991593">
              <w:rPr>
                <w:rFonts w:ascii="Garamond" w:hAnsi="Garamond" w:cs="Times"/>
                <w:sz w:val="20"/>
                <w:szCs w:val="20"/>
              </w:rPr>
              <w:t xml:space="preserve"> </w:t>
            </w:r>
          </w:p>
        </w:tc>
      </w:tr>
      <w:tr w:rsidR="00653A00" w:rsidRPr="008A45E8" w14:paraId="6CECBAFC" w14:textId="77777777" w:rsidTr="00F1234E">
        <w:trPr>
          <w:gridBefore w:val="1"/>
          <w:wBefore w:w="180" w:type="dxa"/>
        </w:trPr>
        <w:tc>
          <w:tcPr>
            <w:tcW w:w="9810" w:type="dxa"/>
            <w:gridSpan w:val="5"/>
          </w:tcPr>
          <w:p w14:paraId="1E102874" w14:textId="2E794BCD" w:rsidR="00653A00" w:rsidRPr="008A45E8" w:rsidRDefault="00653A00" w:rsidP="00653A00">
            <w:pPr>
              <w:rPr>
                <w:rFonts w:ascii="Garamond" w:hAnsi="Garamond"/>
              </w:rPr>
            </w:pPr>
          </w:p>
        </w:tc>
      </w:tr>
      <w:tr w:rsidR="00653A00" w:rsidRPr="008A45E8" w14:paraId="16AE1939" w14:textId="77777777" w:rsidTr="00F1234E">
        <w:trPr>
          <w:gridBefore w:val="1"/>
          <w:wBefore w:w="180" w:type="dxa"/>
        </w:trPr>
        <w:tc>
          <w:tcPr>
            <w:tcW w:w="9810" w:type="dxa"/>
            <w:gridSpan w:val="5"/>
          </w:tcPr>
          <w:p w14:paraId="50CE5560" w14:textId="75002290" w:rsidR="00653A00" w:rsidRPr="00C85B16" w:rsidRDefault="00653A00" w:rsidP="00653A00">
            <w:pPr>
              <w:rPr>
                <w:rFonts w:ascii="Garamond" w:hAnsi="Garamond"/>
                <w:b/>
                <w:bCs/>
                <w:iCs/>
              </w:rPr>
            </w:pPr>
            <w:r w:rsidRPr="00C85B16">
              <w:rPr>
                <w:rFonts w:ascii="Garamond" w:hAnsi="Garamond"/>
                <w:b/>
                <w:bCs/>
                <w:iCs/>
              </w:rPr>
              <w:t>“The Fiscal Impact of Unrestrictive Immigration</w:t>
            </w:r>
            <w:r>
              <w:rPr>
                <w:rFonts w:ascii="Garamond" w:hAnsi="Garamond"/>
                <w:b/>
                <w:bCs/>
                <w:iCs/>
              </w:rPr>
              <w:t xml:space="preserve">: Evidence from </w:t>
            </w:r>
            <w:r w:rsidRPr="00C85B16">
              <w:rPr>
                <w:rFonts w:ascii="Garamond" w:hAnsi="Garamond"/>
                <w:b/>
                <w:bCs/>
                <w:iCs/>
              </w:rPr>
              <w:t>Israel”</w:t>
            </w:r>
          </w:p>
        </w:tc>
      </w:tr>
      <w:tr w:rsidR="00653A00" w:rsidRPr="008A45E8" w14:paraId="16822B1F" w14:textId="77777777" w:rsidTr="00F1234E">
        <w:trPr>
          <w:gridBefore w:val="1"/>
          <w:wBefore w:w="180" w:type="dxa"/>
        </w:trPr>
        <w:tc>
          <w:tcPr>
            <w:tcW w:w="9810" w:type="dxa"/>
            <w:gridSpan w:val="5"/>
          </w:tcPr>
          <w:p w14:paraId="300A4EEA" w14:textId="77777777" w:rsidR="00653A00" w:rsidRPr="008A45E8" w:rsidRDefault="00653A00" w:rsidP="00653A00">
            <w:pPr>
              <w:rPr>
                <w:rFonts w:ascii="Garamond" w:hAnsi="Garamond"/>
              </w:rPr>
            </w:pPr>
          </w:p>
        </w:tc>
      </w:tr>
      <w:tr w:rsidR="00653A00" w:rsidRPr="004432D8" w14:paraId="5F1CB7F5" w14:textId="77777777" w:rsidTr="00F1234E">
        <w:trPr>
          <w:gridBefore w:val="1"/>
          <w:wBefore w:w="180" w:type="dxa"/>
        </w:trPr>
        <w:tc>
          <w:tcPr>
            <w:tcW w:w="9810" w:type="dxa"/>
            <w:gridSpan w:val="5"/>
          </w:tcPr>
          <w:p w14:paraId="03CD4FFF" w14:textId="046811EC" w:rsidR="00653A00" w:rsidRDefault="00653A00" w:rsidP="00653A00">
            <w:pPr>
              <w:widowControl w:val="0"/>
              <w:autoSpaceDE w:val="0"/>
              <w:autoSpaceDN w:val="0"/>
              <w:adjustRightInd w:val="0"/>
              <w:ind w:left="288"/>
              <w:jc w:val="both"/>
              <w:rPr>
                <w:rFonts w:ascii="Garamond" w:hAnsi="Garamond" w:cs="Times"/>
                <w:sz w:val="20"/>
                <w:szCs w:val="20"/>
              </w:rPr>
            </w:pPr>
            <w:r w:rsidRPr="004432D8">
              <w:rPr>
                <w:rFonts w:ascii="Garamond" w:hAnsi="Garamond" w:cs="Times"/>
                <w:sz w:val="20"/>
                <w:szCs w:val="20"/>
              </w:rPr>
              <w:t xml:space="preserve">Israel had admitted more than a million immigrants following the collapse of the Soviet Union in 1990 to become a country with one the highest shares of foreign-born population (26%). Their impact on the labor market has garnered most attention, while their fiscal impact has been largely ignored. Using rich household income and expenditure data I estimate the tax contribution of each household, the benefits it receives and consequently its net fiscal impact. Overall, 100% of government revenues and expenditures are attributed to households, which obviates the need for assumptions pertaining to the differences between natives and immigrants, which are common in the literature. Furthermore, Israel's unique immigration policy, which allows individuals of Jewish origins unrestricted immigration, provides a case study for the potential fiscal impact of an open border policy. I estimate that the net fiscal impact of immigrants is markedly negative. Immigrants received </w:t>
            </w:r>
            <w:r w:rsidRPr="004432D8">
              <w:rPr>
                <w:rFonts w:hint="cs"/>
                <w:sz w:val="20"/>
                <w:szCs w:val="20"/>
                <w:rtl/>
              </w:rPr>
              <w:t>₪</w:t>
            </w:r>
            <w:r w:rsidRPr="004432D8">
              <w:rPr>
                <w:rFonts w:ascii="Garamond" w:hAnsi="Garamond" w:cs="Times"/>
                <w:sz w:val="20"/>
                <w:szCs w:val="20"/>
                <w:rtl/>
              </w:rPr>
              <w:t>25</w:t>
            </w:r>
            <w:r w:rsidRPr="004432D8">
              <w:rPr>
                <w:rFonts w:ascii="Garamond" w:hAnsi="Garamond" w:cs="Times"/>
                <w:sz w:val="20"/>
                <w:szCs w:val="20"/>
              </w:rPr>
              <w:t>,063 million (~$7 Billion) more in benefits than they contributed in taxes and fees; this amounts to approximately 2.9% of GDP, considerably higher than the figures reported in the literature. While immigrants fare considerably worse than natives, their descendants, i.e. the second generation, fare much better than natives. The net fiscal impact was driven by significant variation in contributions between the population groups, while the distribution of benefits was much more equal. I also find that immigrants' returns to education are lower, which accentuates the differences between the net fiscal impact of immigrants and natives as the education level increases.</w:t>
            </w:r>
          </w:p>
          <w:p w14:paraId="0B5F3862" w14:textId="77777777" w:rsidR="00653A00" w:rsidRDefault="00653A00" w:rsidP="00653A00">
            <w:pPr>
              <w:widowControl w:val="0"/>
              <w:autoSpaceDE w:val="0"/>
              <w:autoSpaceDN w:val="0"/>
              <w:adjustRightInd w:val="0"/>
              <w:ind w:left="288"/>
              <w:jc w:val="both"/>
              <w:rPr>
                <w:rFonts w:ascii="Garamond" w:hAnsi="Garamond" w:cs="Times"/>
                <w:sz w:val="20"/>
                <w:szCs w:val="20"/>
              </w:rPr>
            </w:pPr>
          </w:p>
          <w:p w14:paraId="6E84196B" w14:textId="77777777" w:rsidR="00653A00" w:rsidRPr="00C85B16" w:rsidRDefault="00653A00" w:rsidP="00653A00">
            <w:pPr>
              <w:widowControl w:val="0"/>
              <w:autoSpaceDE w:val="0"/>
              <w:autoSpaceDN w:val="0"/>
              <w:adjustRightInd w:val="0"/>
              <w:jc w:val="both"/>
              <w:rPr>
                <w:rFonts w:ascii="Garamond" w:hAnsi="Garamond"/>
                <w:b/>
                <w:bCs/>
                <w:iCs/>
              </w:rPr>
            </w:pPr>
            <w:r w:rsidRPr="00C85B16">
              <w:rPr>
                <w:rFonts w:ascii="Garamond" w:hAnsi="Garamond"/>
                <w:b/>
                <w:bCs/>
                <w:iCs/>
              </w:rPr>
              <w:t>“The Effect of Child Allowances on Labor Outcomes”</w:t>
            </w:r>
          </w:p>
          <w:p w14:paraId="6F72A9A2" w14:textId="77777777" w:rsidR="00653A00" w:rsidRDefault="00653A00" w:rsidP="00653A00">
            <w:pPr>
              <w:widowControl w:val="0"/>
              <w:autoSpaceDE w:val="0"/>
              <w:autoSpaceDN w:val="0"/>
              <w:adjustRightInd w:val="0"/>
              <w:ind w:left="288"/>
              <w:jc w:val="both"/>
              <w:rPr>
                <w:rFonts w:ascii="Garamond" w:hAnsi="Garamond" w:cs="Times"/>
                <w:sz w:val="20"/>
                <w:szCs w:val="20"/>
              </w:rPr>
            </w:pPr>
          </w:p>
          <w:p w14:paraId="1ABCFC03" w14:textId="13CE6E6F" w:rsidR="00653A00" w:rsidRPr="00FD4B80" w:rsidRDefault="00653A00" w:rsidP="00653A00">
            <w:pPr>
              <w:widowControl w:val="0"/>
              <w:autoSpaceDE w:val="0"/>
              <w:autoSpaceDN w:val="0"/>
              <w:adjustRightInd w:val="0"/>
              <w:ind w:left="288"/>
              <w:jc w:val="both"/>
              <w:rPr>
                <w:rFonts w:ascii="Garamond" w:hAnsi="Garamond" w:cs="Times"/>
                <w:sz w:val="20"/>
                <w:szCs w:val="20"/>
              </w:rPr>
            </w:pPr>
            <w:r w:rsidRPr="004432D8">
              <w:rPr>
                <w:rFonts w:ascii="Garamond" w:hAnsi="Garamond" w:cs="Times"/>
                <w:sz w:val="20"/>
                <w:szCs w:val="20"/>
              </w:rPr>
              <w:t>Most developed countries provide some sort of benefits to families with children; in Europe specifically, benefits in the form of child allowances are prevalent. In Israel, child allowances are generous in both eligibility and value and are one of the largest social welfare programs. Although prevalent in developed countries, research on the effect of universal child allowances on labor outcomes has been scarce. I am to fill this gap by examining the effect on labor outcomes of a policy that drastically reduced child allowances in Israel during the years 2002-2005 in varying degrees of intensity, depending on parity. Employing several difference-in-differences analyses, I find that the policy increased the labor force participation of young women by 6.6% from baseline, whereas I do not find an effect on working hours. I also find that younger and more educated women were more responsive. Estimating the effect of the change in child allowances on labor outcomes might inform policy makers in designing cash transfer programs in general and child benefits programs in particular.</w:t>
            </w:r>
          </w:p>
        </w:tc>
      </w:tr>
      <w:tr w:rsidR="00653A00" w:rsidRPr="008A45E8" w14:paraId="462E95D9" w14:textId="77777777" w:rsidTr="00F1234E">
        <w:trPr>
          <w:gridBefore w:val="1"/>
          <w:wBefore w:w="180" w:type="dxa"/>
        </w:trPr>
        <w:tc>
          <w:tcPr>
            <w:tcW w:w="9810" w:type="dxa"/>
            <w:gridSpan w:val="5"/>
          </w:tcPr>
          <w:p w14:paraId="6BCA2D09" w14:textId="34A7838B" w:rsidR="00653A00" w:rsidRPr="000E4785" w:rsidRDefault="00653A00" w:rsidP="00653A00">
            <w:pPr>
              <w:rPr>
                <w:rFonts w:ascii="Garamond" w:hAnsi="Garamond"/>
                <w:b/>
                <w:sz w:val="28"/>
                <w:szCs w:val="28"/>
              </w:rPr>
            </w:pPr>
          </w:p>
        </w:tc>
      </w:tr>
      <w:tr w:rsidR="00653A00" w:rsidRPr="008A45E8" w14:paraId="4B4E87CB" w14:textId="77777777" w:rsidTr="00F1234E">
        <w:trPr>
          <w:gridBefore w:val="1"/>
          <w:wBefore w:w="180" w:type="dxa"/>
        </w:trPr>
        <w:tc>
          <w:tcPr>
            <w:tcW w:w="9810" w:type="dxa"/>
            <w:gridSpan w:val="5"/>
          </w:tcPr>
          <w:p w14:paraId="7C0E4A8A" w14:textId="141BDEA5" w:rsidR="00653A00" w:rsidRPr="001B6630" w:rsidRDefault="00653A00" w:rsidP="00653A00">
            <w:pPr>
              <w:rPr>
                <w:rFonts w:ascii="Garamond" w:hAnsi="Garamond"/>
                <w:b/>
              </w:rPr>
            </w:pPr>
            <w:r>
              <w:rPr>
                <w:rFonts w:ascii="Garamond" w:hAnsi="Garamond"/>
                <w:bCs/>
                <w:smallCaps/>
                <w:sz w:val="26"/>
                <w:szCs w:val="26"/>
                <w:u w:val="single"/>
              </w:rPr>
              <w:t xml:space="preserve">Research in Progress </w:t>
            </w:r>
          </w:p>
        </w:tc>
      </w:tr>
      <w:tr w:rsidR="00653A00" w:rsidRPr="00567366" w14:paraId="64FB08C7" w14:textId="77777777" w:rsidTr="00F1234E">
        <w:trPr>
          <w:gridBefore w:val="1"/>
          <w:wBefore w:w="180" w:type="dxa"/>
        </w:trPr>
        <w:tc>
          <w:tcPr>
            <w:tcW w:w="9810" w:type="dxa"/>
            <w:gridSpan w:val="5"/>
          </w:tcPr>
          <w:p w14:paraId="3A583521" w14:textId="77777777" w:rsidR="00653A00" w:rsidRPr="00567366" w:rsidRDefault="00653A00" w:rsidP="00653A00">
            <w:pPr>
              <w:rPr>
                <w:rFonts w:ascii="Garamond" w:hAnsi="Garamond"/>
                <w:b/>
                <w:sz w:val="10"/>
                <w:szCs w:val="10"/>
              </w:rPr>
            </w:pPr>
          </w:p>
        </w:tc>
      </w:tr>
      <w:tr w:rsidR="00653A00" w:rsidRPr="008A45E8" w14:paraId="561F97D5" w14:textId="77777777" w:rsidTr="00F1234E">
        <w:trPr>
          <w:gridBefore w:val="1"/>
          <w:wBefore w:w="180" w:type="dxa"/>
        </w:trPr>
        <w:tc>
          <w:tcPr>
            <w:tcW w:w="9810" w:type="dxa"/>
            <w:gridSpan w:val="5"/>
          </w:tcPr>
          <w:p w14:paraId="7C049045" w14:textId="17143223" w:rsidR="00653A00" w:rsidRPr="00CA5068" w:rsidRDefault="00653A00" w:rsidP="00653A00">
            <w:pPr>
              <w:jc w:val="both"/>
              <w:rPr>
                <w:rFonts w:ascii="Garamond" w:hAnsi="Garamond"/>
              </w:rPr>
            </w:pPr>
            <w:r w:rsidRPr="006B3A4A">
              <w:rPr>
                <w:rFonts w:ascii="Garamond" w:hAnsi="Garamond"/>
                <w:b/>
                <w:bCs/>
              </w:rPr>
              <w:t xml:space="preserve">"Life-Saving </w:t>
            </w:r>
            <w:r>
              <w:rPr>
                <w:rFonts w:ascii="Garamond" w:hAnsi="Garamond"/>
                <w:b/>
                <w:bCs/>
              </w:rPr>
              <w:t xml:space="preserve">Medical </w:t>
            </w:r>
            <w:r w:rsidRPr="006B3A4A">
              <w:rPr>
                <w:rFonts w:ascii="Garamond" w:hAnsi="Garamond"/>
                <w:b/>
                <w:bCs/>
              </w:rPr>
              <w:t>Innovation and the Black-White Mortality Gap: Evidence from the introduction of Highly Active Antiretroviral Therapy</w:t>
            </w:r>
            <w:r>
              <w:rPr>
                <w:rFonts w:ascii="Garamond" w:hAnsi="Garamond"/>
                <w:b/>
                <w:bCs/>
              </w:rPr>
              <w:t xml:space="preserve"> (HAART)</w:t>
            </w:r>
            <w:r w:rsidRPr="006B3A4A">
              <w:rPr>
                <w:rFonts w:ascii="Garamond" w:hAnsi="Garamond"/>
                <w:b/>
                <w:bCs/>
              </w:rPr>
              <w:t xml:space="preserve">" </w:t>
            </w:r>
            <w:r w:rsidRPr="00CA5068">
              <w:rPr>
                <w:rFonts w:ascii="Garamond" w:hAnsi="Garamond"/>
              </w:rPr>
              <w:t xml:space="preserve">with Sam </w:t>
            </w:r>
            <w:proofErr w:type="spellStart"/>
            <w:r w:rsidRPr="00CA5068">
              <w:rPr>
                <w:rFonts w:ascii="Garamond" w:hAnsi="Garamond"/>
              </w:rPr>
              <w:t>Aarenberg</w:t>
            </w:r>
            <w:proofErr w:type="spellEnd"/>
            <w:r w:rsidRPr="006B3A4A">
              <w:rPr>
                <w:rFonts w:ascii="Garamond" w:hAnsi="Garamond"/>
                <w:b/>
                <w:bCs/>
              </w:rPr>
              <w:t xml:space="preserve"> </w:t>
            </w:r>
          </w:p>
        </w:tc>
      </w:tr>
    </w:tbl>
    <w:p w14:paraId="66CCE730" w14:textId="52C1D4AA" w:rsidR="007B6DAE" w:rsidRDefault="007B6DAE">
      <w:pPr>
        <w:rPr>
          <w:rFonts w:ascii="Garamond" w:hAnsi="Garamond"/>
          <w:b/>
        </w:rPr>
      </w:pPr>
    </w:p>
    <w:p w14:paraId="338F22FF" w14:textId="5EFE8869" w:rsidR="00F14989" w:rsidRPr="00FE6213" w:rsidRDefault="00994A28" w:rsidP="00810BA8">
      <w:pPr>
        <w:ind w:left="432" w:right="432"/>
        <w:jc w:val="both"/>
        <w:rPr>
          <w:rFonts w:ascii="Garamond" w:hAnsi="Garamond"/>
          <w:sz w:val="20"/>
          <w:szCs w:val="20"/>
          <w:rtl/>
        </w:rPr>
      </w:pPr>
      <w:r w:rsidRPr="00994A28">
        <w:rPr>
          <w:rFonts w:ascii="Garamond" w:hAnsi="Garamond"/>
          <w:sz w:val="20"/>
          <w:szCs w:val="20"/>
        </w:rPr>
        <w:t>There are large and persistent differences in health and survival across races in the US</w:t>
      </w:r>
      <w:r>
        <w:rPr>
          <w:rFonts w:ascii="Garamond" w:hAnsi="Garamond"/>
          <w:sz w:val="20"/>
          <w:szCs w:val="20"/>
        </w:rPr>
        <w:t xml:space="preserve">. </w:t>
      </w:r>
      <w:r w:rsidRPr="00994A28">
        <w:rPr>
          <w:rFonts w:ascii="Garamond" w:hAnsi="Garamond"/>
          <w:sz w:val="20"/>
          <w:szCs w:val="20"/>
        </w:rPr>
        <w:t>Although the black -</w:t>
      </w:r>
      <w:r>
        <w:rPr>
          <w:rFonts w:ascii="Garamond" w:hAnsi="Garamond"/>
          <w:sz w:val="20"/>
          <w:szCs w:val="20"/>
        </w:rPr>
        <w:t xml:space="preserve"> </w:t>
      </w:r>
      <w:r w:rsidRPr="00994A28">
        <w:rPr>
          <w:rFonts w:ascii="Garamond" w:hAnsi="Garamond"/>
          <w:sz w:val="20"/>
          <w:szCs w:val="20"/>
        </w:rPr>
        <w:t>white mortality gap has been slowly decreasing, health disparities by race remain large</w:t>
      </w:r>
      <w:r>
        <w:rPr>
          <w:rFonts w:ascii="Garamond" w:hAnsi="Garamond"/>
          <w:sz w:val="20"/>
          <w:szCs w:val="20"/>
        </w:rPr>
        <w:t xml:space="preserve">. In this paper we </w:t>
      </w:r>
      <w:r w:rsidR="00FB05A4">
        <w:rPr>
          <w:rFonts w:ascii="Garamond" w:hAnsi="Garamond"/>
          <w:sz w:val="20"/>
          <w:szCs w:val="20"/>
        </w:rPr>
        <w:t xml:space="preserve">present evidence that </w:t>
      </w:r>
      <w:r w:rsidR="00810BA8">
        <w:rPr>
          <w:rFonts w:ascii="Garamond" w:hAnsi="Garamond"/>
          <w:sz w:val="20"/>
          <w:szCs w:val="20"/>
        </w:rPr>
        <w:t xml:space="preserve">differential </w:t>
      </w:r>
      <w:r w:rsidR="00FB05A4">
        <w:rPr>
          <w:rFonts w:ascii="Garamond" w:hAnsi="Garamond"/>
          <w:sz w:val="20"/>
          <w:szCs w:val="20"/>
        </w:rPr>
        <w:t>access to medical innovation could be an important factor</w:t>
      </w:r>
      <w:r w:rsidR="00810BA8">
        <w:rPr>
          <w:rFonts w:ascii="Garamond" w:hAnsi="Garamond"/>
          <w:sz w:val="20"/>
          <w:szCs w:val="20"/>
        </w:rPr>
        <w:t xml:space="preserve"> in the persistence of the mortality gap. </w:t>
      </w:r>
      <w:r w:rsidR="00FE6213">
        <w:rPr>
          <w:rFonts w:ascii="Garamond" w:hAnsi="Garamond"/>
          <w:sz w:val="20"/>
          <w:szCs w:val="20"/>
        </w:rPr>
        <w:t xml:space="preserve">In 1996, </w:t>
      </w:r>
      <w:r w:rsidR="007B0438">
        <w:rPr>
          <w:rFonts w:ascii="Garamond" w:hAnsi="Garamond" w:cs="Times"/>
          <w:sz w:val="20"/>
          <w:szCs w:val="20"/>
        </w:rPr>
        <w:t xml:space="preserve">HAART </w:t>
      </w:r>
      <w:r w:rsidR="00CE4F4B">
        <w:rPr>
          <w:rFonts w:ascii="Garamond" w:hAnsi="Garamond" w:cs="Times"/>
          <w:sz w:val="20"/>
          <w:szCs w:val="20"/>
        </w:rPr>
        <w:t>was introduced</w:t>
      </w:r>
      <w:r w:rsidR="00FE6213">
        <w:rPr>
          <w:rFonts w:ascii="Garamond" w:hAnsi="Garamond" w:cs="Times"/>
          <w:sz w:val="20"/>
          <w:szCs w:val="20"/>
        </w:rPr>
        <w:t xml:space="preserve"> </w:t>
      </w:r>
      <w:r w:rsidR="00CE4F4B">
        <w:rPr>
          <w:rFonts w:ascii="Garamond" w:hAnsi="Garamond" w:cs="Times"/>
          <w:sz w:val="20"/>
          <w:szCs w:val="20"/>
        </w:rPr>
        <w:t xml:space="preserve">and led to </w:t>
      </w:r>
      <w:r w:rsidR="00FE6213">
        <w:rPr>
          <w:rFonts w:ascii="Garamond" w:hAnsi="Garamond" w:cs="Times"/>
          <w:sz w:val="20"/>
          <w:szCs w:val="20"/>
        </w:rPr>
        <w:t>immediate and</w:t>
      </w:r>
      <w:r w:rsidR="00CE4F4B">
        <w:rPr>
          <w:rFonts w:ascii="Garamond" w:hAnsi="Garamond" w:cs="Times"/>
          <w:sz w:val="20"/>
          <w:szCs w:val="20"/>
        </w:rPr>
        <w:t xml:space="preserve"> dramatic improvements in </w:t>
      </w:r>
      <w:r w:rsidR="00CE4F4B">
        <w:rPr>
          <w:rFonts w:ascii="Garamond" w:hAnsi="Garamond"/>
          <w:sz w:val="20"/>
          <w:szCs w:val="20"/>
        </w:rPr>
        <w:t>t</w:t>
      </w:r>
      <w:r w:rsidR="00CE4F4B">
        <w:rPr>
          <w:rFonts w:ascii="Garamond" w:hAnsi="Garamond" w:cs="Times"/>
          <w:sz w:val="20"/>
          <w:szCs w:val="20"/>
        </w:rPr>
        <w:t xml:space="preserve">he health of HIV positive individuals who took the drug. </w:t>
      </w:r>
      <w:r w:rsidR="0083453F">
        <w:rPr>
          <w:rFonts w:ascii="Garamond" w:hAnsi="Garamond" w:cs="Times"/>
          <w:sz w:val="20"/>
          <w:szCs w:val="20"/>
        </w:rPr>
        <w:t>W</w:t>
      </w:r>
      <w:r w:rsidR="00CE4F4B">
        <w:rPr>
          <w:rFonts w:ascii="Garamond" w:hAnsi="Garamond" w:cs="Times"/>
          <w:sz w:val="20"/>
          <w:szCs w:val="20"/>
        </w:rPr>
        <w:t>e document that the need for HAART was less likely to be met in counties with a higher share of the population that is black</w:t>
      </w:r>
      <w:r w:rsidR="00C31B8E">
        <w:rPr>
          <w:rFonts w:ascii="Garamond" w:hAnsi="Garamond" w:cs="Times"/>
          <w:sz w:val="20"/>
          <w:szCs w:val="20"/>
        </w:rPr>
        <w:t xml:space="preserve">. Consequently, the </w:t>
      </w:r>
      <w:r w:rsidR="00A70504">
        <w:rPr>
          <w:rFonts w:ascii="Garamond" w:hAnsi="Garamond" w:hint="cs"/>
          <w:sz w:val="20"/>
          <w:szCs w:val="20"/>
        </w:rPr>
        <w:t xml:space="preserve">HIV </w:t>
      </w:r>
      <w:r w:rsidR="00CE4F4B">
        <w:rPr>
          <w:rFonts w:ascii="Garamond" w:hAnsi="Garamond"/>
          <w:sz w:val="20"/>
          <w:szCs w:val="20"/>
        </w:rPr>
        <w:t>black-white mortality gap</w:t>
      </w:r>
      <w:r w:rsidR="00810BA8">
        <w:rPr>
          <w:rFonts w:ascii="Garamond" w:hAnsi="Garamond"/>
          <w:sz w:val="20"/>
          <w:szCs w:val="20"/>
        </w:rPr>
        <w:t xml:space="preserve"> </w:t>
      </w:r>
      <w:r w:rsidR="00C31B8E">
        <w:rPr>
          <w:rFonts w:ascii="Garamond" w:hAnsi="Garamond"/>
          <w:sz w:val="20"/>
          <w:szCs w:val="20"/>
        </w:rPr>
        <w:t>increased by</w:t>
      </w:r>
      <w:r w:rsidR="00810BA8">
        <w:rPr>
          <w:rFonts w:ascii="Garamond" w:hAnsi="Garamond"/>
          <w:sz w:val="20"/>
          <w:szCs w:val="20"/>
        </w:rPr>
        <w:t xml:space="preserve"> 200 percentage points</w:t>
      </w:r>
      <w:r w:rsidR="00C31B8E">
        <w:rPr>
          <w:rFonts w:ascii="Garamond" w:hAnsi="Garamond"/>
          <w:sz w:val="20"/>
          <w:szCs w:val="20"/>
        </w:rPr>
        <w:t xml:space="preserve"> soon after the introduction of HAART</w:t>
      </w:r>
      <w:r w:rsidR="00810BA8">
        <w:rPr>
          <w:rFonts w:ascii="Garamond" w:hAnsi="Garamond"/>
          <w:sz w:val="20"/>
          <w:szCs w:val="20"/>
        </w:rPr>
        <w:t xml:space="preserve">. Over the same </w:t>
      </w:r>
      <w:r w:rsidR="00FE6213">
        <w:rPr>
          <w:rFonts w:ascii="Garamond" w:hAnsi="Garamond"/>
          <w:sz w:val="20"/>
          <w:szCs w:val="20"/>
        </w:rPr>
        <w:t>period</w:t>
      </w:r>
      <w:r w:rsidR="00F14989">
        <w:rPr>
          <w:rFonts w:ascii="Garamond" w:hAnsi="Garamond"/>
          <w:sz w:val="20"/>
          <w:szCs w:val="20"/>
        </w:rPr>
        <w:t xml:space="preserve">, the non-HIV </w:t>
      </w:r>
      <w:r>
        <w:rPr>
          <w:rFonts w:ascii="Garamond" w:hAnsi="Garamond"/>
          <w:sz w:val="20"/>
          <w:szCs w:val="20"/>
        </w:rPr>
        <w:t xml:space="preserve">black-white </w:t>
      </w:r>
      <w:r w:rsidR="00F14989">
        <w:rPr>
          <w:rFonts w:ascii="Garamond" w:hAnsi="Garamond"/>
          <w:sz w:val="20"/>
          <w:szCs w:val="20"/>
        </w:rPr>
        <w:t xml:space="preserve">mortality gap </w:t>
      </w:r>
      <w:r>
        <w:rPr>
          <w:rFonts w:ascii="Garamond" w:hAnsi="Garamond"/>
          <w:sz w:val="20"/>
          <w:szCs w:val="20"/>
        </w:rPr>
        <w:t xml:space="preserve">was </w:t>
      </w:r>
      <w:r w:rsidR="00F14989">
        <w:rPr>
          <w:rFonts w:ascii="Garamond" w:hAnsi="Garamond"/>
          <w:sz w:val="20"/>
          <w:szCs w:val="20"/>
        </w:rPr>
        <w:t xml:space="preserve">actually </w:t>
      </w:r>
      <w:r>
        <w:rPr>
          <w:rFonts w:ascii="Garamond" w:hAnsi="Garamond"/>
          <w:sz w:val="20"/>
          <w:szCs w:val="20"/>
        </w:rPr>
        <w:t xml:space="preserve">decreasing. </w:t>
      </w:r>
      <w:r w:rsidR="00FB05A4">
        <w:rPr>
          <w:rFonts w:ascii="Garamond" w:hAnsi="Garamond"/>
          <w:sz w:val="20"/>
          <w:szCs w:val="20"/>
        </w:rPr>
        <w:t xml:space="preserve">Exploiting the variation in the </w:t>
      </w:r>
      <w:r w:rsidR="00FE6213">
        <w:rPr>
          <w:rFonts w:ascii="Garamond" w:hAnsi="Garamond"/>
          <w:sz w:val="20"/>
          <w:szCs w:val="20"/>
        </w:rPr>
        <w:t>shar</w:t>
      </w:r>
      <w:r w:rsidR="00A70504">
        <w:rPr>
          <w:rFonts w:ascii="Garamond" w:hAnsi="Garamond"/>
          <w:sz w:val="20"/>
          <w:szCs w:val="20"/>
        </w:rPr>
        <w:t>e</w:t>
      </w:r>
      <w:r w:rsidR="00FE6213">
        <w:rPr>
          <w:rFonts w:ascii="Garamond" w:hAnsi="Garamond"/>
          <w:sz w:val="20"/>
          <w:szCs w:val="20"/>
        </w:rPr>
        <w:t xml:space="preserve"> of the</w:t>
      </w:r>
      <w:r w:rsidR="00FB05A4">
        <w:rPr>
          <w:rFonts w:ascii="Garamond" w:hAnsi="Garamond"/>
          <w:sz w:val="20"/>
          <w:szCs w:val="20"/>
        </w:rPr>
        <w:t xml:space="preserve"> population</w:t>
      </w:r>
      <w:r w:rsidR="00FE6213">
        <w:rPr>
          <w:rFonts w:ascii="Garamond" w:hAnsi="Garamond"/>
          <w:sz w:val="20"/>
          <w:szCs w:val="20"/>
        </w:rPr>
        <w:t xml:space="preserve"> that is gay</w:t>
      </w:r>
      <w:r w:rsidR="00FB05A4">
        <w:rPr>
          <w:rFonts w:ascii="Garamond" w:hAnsi="Garamond"/>
          <w:sz w:val="20"/>
          <w:szCs w:val="20"/>
        </w:rPr>
        <w:t xml:space="preserve"> across counties, we show that counties with a highe</w:t>
      </w:r>
      <w:r w:rsidR="00FE6213">
        <w:rPr>
          <w:rFonts w:ascii="Garamond" w:hAnsi="Garamond"/>
          <w:sz w:val="20"/>
          <w:szCs w:val="20"/>
        </w:rPr>
        <w:t xml:space="preserve">r </w:t>
      </w:r>
      <w:r w:rsidR="008E1A92">
        <w:rPr>
          <w:rFonts w:ascii="Garamond" w:hAnsi="Garamond"/>
          <w:sz w:val="20"/>
          <w:szCs w:val="20"/>
        </w:rPr>
        <w:t>share of gay men</w:t>
      </w:r>
      <w:r w:rsidR="00FE6213">
        <w:rPr>
          <w:rFonts w:ascii="Garamond" w:hAnsi="Garamond"/>
          <w:sz w:val="20"/>
          <w:szCs w:val="20"/>
        </w:rPr>
        <w:t>,</w:t>
      </w:r>
      <w:r w:rsidR="008E1A92">
        <w:rPr>
          <w:rFonts w:ascii="Garamond" w:hAnsi="Garamond"/>
          <w:sz w:val="20"/>
          <w:szCs w:val="20"/>
        </w:rPr>
        <w:t xml:space="preserve"> experienced higher increases in the HIV black-white mortality gap.</w:t>
      </w:r>
      <w:r w:rsidR="00C31B8E">
        <w:rPr>
          <w:rFonts w:ascii="Garamond" w:hAnsi="Garamond"/>
          <w:sz w:val="20"/>
          <w:szCs w:val="20"/>
        </w:rPr>
        <w:t xml:space="preserve"> Th</w:t>
      </w:r>
      <w:r w:rsidR="00D13007">
        <w:rPr>
          <w:rFonts w:ascii="Garamond" w:hAnsi="Garamond"/>
          <w:sz w:val="20"/>
          <w:szCs w:val="20"/>
        </w:rPr>
        <w:t xml:space="preserve">ese findings </w:t>
      </w:r>
      <w:r w:rsidR="00C31B8E">
        <w:rPr>
          <w:rFonts w:ascii="Garamond" w:hAnsi="Garamond"/>
          <w:sz w:val="20"/>
          <w:szCs w:val="20"/>
        </w:rPr>
        <w:t xml:space="preserve">highlight the importance </w:t>
      </w:r>
      <w:r w:rsidR="00E14470">
        <w:rPr>
          <w:rFonts w:ascii="Garamond" w:hAnsi="Garamond"/>
          <w:sz w:val="20"/>
          <w:szCs w:val="20"/>
        </w:rPr>
        <w:t>of</w:t>
      </w:r>
      <w:r w:rsidR="00C31B8E">
        <w:rPr>
          <w:rFonts w:ascii="Garamond" w:hAnsi="Garamond"/>
          <w:sz w:val="20"/>
          <w:szCs w:val="20"/>
        </w:rPr>
        <w:t xml:space="preserve"> guaranteeing access to life-saving medical innovation to minority populations. </w:t>
      </w:r>
    </w:p>
    <w:p w14:paraId="76A90911" w14:textId="69066917" w:rsidR="00FE6213" w:rsidRDefault="00FE6213" w:rsidP="00CA5068">
      <w:pPr>
        <w:ind w:right="432"/>
        <w:jc w:val="both"/>
        <w:rPr>
          <w:rFonts w:ascii="Garamond" w:hAnsi="Garamond" w:cs="Times"/>
          <w:sz w:val="20"/>
          <w:szCs w:val="20"/>
        </w:rPr>
      </w:pPr>
    </w:p>
    <w:tbl>
      <w:tblPr>
        <w:tblW w:w="9378" w:type="dxa"/>
        <w:tblLook w:val="01E0" w:firstRow="1" w:lastRow="1" w:firstColumn="1" w:lastColumn="1" w:noHBand="0" w:noVBand="0"/>
      </w:tblPr>
      <w:tblGrid>
        <w:gridCol w:w="9378"/>
      </w:tblGrid>
      <w:tr w:rsidR="00CA5068" w:rsidRPr="008A45E8" w14:paraId="1A2F90DD" w14:textId="77777777" w:rsidTr="00E33D38">
        <w:tc>
          <w:tcPr>
            <w:tcW w:w="9378" w:type="dxa"/>
          </w:tcPr>
          <w:p w14:paraId="5222C014" w14:textId="1EF9945A" w:rsidR="00CA5068" w:rsidRPr="00CA5068" w:rsidRDefault="00CA5068" w:rsidP="001A7527">
            <w:pPr>
              <w:jc w:val="both"/>
              <w:rPr>
                <w:rFonts w:ascii="Garamond" w:hAnsi="Garamond"/>
              </w:rPr>
            </w:pPr>
            <w:r w:rsidRPr="006B3A4A">
              <w:rPr>
                <w:rFonts w:ascii="Garamond" w:hAnsi="Garamond"/>
                <w:b/>
                <w:bCs/>
              </w:rPr>
              <w:t>"</w:t>
            </w:r>
            <w:r w:rsidR="00FB05A4">
              <w:rPr>
                <w:rFonts w:ascii="Garamond" w:hAnsi="Garamond"/>
                <w:b/>
                <w:bCs/>
              </w:rPr>
              <w:t>HAART and STDs</w:t>
            </w:r>
            <w:r w:rsidRPr="006B3A4A">
              <w:rPr>
                <w:rFonts w:ascii="Garamond" w:hAnsi="Garamond"/>
                <w:b/>
                <w:bCs/>
              </w:rPr>
              <w:t>"</w:t>
            </w:r>
            <w:r w:rsidR="001A7527">
              <w:rPr>
                <w:rFonts w:ascii="Garamond" w:hAnsi="Garamond"/>
                <w:b/>
                <w:bCs/>
              </w:rPr>
              <w:t xml:space="preserve"> </w:t>
            </w:r>
            <w:r>
              <w:rPr>
                <w:rFonts w:ascii="Garamond" w:hAnsi="Garamond"/>
              </w:rPr>
              <w:t>with Scott Cunnigham and Rebecca Thor</w:t>
            </w:r>
            <w:r w:rsidR="001A7527">
              <w:rPr>
                <w:rFonts w:ascii="Garamond" w:hAnsi="Garamond"/>
              </w:rPr>
              <w:t>n</w:t>
            </w:r>
            <w:r>
              <w:rPr>
                <w:rFonts w:ascii="Garamond" w:hAnsi="Garamond"/>
              </w:rPr>
              <w:t>ton</w:t>
            </w:r>
          </w:p>
        </w:tc>
      </w:tr>
    </w:tbl>
    <w:p w14:paraId="146087EF" w14:textId="77777777" w:rsidR="00CF6E30" w:rsidRDefault="00CF6E30" w:rsidP="00FB05A4">
      <w:pPr>
        <w:rPr>
          <w:rFonts w:ascii="Garamond" w:hAnsi="Garamond"/>
          <w:bCs/>
          <w:smallCaps/>
          <w:sz w:val="26"/>
          <w:szCs w:val="26"/>
          <w:u w:val="single"/>
        </w:rPr>
      </w:pPr>
    </w:p>
    <w:p w14:paraId="7E79CB3D" w14:textId="61252723" w:rsidR="0088631D" w:rsidRDefault="007807C7" w:rsidP="0088631D">
      <w:pPr>
        <w:ind w:left="144"/>
        <w:rPr>
          <w:rFonts w:ascii="Garamond" w:hAnsi="Garamond"/>
          <w:bCs/>
          <w:smallCaps/>
          <w:sz w:val="26"/>
          <w:szCs w:val="26"/>
          <w:u w:val="single"/>
        </w:rPr>
      </w:pPr>
      <w:r>
        <w:rPr>
          <w:rFonts w:ascii="Garamond" w:hAnsi="Garamond"/>
          <w:bCs/>
          <w:smallCaps/>
          <w:sz w:val="26"/>
          <w:szCs w:val="26"/>
          <w:u w:val="single"/>
        </w:rPr>
        <w:t>Other</w:t>
      </w:r>
    </w:p>
    <w:p w14:paraId="3A1BAE29" w14:textId="19A6691A" w:rsidR="007807C7" w:rsidRDefault="00FA12F6" w:rsidP="007807C7">
      <w:pPr>
        <w:spacing w:before="120"/>
        <w:ind w:left="144"/>
        <w:rPr>
          <w:rFonts w:ascii="Garamond" w:hAnsi="Garamond"/>
        </w:rPr>
      </w:pPr>
      <w:r>
        <w:rPr>
          <w:rFonts w:ascii="Garamond" w:hAnsi="Garamond"/>
        </w:rPr>
        <w:t>Programming</w:t>
      </w:r>
      <w:r w:rsidR="007807C7" w:rsidRPr="007807C7">
        <w:rPr>
          <w:rFonts w:ascii="Garamond" w:hAnsi="Garamond"/>
        </w:rPr>
        <w:t xml:space="preserve"> </w:t>
      </w:r>
      <w:r w:rsidR="007807C7">
        <w:rPr>
          <w:rFonts w:ascii="Garamond" w:hAnsi="Garamond"/>
        </w:rPr>
        <w:t>Skills</w:t>
      </w:r>
      <w:r w:rsidR="007807C7" w:rsidRPr="007807C7">
        <w:rPr>
          <w:rFonts w:ascii="Garamond" w:hAnsi="Garamond"/>
        </w:rPr>
        <w:t xml:space="preserve">: Stata, </w:t>
      </w:r>
      <w:r w:rsidR="007807C7">
        <w:rPr>
          <w:rFonts w:ascii="Garamond" w:hAnsi="Garamond"/>
        </w:rPr>
        <w:t>Latex, R (basic)</w:t>
      </w:r>
    </w:p>
    <w:p w14:paraId="38FF9B60" w14:textId="6E7099FB" w:rsidR="00341B62" w:rsidRDefault="007807C7" w:rsidP="006E6D49">
      <w:pPr>
        <w:ind w:left="144"/>
        <w:rPr>
          <w:rFonts w:ascii="Garamond" w:hAnsi="Garamond"/>
        </w:rPr>
      </w:pPr>
      <w:r w:rsidRPr="007807C7">
        <w:rPr>
          <w:rFonts w:ascii="Garamond" w:hAnsi="Garamond"/>
        </w:rPr>
        <w:t xml:space="preserve">Languages: English (fluent), </w:t>
      </w:r>
      <w:r>
        <w:rPr>
          <w:rFonts w:ascii="Garamond" w:hAnsi="Garamond"/>
        </w:rPr>
        <w:t>Hebrew</w:t>
      </w:r>
      <w:r w:rsidRPr="007807C7">
        <w:rPr>
          <w:rFonts w:ascii="Garamond" w:hAnsi="Garamond"/>
        </w:rPr>
        <w:t xml:space="preserve"> (native)</w:t>
      </w:r>
    </w:p>
    <w:p w14:paraId="1DB9A7A2" w14:textId="0469D5BD" w:rsidR="00E13257" w:rsidRPr="008A78F6" w:rsidRDefault="00341B62" w:rsidP="008A78F6">
      <w:pPr>
        <w:ind w:left="144"/>
        <w:rPr>
          <w:rFonts w:ascii="Garamond" w:hAnsi="Garamond"/>
        </w:rPr>
      </w:pPr>
      <w:proofErr w:type="spellStart"/>
      <w:r>
        <w:rPr>
          <w:rFonts w:ascii="Garamond" w:hAnsi="Garamond"/>
        </w:rPr>
        <w:t>Citzenship</w:t>
      </w:r>
      <w:proofErr w:type="spellEnd"/>
      <w:r>
        <w:rPr>
          <w:rFonts w:ascii="Garamond" w:hAnsi="Garamond"/>
        </w:rPr>
        <w:t>: Israel</w:t>
      </w:r>
    </w:p>
    <w:sectPr w:rsidR="00E13257" w:rsidRPr="008A78F6" w:rsidSect="00CE5C75">
      <w:headerReference w:type="default" r:id="rId9"/>
      <w:pgSz w:w="12240" w:h="15840"/>
      <w:pgMar w:top="1296" w:right="1296" w:bottom="1296"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51FAB5" w14:textId="77777777" w:rsidR="00382082" w:rsidRDefault="00382082" w:rsidP="002D6047">
      <w:r>
        <w:separator/>
      </w:r>
    </w:p>
  </w:endnote>
  <w:endnote w:type="continuationSeparator" w:id="0">
    <w:p w14:paraId="174E6CB3" w14:textId="77777777" w:rsidR="00382082" w:rsidRDefault="00382082" w:rsidP="002D6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notTrueType/>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ngsanaUPC">
    <w:panose1 w:val="02020603050405020304"/>
    <w:charset w:val="DE"/>
    <w:family w:val="roman"/>
    <w:pitch w:val="variable"/>
    <w:sig w:usb0="81000003" w:usb1="00000000" w:usb2="00000000" w:usb3="00000000" w:csb0="00010001" w:csb1="00000000"/>
  </w:font>
  <w:font w:name="Tiro Bangla">
    <w:panose1 w:val="02000000000000000000"/>
    <w:charset w:val="4D"/>
    <w:family w:val="auto"/>
    <w:pitch w:val="variable"/>
    <w:sig w:usb0="00018003" w:usb1="00000000" w:usb2="00000000" w:usb3="00000000" w:csb0="00000003"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C05042" w14:textId="77777777" w:rsidR="00382082" w:rsidRDefault="00382082" w:rsidP="002D6047">
      <w:r>
        <w:separator/>
      </w:r>
    </w:p>
  </w:footnote>
  <w:footnote w:type="continuationSeparator" w:id="0">
    <w:p w14:paraId="67547C86" w14:textId="77777777" w:rsidR="00382082" w:rsidRDefault="00382082" w:rsidP="002D60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5F9BE" w14:textId="6457F618" w:rsidR="00567366" w:rsidRDefault="00567366">
    <w:pPr>
      <w:pStyle w:val="Header"/>
      <w:jc w:val="right"/>
    </w:pPr>
  </w:p>
  <w:p w14:paraId="29BACB3C" w14:textId="77777777" w:rsidR="00567366" w:rsidRDefault="005673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761D06"/>
    <w:multiLevelType w:val="hybridMultilevel"/>
    <w:tmpl w:val="34D8B500"/>
    <w:lvl w:ilvl="0" w:tplc="04090001">
      <w:start w:val="5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6"/>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DAE"/>
    <w:rsid w:val="00017032"/>
    <w:rsid w:val="00024179"/>
    <w:rsid w:val="000321A7"/>
    <w:rsid w:val="000459EA"/>
    <w:rsid w:val="00072830"/>
    <w:rsid w:val="00077E75"/>
    <w:rsid w:val="00097110"/>
    <w:rsid w:val="000A25D1"/>
    <w:rsid w:val="000B5DC5"/>
    <w:rsid w:val="000B67E3"/>
    <w:rsid w:val="000D65A5"/>
    <w:rsid w:val="000E4785"/>
    <w:rsid w:val="000F2299"/>
    <w:rsid w:val="00130295"/>
    <w:rsid w:val="0014232B"/>
    <w:rsid w:val="001479EC"/>
    <w:rsid w:val="00155C4B"/>
    <w:rsid w:val="001568F5"/>
    <w:rsid w:val="001A4622"/>
    <w:rsid w:val="001A7527"/>
    <w:rsid w:val="001B6630"/>
    <w:rsid w:val="001C11A4"/>
    <w:rsid w:val="001D09AC"/>
    <w:rsid w:val="001F6573"/>
    <w:rsid w:val="002526E3"/>
    <w:rsid w:val="00255651"/>
    <w:rsid w:val="00255AEE"/>
    <w:rsid w:val="002575D5"/>
    <w:rsid w:val="00263A87"/>
    <w:rsid w:val="00294B97"/>
    <w:rsid w:val="002B6B91"/>
    <w:rsid w:val="002C396E"/>
    <w:rsid w:val="002D6047"/>
    <w:rsid w:val="002E2314"/>
    <w:rsid w:val="002F4C6E"/>
    <w:rsid w:val="00304AAF"/>
    <w:rsid w:val="00341B62"/>
    <w:rsid w:val="00354C81"/>
    <w:rsid w:val="00354E5F"/>
    <w:rsid w:val="003732F9"/>
    <w:rsid w:val="00375037"/>
    <w:rsid w:val="003766A7"/>
    <w:rsid w:val="00382082"/>
    <w:rsid w:val="00383C83"/>
    <w:rsid w:val="00385671"/>
    <w:rsid w:val="003905E9"/>
    <w:rsid w:val="003932E1"/>
    <w:rsid w:val="003C23DB"/>
    <w:rsid w:val="00413A40"/>
    <w:rsid w:val="00442F8F"/>
    <w:rsid w:val="004432D8"/>
    <w:rsid w:val="0046152F"/>
    <w:rsid w:val="00474E85"/>
    <w:rsid w:val="004938BB"/>
    <w:rsid w:val="00494650"/>
    <w:rsid w:val="004A1F1C"/>
    <w:rsid w:val="004B04A5"/>
    <w:rsid w:val="004C0CE8"/>
    <w:rsid w:val="004D07A7"/>
    <w:rsid w:val="004D3EC0"/>
    <w:rsid w:val="004D46D3"/>
    <w:rsid w:val="0050264C"/>
    <w:rsid w:val="00507EDE"/>
    <w:rsid w:val="005108AD"/>
    <w:rsid w:val="00524B03"/>
    <w:rsid w:val="00525A22"/>
    <w:rsid w:val="005318B8"/>
    <w:rsid w:val="00541F29"/>
    <w:rsid w:val="00547342"/>
    <w:rsid w:val="00555F0B"/>
    <w:rsid w:val="00561C9D"/>
    <w:rsid w:val="00563AF6"/>
    <w:rsid w:val="00567366"/>
    <w:rsid w:val="00575CEE"/>
    <w:rsid w:val="00587519"/>
    <w:rsid w:val="00593E69"/>
    <w:rsid w:val="005B22FA"/>
    <w:rsid w:val="005C704F"/>
    <w:rsid w:val="005D4496"/>
    <w:rsid w:val="00614B8E"/>
    <w:rsid w:val="0062145C"/>
    <w:rsid w:val="00621F0B"/>
    <w:rsid w:val="0062400E"/>
    <w:rsid w:val="00626B86"/>
    <w:rsid w:val="006348DC"/>
    <w:rsid w:val="00653A00"/>
    <w:rsid w:val="00661397"/>
    <w:rsid w:val="006951BD"/>
    <w:rsid w:val="006A4284"/>
    <w:rsid w:val="006A701F"/>
    <w:rsid w:val="006B3A4A"/>
    <w:rsid w:val="006D3D68"/>
    <w:rsid w:val="006D4E39"/>
    <w:rsid w:val="006E6D49"/>
    <w:rsid w:val="006F754D"/>
    <w:rsid w:val="00704381"/>
    <w:rsid w:val="0070553F"/>
    <w:rsid w:val="00725EBA"/>
    <w:rsid w:val="00747A96"/>
    <w:rsid w:val="00763A8C"/>
    <w:rsid w:val="0077335C"/>
    <w:rsid w:val="00777578"/>
    <w:rsid w:val="007807C7"/>
    <w:rsid w:val="007836F0"/>
    <w:rsid w:val="007908A6"/>
    <w:rsid w:val="00793D72"/>
    <w:rsid w:val="007A05BB"/>
    <w:rsid w:val="007B0438"/>
    <w:rsid w:val="007B6DAE"/>
    <w:rsid w:val="007B7A19"/>
    <w:rsid w:val="007E5347"/>
    <w:rsid w:val="007F197D"/>
    <w:rsid w:val="00806D4B"/>
    <w:rsid w:val="0080707B"/>
    <w:rsid w:val="00810BA8"/>
    <w:rsid w:val="0082035E"/>
    <w:rsid w:val="00821C3E"/>
    <w:rsid w:val="008300EA"/>
    <w:rsid w:val="0083453F"/>
    <w:rsid w:val="008462DB"/>
    <w:rsid w:val="00880467"/>
    <w:rsid w:val="0088631D"/>
    <w:rsid w:val="00886827"/>
    <w:rsid w:val="00886D87"/>
    <w:rsid w:val="008A15E0"/>
    <w:rsid w:val="008A45E8"/>
    <w:rsid w:val="008A78F6"/>
    <w:rsid w:val="008C447D"/>
    <w:rsid w:val="008E1A92"/>
    <w:rsid w:val="008F6E56"/>
    <w:rsid w:val="009060F2"/>
    <w:rsid w:val="00947B70"/>
    <w:rsid w:val="00951D03"/>
    <w:rsid w:val="009665F0"/>
    <w:rsid w:val="00991593"/>
    <w:rsid w:val="00994A28"/>
    <w:rsid w:val="009A3CB4"/>
    <w:rsid w:val="009C21A0"/>
    <w:rsid w:val="009E2A68"/>
    <w:rsid w:val="00A0293C"/>
    <w:rsid w:val="00A12786"/>
    <w:rsid w:val="00A25749"/>
    <w:rsid w:val="00A27F37"/>
    <w:rsid w:val="00A44F65"/>
    <w:rsid w:val="00A47B8B"/>
    <w:rsid w:val="00A51A20"/>
    <w:rsid w:val="00A655A3"/>
    <w:rsid w:val="00A70504"/>
    <w:rsid w:val="00A730A1"/>
    <w:rsid w:val="00A73D7B"/>
    <w:rsid w:val="00A740C6"/>
    <w:rsid w:val="00A8160B"/>
    <w:rsid w:val="00A87A82"/>
    <w:rsid w:val="00AB5CED"/>
    <w:rsid w:val="00AC36B8"/>
    <w:rsid w:val="00AE6D0A"/>
    <w:rsid w:val="00AF1DA4"/>
    <w:rsid w:val="00B54DDC"/>
    <w:rsid w:val="00B65C92"/>
    <w:rsid w:val="00B763A8"/>
    <w:rsid w:val="00B911B3"/>
    <w:rsid w:val="00B93708"/>
    <w:rsid w:val="00BB6C1D"/>
    <w:rsid w:val="00BC0575"/>
    <w:rsid w:val="00BC4B97"/>
    <w:rsid w:val="00BD69CB"/>
    <w:rsid w:val="00BF536A"/>
    <w:rsid w:val="00C31B8E"/>
    <w:rsid w:val="00C33F53"/>
    <w:rsid w:val="00C37160"/>
    <w:rsid w:val="00C45810"/>
    <w:rsid w:val="00C472A7"/>
    <w:rsid w:val="00C54FE3"/>
    <w:rsid w:val="00C8375B"/>
    <w:rsid w:val="00C85B16"/>
    <w:rsid w:val="00CA5068"/>
    <w:rsid w:val="00CD6421"/>
    <w:rsid w:val="00CE4F4B"/>
    <w:rsid w:val="00CE5C75"/>
    <w:rsid w:val="00CF6E30"/>
    <w:rsid w:val="00D10B7A"/>
    <w:rsid w:val="00D13007"/>
    <w:rsid w:val="00D1512E"/>
    <w:rsid w:val="00D25563"/>
    <w:rsid w:val="00D26CFB"/>
    <w:rsid w:val="00D36A1B"/>
    <w:rsid w:val="00D472A5"/>
    <w:rsid w:val="00D47FE3"/>
    <w:rsid w:val="00D575EC"/>
    <w:rsid w:val="00DA1FDA"/>
    <w:rsid w:val="00DF09C3"/>
    <w:rsid w:val="00E02565"/>
    <w:rsid w:val="00E03A23"/>
    <w:rsid w:val="00E10B44"/>
    <w:rsid w:val="00E13257"/>
    <w:rsid w:val="00E14470"/>
    <w:rsid w:val="00E336AD"/>
    <w:rsid w:val="00E61165"/>
    <w:rsid w:val="00E85F35"/>
    <w:rsid w:val="00E964A2"/>
    <w:rsid w:val="00E9781B"/>
    <w:rsid w:val="00EB5B78"/>
    <w:rsid w:val="00EF4E54"/>
    <w:rsid w:val="00F1234E"/>
    <w:rsid w:val="00F14989"/>
    <w:rsid w:val="00F3714D"/>
    <w:rsid w:val="00F42EBC"/>
    <w:rsid w:val="00F53AC2"/>
    <w:rsid w:val="00F5411F"/>
    <w:rsid w:val="00F6271F"/>
    <w:rsid w:val="00F97EB9"/>
    <w:rsid w:val="00FA12F6"/>
    <w:rsid w:val="00FA4446"/>
    <w:rsid w:val="00FA502C"/>
    <w:rsid w:val="00FB05A4"/>
    <w:rsid w:val="00FB3873"/>
    <w:rsid w:val="00FC34B0"/>
    <w:rsid w:val="00FC38DD"/>
    <w:rsid w:val="00FD317D"/>
    <w:rsid w:val="00FD4B80"/>
    <w:rsid w:val="00FD78D4"/>
    <w:rsid w:val="00FE6213"/>
    <w:rsid w:val="00FF1809"/>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A700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432D8"/>
    <w:rPr>
      <w:sz w:val="24"/>
      <w:szCs w:val="24"/>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Header">
    <w:name w:val="header"/>
    <w:basedOn w:val="Normal"/>
    <w:link w:val="HeaderChar"/>
    <w:uiPriority w:val="99"/>
    <w:rsid w:val="002D6047"/>
    <w:pPr>
      <w:tabs>
        <w:tab w:val="center" w:pos="4680"/>
        <w:tab w:val="right" w:pos="9360"/>
      </w:tabs>
    </w:pPr>
  </w:style>
  <w:style w:type="character" w:customStyle="1" w:styleId="HeaderChar">
    <w:name w:val="Header Char"/>
    <w:basedOn w:val="DefaultParagraphFont"/>
    <w:link w:val="Header"/>
    <w:uiPriority w:val="99"/>
    <w:rsid w:val="002D6047"/>
    <w:rPr>
      <w:sz w:val="22"/>
      <w:szCs w:val="22"/>
    </w:rPr>
  </w:style>
  <w:style w:type="paragraph" w:styleId="Footer">
    <w:name w:val="footer"/>
    <w:basedOn w:val="Normal"/>
    <w:link w:val="FooterChar"/>
    <w:rsid w:val="002D6047"/>
    <w:pPr>
      <w:tabs>
        <w:tab w:val="center" w:pos="4680"/>
        <w:tab w:val="right" w:pos="9360"/>
      </w:tabs>
    </w:pPr>
  </w:style>
  <w:style w:type="character" w:customStyle="1" w:styleId="FooterChar">
    <w:name w:val="Footer Char"/>
    <w:basedOn w:val="DefaultParagraphFont"/>
    <w:link w:val="Footer"/>
    <w:rsid w:val="002D6047"/>
    <w:rPr>
      <w:sz w:val="22"/>
      <w:szCs w:val="22"/>
    </w:rPr>
  </w:style>
  <w:style w:type="paragraph" w:customStyle="1" w:styleId="zfr3q">
    <w:name w:val="zfr3q"/>
    <w:basedOn w:val="Normal"/>
    <w:rsid w:val="005B22FA"/>
    <w:pPr>
      <w:spacing w:before="100" w:beforeAutospacing="1" w:after="100" w:afterAutospacing="1"/>
    </w:pPr>
  </w:style>
  <w:style w:type="character" w:styleId="Strong">
    <w:name w:val="Strong"/>
    <w:basedOn w:val="DefaultParagraphFont"/>
    <w:uiPriority w:val="22"/>
    <w:qFormat/>
    <w:rsid w:val="005B22FA"/>
    <w:rPr>
      <w:b/>
      <w:bCs/>
    </w:rPr>
  </w:style>
  <w:style w:type="character" w:styleId="Emphasis">
    <w:name w:val="Emphasis"/>
    <w:basedOn w:val="DefaultParagraphFont"/>
    <w:uiPriority w:val="20"/>
    <w:qFormat/>
    <w:rsid w:val="00474E85"/>
    <w:rPr>
      <w:i/>
      <w:iCs/>
    </w:rPr>
  </w:style>
  <w:style w:type="paragraph" w:styleId="ListParagraph">
    <w:name w:val="List Paragraph"/>
    <w:basedOn w:val="Normal"/>
    <w:uiPriority w:val="34"/>
    <w:qFormat/>
    <w:rsid w:val="00CF6E30"/>
    <w:pPr>
      <w:ind w:left="720"/>
      <w:contextualSpacing/>
    </w:pPr>
  </w:style>
  <w:style w:type="character" w:styleId="Hyperlink">
    <w:name w:val="Hyperlink"/>
    <w:basedOn w:val="DefaultParagraphFont"/>
    <w:uiPriority w:val="99"/>
    <w:unhideWhenUsed/>
    <w:rsid w:val="00304AAF"/>
    <w:rPr>
      <w:color w:val="0000FF"/>
      <w:u w:val="single"/>
    </w:rPr>
  </w:style>
  <w:style w:type="character" w:styleId="UnresolvedMention">
    <w:name w:val="Unresolved Mention"/>
    <w:basedOn w:val="DefaultParagraphFont"/>
    <w:rsid w:val="00304A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1861">
      <w:bodyDiv w:val="1"/>
      <w:marLeft w:val="0"/>
      <w:marRight w:val="0"/>
      <w:marTop w:val="0"/>
      <w:marBottom w:val="0"/>
      <w:divBdr>
        <w:top w:val="none" w:sz="0" w:space="0" w:color="auto"/>
        <w:left w:val="none" w:sz="0" w:space="0" w:color="auto"/>
        <w:bottom w:val="none" w:sz="0" w:space="0" w:color="auto"/>
        <w:right w:val="none" w:sz="0" w:space="0" w:color="auto"/>
      </w:divBdr>
    </w:div>
    <w:div w:id="76370701">
      <w:bodyDiv w:val="1"/>
      <w:marLeft w:val="0"/>
      <w:marRight w:val="0"/>
      <w:marTop w:val="0"/>
      <w:marBottom w:val="0"/>
      <w:divBdr>
        <w:top w:val="none" w:sz="0" w:space="0" w:color="auto"/>
        <w:left w:val="none" w:sz="0" w:space="0" w:color="auto"/>
        <w:bottom w:val="none" w:sz="0" w:space="0" w:color="auto"/>
        <w:right w:val="none" w:sz="0" w:space="0" w:color="auto"/>
      </w:divBdr>
    </w:div>
    <w:div w:id="99184331">
      <w:bodyDiv w:val="1"/>
      <w:marLeft w:val="0"/>
      <w:marRight w:val="0"/>
      <w:marTop w:val="0"/>
      <w:marBottom w:val="0"/>
      <w:divBdr>
        <w:top w:val="none" w:sz="0" w:space="0" w:color="auto"/>
        <w:left w:val="none" w:sz="0" w:space="0" w:color="auto"/>
        <w:bottom w:val="none" w:sz="0" w:space="0" w:color="auto"/>
        <w:right w:val="none" w:sz="0" w:space="0" w:color="auto"/>
      </w:divBdr>
    </w:div>
    <w:div w:id="196553488">
      <w:bodyDiv w:val="1"/>
      <w:marLeft w:val="0"/>
      <w:marRight w:val="0"/>
      <w:marTop w:val="0"/>
      <w:marBottom w:val="0"/>
      <w:divBdr>
        <w:top w:val="none" w:sz="0" w:space="0" w:color="auto"/>
        <w:left w:val="none" w:sz="0" w:space="0" w:color="auto"/>
        <w:bottom w:val="none" w:sz="0" w:space="0" w:color="auto"/>
        <w:right w:val="none" w:sz="0" w:space="0" w:color="auto"/>
      </w:divBdr>
    </w:div>
    <w:div w:id="212929546">
      <w:bodyDiv w:val="1"/>
      <w:marLeft w:val="0"/>
      <w:marRight w:val="0"/>
      <w:marTop w:val="0"/>
      <w:marBottom w:val="0"/>
      <w:divBdr>
        <w:top w:val="none" w:sz="0" w:space="0" w:color="auto"/>
        <w:left w:val="none" w:sz="0" w:space="0" w:color="auto"/>
        <w:bottom w:val="none" w:sz="0" w:space="0" w:color="auto"/>
        <w:right w:val="none" w:sz="0" w:space="0" w:color="auto"/>
      </w:divBdr>
    </w:div>
    <w:div w:id="231232245">
      <w:bodyDiv w:val="1"/>
      <w:marLeft w:val="0"/>
      <w:marRight w:val="0"/>
      <w:marTop w:val="0"/>
      <w:marBottom w:val="0"/>
      <w:divBdr>
        <w:top w:val="none" w:sz="0" w:space="0" w:color="auto"/>
        <w:left w:val="none" w:sz="0" w:space="0" w:color="auto"/>
        <w:bottom w:val="none" w:sz="0" w:space="0" w:color="auto"/>
        <w:right w:val="none" w:sz="0" w:space="0" w:color="auto"/>
      </w:divBdr>
    </w:div>
    <w:div w:id="359016974">
      <w:bodyDiv w:val="1"/>
      <w:marLeft w:val="0"/>
      <w:marRight w:val="0"/>
      <w:marTop w:val="0"/>
      <w:marBottom w:val="0"/>
      <w:divBdr>
        <w:top w:val="none" w:sz="0" w:space="0" w:color="auto"/>
        <w:left w:val="none" w:sz="0" w:space="0" w:color="auto"/>
        <w:bottom w:val="none" w:sz="0" w:space="0" w:color="auto"/>
        <w:right w:val="none" w:sz="0" w:space="0" w:color="auto"/>
      </w:divBdr>
    </w:div>
    <w:div w:id="405347832">
      <w:bodyDiv w:val="1"/>
      <w:marLeft w:val="0"/>
      <w:marRight w:val="0"/>
      <w:marTop w:val="0"/>
      <w:marBottom w:val="0"/>
      <w:divBdr>
        <w:top w:val="none" w:sz="0" w:space="0" w:color="auto"/>
        <w:left w:val="none" w:sz="0" w:space="0" w:color="auto"/>
        <w:bottom w:val="none" w:sz="0" w:space="0" w:color="auto"/>
        <w:right w:val="none" w:sz="0" w:space="0" w:color="auto"/>
      </w:divBdr>
    </w:div>
    <w:div w:id="418723037">
      <w:bodyDiv w:val="1"/>
      <w:marLeft w:val="0"/>
      <w:marRight w:val="0"/>
      <w:marTop w:val="0"/>
      <w:marBottom w:val="0"/>
      <w:divBdr>
        <w:top w:val="none" w:sz="0" w:space="0" w:color="auto"/>
        <w:left w:val="none" w:sz="0" w:space="0" w:color="auto"/>
        <w:bottom w:val="none" w:sz="0" w:space="0" w:color="auto"/>
        <w:right w:val="none" w:sz="0" w:space="0" w:color="auto"/>
      </w:divBdr>
    </w:div>
    <w:div w:id="492765594">
      <w:bodyDiv w:val="1"/>
      <w:marLeft w:val="0"/>
      <w:marRight w:val="0"/>
      <w:marTop w:val="0"/>
      <w:marBottom w:val="0"/>
      <w:divBdr>
        <w:top w:val="none" w:sz="0" w:space="0" w:color="auto"/>
        <w:left w:val="none" w:sz="0" w:space="0" w:color="auto"/>
        <w:bottom w:val="none" w:sz="0" w:space="0" w:color="auto"/>
        <w:right w:val="none" w:sz="0" w:space="0" w:color="auto"/>
      </w:divBdr>
    </w:div>
    <w:div w:id="524293553">
      <w:bodyDiv w:val="1"/>
      <w:marLeft w:val="0"/>
      <w:marRight w:val="0"/>
      <w:marTop w:val="0"/>
      <w:marBottom w:val="0"/>
      <w:divBdr>
        <w:top w:val="none" w:sz="0" w:space="0" w:color="auto"/>
        <w:left w:val="none" w:sz="0" w:space="0" w:color="auto"/>
        <w:bottom w:val="none" w:sz="0" w:space="0" w:color="auto"/>
        <w:right w:val="none" w:sz="0" w:space="0" w:color="auto"/>
      </w:divBdr>
      <w:divsChild>
        <w:div w:id="177502604">
          <w:marLeft w:val="0"/>
          <w:marRight w:val="0"/>
          <w:marTop w:val="0"/>
          <w:marBottom w:val="0"/>
          <w:divBdr>
            <w:top w:val="none" w:sz="0" w:space="0" w:color="auto"/>
            <w:left w:val="none" w:sz="0" w:space="0" w:color="auto"/>
            <w:bottom w:val="none" w:sz="0" w:space="0" w:color="auto"/>
            <w:right w:val="none" w:sz="0" w:space="0" w:color="auto"/>
          </w:divBdr>
          <w:divsChild>
            <w:div w:id="1471170739">
              <w:marLeft w:val="0"/>
              <w:marRight w:val="0"/>
              <w:marTop w:val="0"/>
              <w:marBottom w:val="0"/>
              <w:divBdr>
                <w:top w:val="none" w:sz="0" w:space="0" w:color="auto"/>
                <w:left w:val="none" w:sz="0" w:space="0" w:color="auto"/>
                <w:bottom w:val="none" w:sz="0" w:space="0" w:color="auto"/>
                <w:right w:val="none" w:sz="0" w:space="0" w:color="auto"/>
              </w:divBdr>
              <w:divsChild>
                <w:div w:id="2132553737">
                  <w:marLeft w:val="0"/>
                  <w:marRight w:val="0"/>
                  <w:marTop w:val="0"/>
                  <w:marBottom w:val="0"/>
                  <w:divBdr>
                    <w:top w:val="none" w:sz="0" w:space="0" w:color="auto"/>
                    <w:left w:val="none" w:sz="0" w:space="0" w:color="auto"/>
                    <w:bottom w:val="none" w:sz="0" w:space="0" w:color="auto"/>
                    <w:right w:val="none" w:sz="0" w:space="0" w:color="auto"/>
                  </w:divBdr>
                  <w:divsChild>
                    <w:div w:id="1106971699">
                      <w:marLeft w:val="0"/>
                      <w:marRight w:val="0"/>
                      <w:marTop w:val="0"/>
                      <w:marBottom w:val="0"/>
                      <w:divBdr>
                        <w:top w:val="none" w:sz="0" w:space="0" w:color="auto"/>
                        <w:left w:val="none" w:sz="0" w:space="0" w:color="auto"/>
                        <w:bottom w:val="none" w:sz="0" w:space="0" w:color="auto"/>
                        <w:right w:val="none" w:sz="0" w:space="0" w:color="auto"/>
                      </w:divBdr>
                      <w:divsChild>
                        <w:div w:id="122433184">
                          <w:marLeft w:val="0"/>
                          <w:marRight w:val="0"/>
                          <w:marTop w:val="0"/>
                          <w:marBottom w:val="0"/>
                          <w:divBdr>
                            <w:top w:val="none" w:sz="0" w:space="0" w:color="auto"/>
                            <w:left w:val="none" w:sz="0" w:space="0" w:color="auto"/>
                            <w:bottom w:val="none" w:sz="0" w:space="0" w:color="auto"/>
                            <w:right w:val="none" w:sz="0" w:space="0" w:color="auto"/>
                          </w:divBdr>
                          <w:divsChild>
                            <w:div w:id="618953446">
                              <w:marLeft w:val="0"/>
                              <w:marRight w:val="0"/>
                              <w:marTop w:val="0"/>
                              <w:marBottom w:val="0"/>
                              <w:divBdr>
                                <w:top w:val="none" w:sz="0" w:space="0" w:color="auto"/>
                                <w:left w:val="none" w:sz="0" w:space="0" w:color="auto"/>
                                <w:bottom w:val="none" w:sz="0" w:space="0" w:color="auto"/>
                                <w:right w:val="none" w:sz="0" w:space="0" w:color="auto"/>
                              </w:divBdr>
                              <w:divsChild>
                                <w:div w:id="1559364519">
                                  <w:marLeft w:val="0"/>
                                  <w:marRight w:val="0"/>
                                  <w:marTop w:val="0"/>
                                  <w:marBottom w:val="0"/>
                                  <w:divBdr>
                                    <w:top w:val="none" w:sz="0" w:space="0" w:color="auto"/>
                                    <w:left w:val="none" w:sz="0" w:space="0" w:color="auto"/>
                                    <w:bottom w:val="none" w:sz="0" w:space="0" w:color="auto"/>
                                    <w:right w:val="none" w:sz="0" w:space="0" w:color="auto"/>
                                  </w:divBdr>
                                  <w:divsChild>
                                    <w:div w:id="514465286">
                                      <w:marLeft w:val="0"/>
                                      <w:marRight w:val="0"/>
                                      <w:marTop w:val="0"/>
                                      <w:marBottom w:val="0"/>
                                      <w:divBdr>
                                        <w:top w:val="none" w:sz="0" w:space="0" w:color="auto"/>
                                        <w:left w:val="none" w:sz="0" w:space="0" w:color="auto"/>
                                        <w:bottom w:val="none" w:sz="0" w:space="0" w:color="auto"/>
                                        <w:right w:val="none" w:sz="0" w:space="0" w:color="auto"/>
                                      </w:divBdr>
                                      <w:divsChild>
                                        <w:div w:id="115155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5388815">
      <w:bodyDiv w:val="1"/>
      <w:marLeft w:val="0"/>
      <w:marRight w:val="0"/>
      <w:marTop w:val="0"/>
      <w:marBottom w:val="0"/>
      <w:divBdr>
        <w:top w:val="none" w:sz="0" w:space="0" w:color="auto"/>
        <w:left w:val="none" w:sz="0" w:space="0" w:color="auto"/>
        <w:bottom w:val="none" w:sz="0" w:space="0" w:color="auto"/>
        <w:right w:val="none" w:sz="0" w:space="0" w:color="auto"/>
      </w:divBdr>
    </w:div>
    <w:div w:id="778260600">
      <w:bodyDiv w:val="1"/>
      <w:marLeft w:val="0"/>
      <w:marRight w:val="0"/>
      <w:marTop w:val="0"/>
      <w:marBottom w:val="0"/>
      <w:divBdr>
        <w:top w:val="none" w:sz="0" w:space="0" w:color="auto"/>
        <w:left w:val="none" w:sz="0" w:space="0" w:color="auto"/>
        <w:bottom w:val="none" w:sz="0" w:space="0" w:color="auto"/>
        <w:right w:val="none" w:sz="0" w:space="0" w:color="auto"/>
      </w:divBdr>
    </w:div>
    <w:div w:id="835997531">
      <w:bodyDiv w:val="1"/>
      <w:marLeft w:val="0"/>
      <w:marRight w:val="0"/>
      <w:marTop w:val="0"/>
      <w:marBottom w:val="0"/>
      <w:divBdr>
        <w:top w:val="none" w:sz="0" w:space="0" w:color="auto"/>
        <w:left w:val="none" w:sz="0" w:space="0" w:color="auto"/>
        <w:bottom w:val="none" w:sz="0" w:space="0" w:color="auto"/>
        <w:right w:val="none" w:sz="0" w:space="0" w:color="auto"/>
      </w:divBdr>
    </w:div>
    <w:div w:id="874266917">
      <w:bodyDiv w:val="1"/>
      <w:marLeft w:val="0"/>
      <w:marRight w:val="0"/>
      <w:marTop w:val="0"/>
      <w:marBottom w:val="0"/>
      <w:divBdr>
        <w:top w:val="none" w:sz="0" w:space="0" w:color="auto"/>
        <w:left w:val="none" w:sz="0" w:space="0" w:color="auto"/>
        <w:bottom w:val="none" w:sz="0" w:space="0" w:color="auto"/>
        <w:right w:val="none" w:sz="0" w:space="0" w:color="auto"/>
      </w:divBdr>
    </w:div>
    <w:div w:id="924338452">
      <w:bodyDiv w:val="1"/>
      <w:marLeft w:val="0"/>
      <w:marRight w:val="0"/>
      <w:marTop w:val="0"/>
      <w:marBottom w:val="0"/>
      <w:divBdr>
        <w:top w:val="none" w:sz="0" w:space="0" w:color="auto"/>
        <w:left w:val="none" w:sz="0" w:space="0" w:color="auto"/>
        <w:bottom w:val="none" w:sz="0" w:space="0" w:color="auto"/>
        <w:right w:val="none" w:sz="0" w:space="0" w:color="auto"/>
      </w:divBdr>
    </w:div>
    <w:div w:id="1015229222">
      <w:bodyDiv w:val="1"/>
      <w:marLeft w:val="0"/>
      <w:marRight w:val="0"/>
      <w:marTop w:val="0"/>
      <w:marBottom w:val="0"/>
      <w:divBdr>
        <w:top w:val="none" w:sz="0" w:space="0" w:color="auto"/>
        <w:left w:val="none" w:sz="0" w:space="0" w:color="auto"/>
        <w:bottom w:val="none" w:sz="0" w:space="0" w:color="auto"/>
        <w:right w:val="none" w:sz="0" w:space="0" w:color="auto"/>
      </w:divBdr>
    </w:div>
    <w:div w:id="1030106482">
      <w:bodyDiv w:val="1"/>
      <w:marLeft w:val="0"/>
      <w:marRight w:val="0"/>
      <w:marTop w:val="0"/>
      <w:marBottom w:val="0"/>
      <w:divBdr>
        <w:top w:val="none" w:sz="0" w:space="0" w:color="auto"/>
        <w:left w:val="none" w:sz="0" w:space="0" w:color="auto"/>
        <w:bottom w:val="none" w:sz="0" w:space="0" w:color="auto"/>
        <w:right w:val="none" w:sz="0" w:space="0" w:color="auto"/>
      </w:divBdr>
    </w:div>
    <w:div w:id="1053310045">
      <w:bodyDiv w:val="1"/>
      <w:marLeft w:val="0"/>
      <w:marRight w:val="0"/>
      <w:marTop w:val="0"/>
      <w:marBottom w:val="0"/>
      <w:divBdr>
        <w:top w:val="none" w:sz="0" w:space="0" w:color="auto"/>
        <w:left w:val="none" w:sz="0" w:space="0" w:color="auto"/>
        <w:bottom w:val="none" w:sz="0" w:space="0" w:color="auto"/>
        <w:right w:val="none" w:sz="0" w:space="0" w:color="auto"/>
      </w:divBdr>
    </w:div>
    <w:div w:id="1074090813">
      <w:bodyDiv w:val="1"/>
      <w:marLeft w:val="0"/>
      <w:marRight w:val="0"/>
      <w:marTop w:val="0"/>
      <w:marBottom w:val="0"/>
      <w:divBdr>
        <w:top w:val="none" w:sz="0" w:space="0" w:color="auto"/>
        <w:left w:val="none" w:sz="0" w:space="0" w:color="auto"/>
        <w:bottom w:val="none" w:sz="0" w:space="0" w:color="auto"/>
        <w:right w:val="none" w:sz="0" w:space="0" w:color="auto"/>
      </w:divBdr>
    </w:div>
    <w:div w:id="1140726617">
      <w:bodyDiv w:val="1"/>
      <w:marLeft w:val="0"/>
      <w:marRight w:val="0"/>
      <w:marTop w:val="0"/>
      <w:marBottom w:val="0"/>
      <w:divBdr>
        <w:top w:val="none" w:sz="0" w:space="0" w:color="auto"/>
        <w:left w:val="none" w:sz="0" w:space="0" w:color="auto"/>
        <w:bottom w:val="none" w:sz="0" w:space="0" w:color="auto"/>
        <w:right w:val="none" w:sz="0" w:space="0" w:color="auto"/>
      </w:divBdr>
    </w:div>
    <w:div w:id="1171943261">
      <w:bodyDiv w:val="1"/>
      <w:marLeft w:val="0"/>
      <w:marRight w:val="0"/>
      <w:marTop w:val="0"/>
      <w:marBottom w:val="0"/>
      <w:divBdr>
        <w:top w:val="none" w:sz="0" w:space="0" w:color="auto"/>
        <w:left w:val="none" w:sz="0" w:space="0" w:color="auto"/>
        <w:bottom w:val="none" w:sz="0" w:space="0" w:color="auto"/>
        <w:right w:val="none" w:sz="0" w:space="0" w:color="auto"/>
      </w:divBdr>
    </w:div>
    <w:div w:id="1244294704">
      <w:bodyDiv w:val="1"/>
      <w:marLeft w:val="0"/>
      <w:marRight w:val="0"/>
      <w:marTop w:val="0"/>
      <w:marBottom w:val="0"/>
      <w:divBdr>
        <w:top w:val="none" w:sz="0" w:space="0" w:color="auto"/>
        <w:left w:val="none" w:sz="0" w:space="0" w:color="auto"/>
        <w:bottom w:val="none" w:sz="0" w:space="0" w:color="auto"/>
        <w:right w:val="none" w:sz="0" w:space="0" w:color="auto"/>
      </w:divBdr>
    </w:div>
    <w:div w:id="1247300230">
      <w:bodyDiv w:val="1"/>
      <w:marLeft w:val="0"/>
      <w:marRight w:val="0"/>
      <w:marTop w:val="0"/>
      <w:marBottom w:val="0"/>
      <w:divBdr>
        <w:top w:val="none" w:sz="0" w:space="0" w:color="auto"/>
        <w:left w:val="none" w:sz="0" w:space="0" w:color="auto"/>
        <w:bottom w:val="none" w:sz="0" w:space="0" w:color="auto"/>
        <w:right w:val="none" w:sz="0" w:space="0" w:color="auto"/>
      </w:divBdr>
    </w:div>
    <w:div w:id="1259563627">
      <w:bodyDiv w:val="1"/>
      <w:marLeft w:val="0"/>
      <w:marRight w:val="0"/>
      <w:marTop w:val="0"/>
      <w:marBottom w:val="0"/>
      <w:divBdr>
        <w:top w:val="none" w:sz="0" w:space="0" w:color="auto"/>
        <w:left w:val="none" w:sz="0" w:space="0" w:color="auto"/>
        <w:bottom w:val="none" w:sz="0" w:space="0" w:color="auto"/>
        <w:right w:val="none" w:sz="0" w:space="0" w:color="auto"/>
      </w:divBdr>
    </w:div>
    <w:div w:id="1338650173">
      <w:bodyDiv w:val="1"/>
      <w:marLeft w:val="0"/>
      <w:marRight w:val="0"/>
      <w:marTop w:val="0"/>
      <w:marBottom w:val="0"/>
      <w:divBdr>
        <w:top w:val="none" w:sz="0" w:space="0" w:color="auto"/>
        <w:left w:val="none" w:sz="0" w:space="0" w:color="auto"/>
        <w:bottom w:val="none" w:sz="0" w:space="0" w:color="auto"/>
        <w:right w:val="none" w:sz="0" w:space="0" w:color="auto"/>
      </w:divBdr>
    </w:div>
    <w:div w:id="1339574379">
      <w:bodyDiv w:val="1"/>
      <w:marLeft w:val="0"/>
      <w:marRight w:val="0"/>
      <w:marTop w:val="0"/>
      <w:marBottom w:val="0"/>
      <w:divBdr>
        <w:top w:val="none" w:sz="0" w:space="0" w:color="auto"/>
        <w:left w:val="none" w:sz="0" w:space="0" w:color="auto"/>
        <w:bottom w:val="none" w:sz="0" w:space="0" w:color="auto"/>
        <w:right w:val="none" w:sz="0" w:space="0" w:color="auto"/>
      </w:divBdr>
    </w:div>
    <w:div w:id="1360736464">
      <w:bodyDiv w:val="1"/>
      <w:marLeft w:val="0"/>
      <w:marRight w:val="0"/>
      <w:marTop w:val="0"/>
      <w:marBottom w:val="0"/>
      <w:divBdr>
        <w:top w:val="none" w:sz="0" w:space="0" w:color="auto"/>
        <w:left w:val="none" w:sz="0" w:space="0" w:color="auto"/>
        <w:bottom w:val="none" w:sz="0" w:space="0" w:color="auto"/>
        <w:right w:val="none" w:sz="0" w:space="0" w:color="auto"/>
      </w:divBdr>
    </w:div>
    <w:div w:id="1378091965">
      <w:bodyDiv w:val="1"/>
      <w:marLeft w:val="0"/>
      <w:marRight w:val="0"/>
      <w:marTop w:val="0"/>
      <w:marBottom w:val="0"/>
      <w:divBdr>
        <w:top w:val="none" w:sz="0" w:space="0" w:color="auto"/>
        <w:left w:val="none" w:sz="0" w:space="0" w:color="auto"/>
        <w:bottom w:val="none" w:sz="0" w:space="0" w:color="auto"/>
        <w:right w:val="none" w:sz="0" w:space="0" w:color="auto"/>
      </w:divBdr>
    </w:div>
    <w:div w:id="1390154012">
      <w:bodyDiv w:val="1"/>
      <w:marLeft w:val="0"/>
      <w:marRight w:val="0"/>
      <w:marTop w:val="0"/>
      <w:marBottom w:val="0"/>
      <w:divBdr>
        <w:top w:val="none" w:sz="0" w:space="0" w:color="auto"/>
        <w:left w:val="none" w:sz="0" w:space="0" w:color="auto"/>
        <w:bottom w:val="none" w:sz="0" w:space="0" w:color="auto"/>
        <w:right w:val="none" w:sz="0" w:space="0" w:color="auto"/>
      </w:divBdr>
    </w:div>
    <w:div w:id="1537544026">
      <w:bodyDiv w:val="1"/>
      <w:marLeft w:val="0"/>
      <w:marRight w:val="0"/>
      <w:marTop w:val="0"/>
      <w:marBottom w:val="0"/>
      <w:divBdr>
        <w:top w:val="none" w:sz="0" w:space="0" w:color="auto"/>
        <w:left w:val="none" w:sz="0" w:space="0" w:color="auto"/>
        <w:bottom w:val="none" w:sz="0" w:space="0" w:color="auto"/>
        <w:right w:val="none" w:sz="0" w:space="0" w:color="auto"/>
      </w:divBdr>
    </w:div>
    <w:div w:id="1548058372">
      <w:bodyDiv w:val="1"/>
      <w:marLeft w:val="0"/>
      <w:marRight w:val="0"/>
      <w:marTop w:val="0"/>
      <w:marBottom w:val="0"/>
      <w:divBdr>
        <w:top w:val="none" w:sz="0" w:space="0" w:color="auto"/>
        <w:left w:val="none" w:sz="0" w:space="0" w:color="auto"/>
        <w:bottom w:val="none" w:sz="0" w:space="0" w:color="auto"/>
        <w:right w:val="none" w:sz="0" w:space="0" w:color="auto"/>
      </w:divBdr>
    </w:div>
    <w:div w:id="1567493791">
      <w:bodyDiv w:val="1"/>
      <w:marLeft w:val="0"/>
      <w:marRight w:val="0"/>
      <w:marTop w:val="0"/>
      <w:marBottom w:val="0"/>
      <w:divBdr>
        <w:top w:val="none" w:sz="0" w:space="0" w:color="auto"/>
        <w:left w:val="none" w:sz="0" w:space="0" w:color="auto"/>
        <w:bottom w:val="none" w:sz="0" w:space="0" w:color="auto"/>
        <w:right w:val="none" w:sz="0" w:space="0" w:color="auto"/>
      </w:divBdr>
    </w:div>
    <w:div w:id="1618902646">
      <w:bodyDiv w:val="1"/>
      <w:marLeft w:val="0"/>
      <w:marRight w:val="0"/>
      <w:marTop w:val="0"/>
      <w:marBottom w:val="0"/>
      <w:divBdr>
        <w:top w:val="none" w:sz="0" w:space="0" w:color="auto"/>
        <w:left w:val="none" w:sz="0" w:space="0" w:color="auto"/>
        <w:bottom w:val="none" w:sz="0" w:space="0" w:color="auto"/>
        <w:right w:val="none" w:sz="0" w:space="0" w:color="auto"/>
      </w:divBdr>
    </w:div>
    <w:div w:id="1664623012">
      <w:bodyDiv w:val="1"/>
      <w:marLeft w:val="0"/>
      <w:marRight w:val="0"/>
      <w:marTop w:val="0"/>
      <w:marBottom w:val="0"/>
      <w:divBdr>
        <w:top w:val="none" w:sz="0" w:space="0" w:color="auto"/>
        <w:left w:val="none" w:sz="0" w:space="0" w:color="auto"/>
        <w:bottom w:val="none" w:sz="0" w:space="0" w:color="auto"/>
        <w:right w:val="none" w:sz="0" w:space="0" w:color="auto"/>
      </w:divBdr>
    </w:div>
    <w:div w:id="1668243081">
      <w:bodyDiv w:val="1"/>
      <w:marLeft w:val="0"/>
      <w:marRight w:val="0"/>
      <w:marTop w:val="0"/>
      <w:marBottom w:val="0"/>
      <w:divBdr>
        <w:top w:val="none" w:sz="0" w:space="0" w:color="auto"/>
        <w:left w:val="none" w:sz="0" w:space="0" w:color="auto"/>
        <w:bottom w:val="none" w:sz="0" w:space="0" w:color="auto"/>
        <w:right w:val="none" w:sz="0" w:space="0" w:color="auto"/>
      </w:divBdr>
    </w:div>
    <w:div w:id="1727219721">
      <w:bodyDiv w:val="1"/>
      <w:marLeft w:val="0"/>
      <w:marRight w:val="0"/>
      <w:marTop w:val="0"/>
      <w:marBottom w:val="0"/>
      <w:divBdr>
        <w:top w:val="none" w:sz="0" w:space="0" w:color="auto"/>
        <w:left w:val="none" w:sz="0" w:space="0" w:color="auto"/>
        <w:bottom w:val="none" w:sz="0" w:space="0" w:color="auto"/>
        <w:right w:val="none" w:sz="0" w:space="0" w:color="auto"/>
      </w:divBdr>
    </w:div>
    <w:div w:id="1761288667">
      <w:bodyDiv w:val="1"/>
      <w:marLeft w:val="0"/>
      <w:marRight w:val="0"/>
      <w:marTop w:val="0"/>
      <w:marBottom w:val="0"/>
      <w:divBdr>
        <w:top w:val="none" w:sz="0" w:space="0" w:color="auto"/>
        <w:left w:val="none" w:sz="0" w:space="0" w:color="auto"/>
        <w:bottom w:val="none" w:sz="0" w:space="0" w:color="auto"/>
        <w:right w:val="none" w:sz="0" w:space="0" w:color="auto"/>
      </w:divBdr>
    </w:div>
    <w:div w:id="1810322954">
      <w:bodyDiv w:val="1"/>
      <w:marLeft w:val="0"/>
      <w:marRight w:val="0"/>
      <w:marTop w:val="0"/>
      <w:marBottom w:val="0"/>
      <w:divBdr>
        <w:top w:val="none" w:sz="0" w:space="0" w:color="auto"/>
        <w:left w:val="none" w:sz="0" w:space="0" w:color="auto"/>
        <w:bottom w:val="none" w:sz="0" w:space="0" w:color="auto"/>
        <w:right w:val="none" w:sz="0" w:space="0" w:color="auto"/>
      </w:divBdr>
    </w:div>
    <w:div w:id="1812822482">
      <w:bodyDiv w:val="1"/>
      <w:marLeft w:val="0"/>
      <w:marRight w:val="0"/>
      <w:marTop w:val="0"/>
      <w:marBottom w:val="0"/>
      <w:divBdr>
        <w:top w:val="none" w:sz="0" w:space="0" w:color="auto"/>
        <w:left w:val="none" w:sz="0" w:space="0" w:color="auto"/>
        <w:bottom w:val="none" w:sz="0" w:space="0" w:color="auto"/>
        <w:right w:val="none" w:sz="0" w:space="0" w:color="auto"/>
      </w:divBdr>
    </w:div>
    <w:div w:id="1855873924">
      <w:bodyDiv w:val="1"/>
      <w:marLeft w:val="0"/>
      <w:marRight w:val="0"/>
      <w:marTop w:val="0"/>
      <w:marBottom w:val="0"/>
      <w:divBdr>
        <w:top w:val="none" w:sz="0" w:space="0" w:color="auto"/>
        <w:left w:val="none" w:sz="0" w:space="0" w:color="auto"/>
        <w:bottom w:val="none" w:sz="0" w:space="0" w:color="auto"/>
        <w:right w:val="none" w:sz="0" w:space="0" w:color="auto"/>
      </w:divBdr>
    </w:div>
    <w:div w:id="1885213708">
      <w:bodyDiv w:val="1"/>
      <w:marLeft w:val="0"/>
      <w:marRight w:val="0"/>
      <w:marTop w:val="0"/>
      <w:marBottom w:val="0"/>
      <w:divBdr>
        <w:top w:val="none" w:sz="0" w:space="0" w:color="auto"/>
        <w:left w:val="none" w:sz="0" w:space="0" w:color="auto"/>
        <w:bottom w:val="none" w:sz="0" w:space="0" w:color="auto"/>
        <w:right w:val="none" w:sz="0" w:space="0" w:color="auto"/>
      </w:divBdr>
    </w:div>
    <w:div w:id="1887335363">
      <w:bodyDiv w:val="1"/>
      <w:marLeft w:val="0"/>
      <w:marRight w:val="0"/>
      <w:marTop w:val="0"/>
      <w:marBottom w:val="0"/>
      <w:divBdr>
        <w:top w:val="none" w:sz="0" w:space="0" w:color="auto"/>
        <w:left w:val="none" w:sz="0" w:space="0" w:color="auto"/>
        <w:bottom w:val="none" w:sz="0" w:space="0" w:color="auto"/>
        <w:right w:val="none" w:sz="0" w:space="0" w:color="auto"/>
      </w:divBdr>
    </w:div>
    <w:div w:id="1947149492">
      <w:bodyDiv w:val="1"/>
      <w:marLeft w:val="0"/>
      <w:marRight w:val="0"/>
      <w:marTop w:val="0"/>
      <w:marBottom w:val="0"/>
      <w:divBdr>
        <w:top w:val="none" w:sz="0" w:space="0" w:color="auto"/>
        <w:left w:val="none" w:sz="0" w:space="0" w:color="auto"/>
        <w:bottom w:val="none" w:sz="0" w:space="0" w:color="auto"/>
        <w:right w:val="none" w:sz="0" w:space="0" w:color="auto"/>
      </w:divBdr>
    </w:div>
    <w:div w:id="1951668492">
      <w:bodyDiv w:val="1"/>
      <w:marLeft w:val="0"/>
      <w:marRight w:val="0"/>
      <w:marTop w:val="0"/>
      <w:marBottom w:val="0"/>
      <w:divBdr>
        <w:top w:val="none" w:sz="0" w:space="0" w:color="auto"/>
        <w:left w:val="none" w:sz="0" w:space="0" w:color="auto"/>
        <w:bottom w:val="none" w:sz="0" w:space="0" w:color="auto"/>
        <w:right w:val="none" w:sz="0" w:space="0" w:color="auto"/>
      </w:divBdr>
    </w:div>
    <w:div w:id="1979147134">
      <w:bodyDiv w:val="1"/>
      <w:marLeft w:val="0"/>
      <w:marRight w:val="0"/>
      <w:marTop w:val="0"/>
      <w:marBottom w:val="0"/>
      <w:divBdr>
        <w:top w:val="none" w:sz="0" w:space="0" w:color="auto"/>
        <w:left w:val="none" w:sz="0" w:space="0" w:color="auto"/>
        <w:bottom w:val="none" w:sz="0" w:space="0" w:color="auto"/>
        <w:right w:val="none" w:sz="0" w:space="0" w:color="auto"/>
      </w:divBdr>
    </w:div>
    <w:div w:id="212985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pettit@utexas.edu" TargetMode="External"/><Relationship Id="rId3" Type="http://schemas.openxmlformats.org/officeDocument/2006/relationships/settings" Target="settings.xml"/><Relationship Id="rId7" Type="http://schemas.openxmlformats.org/officeDocument/2006/relationships/hyperlink" Target="mailto:mike.geruso@utexas.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1608</Words>
  <Characters>9166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FIRST NAME LAST NAME</vt:lpstr>
    </vt:vector>
  </TitlesOfParts>
  <Company>Harvard University</Company>
  <LinksUpToDate>false</LinksUpToDate>
  <CharactersWithSpaces>10753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NAME LAST NAME</dc:title>
  <dc:creator>pcguest</dc:creator>
  <cp:lastModifiedBy>Eilam, Nir</cp:lastModifiedBy>
  <cp:revision>32</cp:revision>
  <cp:lastPrinted>2017-09-05T21:18:00Z</cp:lastPrinted>
  <dcterms:created xsi:type="dcterms:W3CDTF">2020-08-17T05:41:00Z</dcterms:created>
  <dcterms:modified xsi:type="dcterms:W3CDTF">2020-08-26T06:13:00Z</dcterms:modified>
</cp:coreProperties>
</file>