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1B3A5C"/>
          <w:sz w:val="96"/>
          <w:szCs w:val="96"/>
        </w:rPr>
        <w:t xml:space="preserve">SOFI</w:t>
      </w:r>
    </w:p>
    <w:p>
      <w:pPr>
        <w:spacing w:after="200" w:before="100"/>
        <w:jc w:val="center"/>
      </w:pPr>
      <w:r>
        <w:rPr>
          <w:rFonts w:ascii="Arial" w:cs="Arial" w:eastAsia="Arial" w:hAnsi="Arial"/>
          <w:color w:val="2E6DA4"/>
          <w:sz w:val="32"/>
          <w:szCs w:val="32"/>
        </w:rPr>
        <w:t xml:space="preserve">Sistema de Apoyo al Reclutamiento</w:t>
      </w:r>
    </w:p>
    <w:p>
      <w:pPr>
        <w:pBdr>
          <w:bottom w:val="single" w:color="2E6DA4" w:sz="8" w:space="6"/>
        </w:pBdr>
        <w:spacing w:after="600" w:before="0"/>
        <w:jc w:val="center"/>
      </w:pPr>
    </w:p>
    <w:p>
      <w:pPr>
        <w:spacing w:after="120" w:before="600"/>
        <w:jc w:val="center"/>
      </w:pPr>
      <w:r>
        <w:rPr>
          <w:rFonts w:ascii="Arial" w:cs="Arial" w:eastAsia="Arial" w:hAnsi="Arial"/>
          <w:b/>
          <w:bCs/>
          <w:color w:val="1B3A5C"/>
          <w:sz w:val="48"/>
          <w:szCs w:val="48"/>
        </w:rPr>
        <w:t xml:space="preserve">INFORME TÉCNICO</w:t>
      </w:r>
    </w:p>
    <w:p>
      <w:pPr>
        <w:spacing w:after="80" w:before="0"/>
        <w:jc w:val="center"/>
      </w:pPr>
      <w:r>
        <w:rPr>
          <w:rFonts w:ascii="Arial" w:cs="Arial" w:eastAsia="Arial" w:hAnsi="Arial"/>
          <w:i/>
          <w:iCs/>
          <w:color w:val="2E6DA4"/>
          <w:sz w:val="28"/>
          <w:szCs w:val="28"/>
        </w:rPr>
        <w:t xml:space="preserve">Módulo de Publicación en Portales de Empleo</w:t>
      </w:r>
    </w:p>
    <w:p>
      <w:pPr>
        <w:spacing w:after="500" w:before="80"/>
        <w:jc w:val="center"/>
      </w:pPr>
      <w:r>
        <w:rPr>
          <w:rFonts w:ascii="Arial" w:cs="Arial" w:eastAsia="Arial" w:hAnsi="Arial"/>
          <w:color w:val="7F8C9A"/>
          <w:sz w:val="22"/>
          <w:szCs w:val="22"/>
        </w:rPr>
        <w:t xml:space="preserve">API REST · Endpoints Internos · Integraciones Externas · Consideraciones Técnicas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DEE4EC" w:sz="1"/>
              <w:left w:val="single" w:color="DEE4EC" w:sz="1"/>
              <w:bottom w:val="single" w:color="DEE4EC" w:sz="1"/>
              <w:right w:val="single" w:color="DEE4EC" w:sz="1"/>
            </w:tcBorders>
            <w:shd w:fill="D6E4F0" w:val="clear"/>
            <w:tcMar>
              <w:top w:type="dxa" w:w="80"/>
              <w:left w:type="dxa" w:w="120"/>
              <w:bottom w:type="dxa" w:w="80"/>
              <w:right w:type="dxa" w:w="80"/>
            </w:tcMar>
          </w:tcPr>
          <w:p>
            <w:r>
              <w:rPr>
                <w:rFonts w:ascii="Arial" w:cs="Arial" w:eastAsia="Arial" w:hAnsi="Arial"/>
                <w:b/>
                <w:bCs/>
                <w:color w:val="1B3A5C"/>
                <w:sz w:val="20"/>
                <w:szCs w:val="20"/>
              </w:rPr>
              <w:t xml:space="preserve">Versión</w:t>
            </w:r>
          </w:p>
        </w:tc>
        <w:tc>
          <w:tcPr>
            <w:tcW w:type="dxa" w:w="2500"/>
            <w:tcBorders>
              <w:top w:val="single" w:color="DEE4EC" w:sz="1"/>
              <w:left w:val="single" w:color="DEE4EC" w:sz="1"/>
              <w:bottom w:val="single" w:color="DEE4EC" w:sz="1"/>
              <w:right w:val="single" w:color="DEE4EC"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1.0 — Febrero 2026</w:t>
            </w:r>
          </w:p>
        </w:tc>
      </w:tr>
      <w:tr>
        <w:tc>
          <w:tcPr>
            <w:tcW w:type="dxa" w:w="2500"/>
            <w:tcBorders>
              <w:top w:val="single" w:color="DEE4EC" w:sz="1"/>
              <w:left w:val="single" w:color="DEE4EC" w:sz="1"/>
              <w:bottom w:val="single" w:color="DEE4EC" w:sz="1"/>
              <w:right w:val="single" w:color="DEE4EC" w:sz="1"/>
            </w:tcBorders>
            <w:shd w:fill="D6E4F0" w:val="clear"/>
            <w:tcMar>
              <w:top w:type="dxa" w:w="80"/>
              <w:left w:type="dxa" w:w="120"/>
              <w:bottom w:type="dxa" w:w="80"/>
              <w:right w:type="dxa" w:w="80"/>
            </w:tcMar>
          </w:tcPr>
          <w:p>
            <w:r>
              <w:rPr>
                <w:rFonts w:ascii="Arial" w:cs="Arial" w:eastAsia="Arial" w:hAnsi="Arial"/>
                <w:b/>
                <w:bCs/>
                <w:color w:val="1B3A5C"/>
                <w:sz w:val="20"/>
                <w:szCs w:val="20"/>
              </w:rPr>
              <w:t xml:space="preserve">Clasificación</w:t>
            </w:r>
          </w:p>
        </w:tc>
        <w:tc>
          <w:tcPr>
            <w:tcW w:type="dxa" w:w="2500"/>
            <w:tcBorders>
              <w:top w:val="single" w:color="DEE4EC" w:sz="1"/>
              <w:left w:val="single" w:color="DEE4EC" w:sz="1"/>
              <w:bottom w:val="single" w:color="DEE4EC" w:sz="1"/>
              <w:right w:val="single" w:color="DEE4EC"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Confidencial · Uso Interno</w:t>
            </w:r>
          </w:p>
        </w:tc>
      </w:tr>
      <w:tr>
        <w:tc>
          <w:tcPr>
            <w:tcW w:type="dxa" w:w="2500"/>
            <w:tcBorders>
              <w:top w:val="single" w:color="DEE4EC" w:sz="1"/>
              <w:left w:val="single" w:color="DEE4EC" w:sz="1"/>
              <w:bottom w:val="single" w:color="DEE4EC" w:sz="1"/>
              <w:right w:val="single" w:color="DEE4EC" w:sz="1"/>
            </w:tcBorders>
            <w:shd w:fill="D6E4F0" w:val="clear"/>
            <w:tcMar>
              <w:top w:type="dxa" w:w="80"/>
              <w:left w:type="dxa" w:w="120"/>
              <w:bottom w:type="dxa" w:w="80"/>
              <w:right w:type="dxa" w:w="80"/>
            </w:tcMar>
          </w:tcPr>
          <w:p>
            <w:r>
              <w:rPr>
                <w:rFonts w:ascii="Arial" w:cs="Arial" w:eastAsia="Arial" w:hAnsi="Arial"/>
                <w:b/>
                <w:bCs/>
                <w:color w:val="1B3A5C"/>
                <w:sz w:val="20"/>
                <w:szCs w:val="20"/>
              </w:rPr>
              <w:t xml:space="preserve">Framework</w:t>
            </w:r>
          </w:p>
        </w:tc>
        <w:tc>
          <w:tcPr>
            <w:tcW w:type="dxa" w:w="2500"/>
            <w:tcBorders>
              <w:top w:val="single" w:color="DEE4EC" w:sz="1"/>
              <w:left w:val="single" w:color="DEE4EC" w:sz="1"/>
              <w:bottom w:val="single" w:color="DEE4EC" w:sz="1"/>
              <w:right w:val="single" w:color="DEE4EC"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FastAPI + MongoDB</w:t>
            </w:r>
          </w:p>
        </w:tc>
      </w:tr>
      <w:tr>
        <w:tc>
          <w:tcPr>
            <w:tcW w:type="dxa" w:w="2500"/>
            <w:tcBorders>
              <w:top w:val="single" w:color="DEE4EC" w:sz="1"/>
              <w:left w:val="single" w:color="DEE4EC" w:sz="1"/>
              <w:bottom w:val="single" w:color="DEE4EC" w:sz="1"/>
              <w:right w:val="single" w:color="DEE4EC" w:sz="1"/>
            </w:tcBorders>
            <w:shd w:fill="D6E4F0" w:val="clear"/>
            <w:tcMar>
              <w:top w:type="dxa" w:w="80"/>
              <w:left w:type="dxa" w:w="120"/>
              <w:bottom w:type="dxa" w:w="80"/>
              <w:right w:type="dxa" w:w="80"/>
            </w:tcMar>
          </w:tcPr>
          <w:p>
            <w:r>
              <w:rPr>
                <w:rFonts w:ascii="Arial" w:cs="Arial" w:eastAsia="Arial" w:hAnsi="Arial"/>
                <w:b/>
                <w:bCs/>
                <w:color w:val="1B3A5C"/>
                <w:sz w:val="20"/>
                <w:szCs w:val="20"/>
              </w:rPr>
              <w:t xml:space="preserve">Base URL</w:t>
            </w:r>
          </w:p>
        </w:tc>
        <w:tc>
          <w:tcPr>
            <w:tcW w:type="dxa" w:w="2500"/>
            <w:tcBorders>
              <w:top w:val="single" w:color="DEE4EC" w:sz="1"/>
              <w:left w:val="single" w:color="DEE4EC" w:sz="1"/>
              <w:bottom w:val="single" w:color="DEE4EC" w:sz="1"/>
              <w:right w:val="single" w:color="DEE4EC"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https://api.sofi.example.com/v1</w:t>
            </w:r>
          </w:p>
        </w:tc>
      </w:tr>
    </w:tbl>
    <w:p>
      <w:r>
        <w:br w:type="page"/>
      </w:r>
    </w:p>
    <w:p>
      <w:pPr>
        <w:pStyle w:val="Heading1"/>
        <w:spacing w:after="200" w:before="360"/>
      </w:pPr>
      <w:r>
        <w:rPr>
          <w:rFonts w:ascii="Arial" w:cs="Arial" w:eastAsia="Arial" w:hAnsi="Arial"/>
          <w:b/>
          <w:bCs/>
          <w:color w:val="1B3A5C"/>
          <w:sz w:val="36"/>
          <w:szCs w:val="36"/>
        </w:rPr>
        <w:t xml:space="preserve">1. Introducción</w:t>
      </w:r>
    </w:p>
    <w:p>
      <w:pPr>
        <w:spacing w:after="80" w:before="80"/>
        <w:jc w:val="both"/>
      </w:pPr>
      <w:r>
        <w:rPr>
          <w:rFonts w:ascii="Arial" w:cs="Arial" w:eastAsia="Arial" w:hAnsi="Arial"/>
          <w:color w:val="1A1A2E"/>
          <w:sz w:val="22"/>
          <w:szCs w:val="22"/>
        </w:rPr>
        <w:t xml:space="preserve">SOFI (Sistema de Apoyo al Reclutamiento) es una plataforma SaaS diseñada para automatizar y centralizar el proceso de publicación de vacantes laborales en múltiples portales de empleo. Este informe técnico describe la arquitectura de la API REST, los endpoints desarrollados internamente en FastAPI, las integraciones con servicios externos y las consideraciones técnicas críticas para el desarrollo, despliegue y mantenimiento del módulo de Publicación en Portales de Empleo.</w:t>
      </w:r>
    </w:p>
    <w:p>
      <w:pPr>
        <w:spacing w:after="0" w:before="100"/>
      </w:pPr>
    </w:p>
    <w:p>
      <w:pPr>
        <w:spacing w:after="80" w:before="80"/>
        <w:jc w:val="both"/>
      </w:pPr>
      <w:r>
        <w:rPr>
          <w:rFonts w:ascii="Arial" w:cs="Arial" w:eastAsia="Arial" w:hAnsi="Arial"/>
          <w:color w:val="1A1A2E"/>
          <w:sz w:val="22"/>
          <w:szCs w:val="22"/>
        </w:rPr>
        <w:t xml:space="preserve">El módulo cubre todo el ciclo de vida de una publicación: desde la autenticación del reclutador, la creación y gestión de vacantes, la generación de perfiles de anuncio (manual o asistida por IA), la selección de portales de empleo, hasta la gestión de pagos y el seguimiento del estado de cada publicación en cada portal externo.</w:t>
      </w:r>
    </w:p>
    <w:p>
      <w:pPr>
        <w:spacing w:after="0" w:before="200"/>
      </w:pPr>
    </w:p>
    <w:p>
      <w:pPr>
        <w:pStyle w:val="Heading2"/>
        <w:spacing w:after="140" w:before="280"/>
      </w:pPr>
      <w:r>
        <w:rPr>
          <w:rFonts w:ascii="Arial" w:cs="Arial" w:eastAsia="Arial" w:hAnsi="Arial"/>
          <w:b/>
          <w:bCs/>
          <w:color w:val="2E6DA4"/>
          <w:sz w:val="28"/>
          <w:szCs w:val="28"/>
        </w:rPr>
        <w:t xml:space="preserve">1.1 Alcance del Sistema</w:t>
      </w:r>
    </w:p>
    <w:p>
      <w:pPr>
        <w:spacing w:after="80" w:before="80"/>
        <w:jc w:val="both"/>
      </w:pPr>
      <w:r>
        <w:rPr>
          <w:rFonts w:ascii="Arial" w:cs="Arial" w:eastAsia="Arial" w:hAnsi="Arial"/>
          <w:color w:val="1A1A2E"/>
          <w:sz w:val="22"/>
          <w:szCs w:val="22"/>
        </w:rPr>
        <w:t xml:space="preserve">El módulo opera sobre la base de datos MongoDB denominada sofi_db y expone una API REST con base URL:</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EE4EC" w:sz="1"/>
              <w:left w:val="single" w:color="DEE4EC" w:sz="1"/>
              <w:bottom w:val="single" w:color="DEE4EC" w:sz="1"/>
              <w:right w:val="single" w:color="DEE4EC" w:sz="1"/>
            </w:tcBorders>
            <w:shd w:fill="F5F7FA" w:val="clear"/>
            <w:tcMar>
              <w:top w:type="dxa" w:w="80"/>
              <w:left w:type="dxa" w:w="120"/>
              <w:bottom w:type="dxa" w:w="80"/>
              <w:right w:type="dxa" w:w="120"/>
            </w:tcMar>
          </w:tcPr>
          <w:p>
            <w:r>
              <w:rPr>
                <w:rFonts w:ascii="Arial" w:cs="Arial" w:eastAsia="Arial" w:hAnsi="Arial"/>
                <w:b/>
                <w:bCs/>
                <w:color w:val="1B3A5C"/>
                <w:sz w:val="20"/>
                <w:szCs w:val="20"/>
              </w:rPr>
              <w:t xml:space="preserve">Base URL</w:t>
            </w:r>
          </w:p>
        </w:tc>
        <w:tc>
          <w:tcPr>
            <w:tcW w:type="dxa" w:w="6960"/>
            <w:tcBorders>
              <w:top w:val="single" w:color="DEE4EC" w:sz="1"/>
              <w:left w:val="single" w:color="DEE4EC" w:sz="1"/>
              <w:bottom w:val="single" w:color="DEE4EC" w:sz="1"/>
              <w:right w:val="single" w:color="DEE4EC"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https://api.sofi.example.com/v1</w:t>
            </w:r>
          </w:p>
        </w:tc>
      </w:tr>
    </w:tbl>
    <w:p>
      <w:pPr>
        <w:spacing w:after="0" w:before="100"/>
      </w:pPr>
    </w:p>
    <w:p>
      <w:pPr>
        <w:spacing w:after="80" w:before="80"/>
        <w:jc w:val="both"/>
      </w:pPr>
      <w:r>
        <w:rPr>
          <w:rFonts w:ascii="Arial" w:cs="Arial" w:eastAsia="Arial" w:hAnsi="Arial"/>
          <w:color w:val="1A1A2E"/>
          <w:sz w:val="22"/>
          <w:szCs w:val="22"/>
        </w:rPr>
        <w:t xml:space="preserve">Todos los endpoints requieren autenticación mediante Bearer JWT en el header Authorization, a excepción del proceso de login. Las respuestas siguen una estructura estándar con campo success, data y meta para paginación.</w:t>
      </w:r>
    </w:p>
    <w:p>
      <w:pPr>
        <w:spacing w:after="0" w:before="200"/>
      </w:pPr>
    </w:p>
    <w:p>
      <w:pPr>
        <w:pStyle w:val="Heading2"/>
        <w:spacing w:after="140" w:before="280"/>
      </w:pPr>
      <w:r>
        <w:rPr>
          <w:rFonts w:ascii="Arial" w:cs="Arial" w:eastAsia="Arial" w:hAnsi="Arial"/>
          <w:b/>
          <w:bCs/>
          <w:color w:val="2E6DA4"/>
          <w:sz w:val="28"/>
          <w:szCs w:val="28"/>
        </w:rPr>
        <w:t xml:space="preserve">1.2 Módulos Funcionales</w:t>
      </w:r>
    </w:p>
    <w:p>
      <w:pPr>
        <w:spacing w:after="80" w:before="80"/>
        <w:jc w:val="both"/>
      </w:pPr>
      <w:r>
        <w:rPr>
          <w:rFonts w:ascii="Arial" w:cs="Arial" w:eastAsia="Arial" w:hAnsi="Arial"/>
          <w:color w:val="1A1A2E"/>
          <w:sz w:val="22"/>
          <w:szCs w:val="22"/>
        </w:rPr>
        <w:t xml:space="preserve">El sistema se organiza en seis módulos funcionales principales, cada uno con su conjunto de endpoints:</w:t>
      </w:r>
    </w:p>
    <w:p>
      <w:pPr>
        <w:spacing w:after="0" w:before="100"/>
      </w:pPr>
    </w:p>
    <w:p>
      <w:pPr>
        <w:pStyle w:val="ListParagraph"/>
        <w:numPr>
          <w:ilvl w:val="0"/>
          <w:numId w:val="2"/>
        </w:numPr>
        <w:spacing w:after="60" w:before="60"/>
      </w:pPr>
      <w:r>
        <w:rPr>
          <w:rFonts w:ascii="Arial" w:cs="Arial" w:eastAsia="Arial" w:hAnsi="Arial"/>
          <w:color w:val="1A1A2E"/>
          <w:sz w:val="22"/>
          <w:szCs w:val="22"/>
        </w:rPr>
        <w:t xml:space="preserve">Autenticación: gestión de sesiones JWT con login y refresco de tokens.</w:t>
      </w:r>
    </w:p>
    <w:p>
      <w:pPr>
        <w:pStyle w:val="ListParagraph"/>
        <w:numPr>
          <w:ilvl w:val="0"/>
          <w:numId w:val="2"/>
        </w:numPr>
        <w:spacing w:after="60" w:before="60"/>
      </w:pPr>
      <w:r>
        <w:rPr>
          <w:rFonts w:ascii="Arial" w:cs="Arial" w:eastAsia="Arial" w:hAnsi="Arial"/>
          <w:color w:val="1A1A2E"/>
          <w:sz w:val="22"/>
          <w:szCs w:val="22"/>
        </w:rPr>
        <w:t xml:space="preserve">Vacantes: CRUD completo del ciclo de vida de vacantes laborales.</w:t>
      </w:r>
    </w:p>
    <w:p>
      <w:pPr>
        <w:pStyle w:val="ListParagraph"/>
        <w:numPr>
          <w:ilvl w:val="0"/>
          <w:numId w:val="2"/>
        </w:numPr>
        <w:spacing w:after="60" w:before="60"/>
      </w:pPr>
      <w:r>
        <w:rPr>
          <w:rFonts w:ascii="Arial" w:cs="Arial" w:eastAsia="Arial" w:hAnsi="Arial"/>
          <w:color w:val="1A1A2E"/>
          <w:sz w:val="22"/>
          <w:szCs w:val="22"/>
        </w:rPr>
        <w:t xml:space="preserve">Perfiles de Cargo: perfiles de anuncio reutilizables con soporte de IA generativa.</w:t>
      </w:r>
    </w:p>
    <w:p>
      <w:pPr>
        <w:pStyle w:val="ListParagraph"/>
        <w:numPr>
          <w:ilvl w:val="0"/>
          <w:numId w:val="2"/>
        </w:numPr>
        <w:spacing w:after="60" w:before="60"/>
      </w:pPr>
      <w:r>
        <w:rPr>
          <w:rFonts w:ascii="Arial" w:cs="Arial" w:eastAsia="Arial" w:hAnsi="Arial"/>
          <w:color w:val="1A1A2E"/>
          <w:sz w:val="22"/>
          <w:szCs w:val="22"/>
        </w:rPr>
        <w:t xml:space="preserve">Portales de Empleo: catálogo de portales disponibles con información de cobertura y costos.</w:t>
      </w:r>
    </w:p>
    <w:p>
      <w:pPr>
        <w:pStyle w:val="ListParagraph"/>
        <w:numPr>
          <w:ilvl w:val="0"/>
          <w:numId w:val="2"/>
        </w:numPr>
        <w:spacing w:after="60" w:before="60"/>
      </w:pPr>
      <w:r>
        <w:rPr>
          <w:rFonts w:ascii="Arial" w:cs="Arial" w:eastAsia="Arial" w:hAnsi="Arial"/>
          <w:color w:val="1A1A2E"/>
          <w:sz w:val="22"/>
          <w:szCs w:val="22"/>
        </w:rPr>
        <w:t xml:space="preserve">Campañas de Publicación: flujo central multi-portal que orquesta la publicación.</w:t>
      </w:r>
    </w:p>
    <w:p>
      <w:pPr>
        <w:pStyle w:val="ListParagraph"/>
        <w:numPr>
          <w:ilvl w:val="0"/>
          <w:numId w:val="2"/>
        </w:numPr>
        <w:spacing w:after="60" w:before="60"/>
      </w:pPr>
      <w:r>
        <w:rPr>
          <w:rFonts w:ascii="Arial" w:cs="Arial" w:eastAsia="Arial" w:hAnsi="Arial"/>
          <w:color w:val="1A1A2E"/>
          <w:sz w:val="22"/>
          <w:szCs w:val="22"/>
        </w:rPr>
        <w:t xml:space="preserve">Pagos: procesamiento de transacciones para portales de costo con integración a gateway externo.</w:t>
      </w:r>
    </w:p>
    <w:p>
      <w:pPr>
        <w:spacing w:after="0" w:before="200"/>
      </w:pPr>
    </w:p>
    <w:p>
      <w:pPr>
        <w:pStyle w:val="Heading2"/>
        <w:spacing w:after="140" w:before="280"/>
      </w:pPr>
      <w:r>
        <w:rPr>
          <w:rFonts w:ascii="Arial" w:cs="Arial" w:eastAsia="Arial" w:hAnsi="Arial"/>
          <w:b/>
          <w:bCs/>
          <w:color w:val="2E6DA4"/>
          <w:sz w:val="28"/>
          <w:szCs w:val="28"/>
        </w:rPr>
        <w:t xml:space="preserve">1.3 Flujo General del Sistema</w:t>
      </w:r>
    </w:p>
    <w:p>
      <w:pPr>
        <w:spacing w:after="80" w:before="80"/>
        <w:jc w:val="both"/>
      </w:pPr>
      <w:r>
        <w:rPr>
          <w:rFonts w:ascii="Arial" w:cs="Arial" w:eastAsia="Arial" w:hAnsi="Arial"/>
          <w:color w:val="1A1A2E"/>
          <w:sz w:val="22"/>
          <w:szCs w:val="22"/>
        </w:rPr>
        <w:t xml:space="preserve">El flujo operativo comienza con el login del reclutador. Una vez autenticado, el sistema valida sus credenciales y le presenta el catálogo de vacantes. El reclutador busca o crea una vacante, le asigna un código único, y procede a crear un perfil de cargo (manualmente o mediante la IA generativa de SOFI). Luego selecciona los portales de empleo donde publicar, visualiza una previsualización del anuncio, y si algún portal tiene costo, se inicia el proceso de pago. Una vez confirmado el pago (o si todos los portales son gratuitos), la campaña pasa a estado de publicación activa.</w:t>
      </w:r>
    </w:p>
    <w:p>
      <w:pPr>
        <w:spacing w:after="0" w:before="200"/>
      </w:pPr>
    </w:p>
    <w:p>
      <w:r>
        <w:br w:type="page"/>
      </w:r>
    </w:p>
    <w:p>
      <w:pPr>
        <w:pStyle w:val="Heading1"/>
        <w:spacing w:after="200" w:before="360"/>
      </w:pPr>
      <w:r>
        <w:rPr>
          <w:rFonts w:ascii="Arial" w:cs="Arial" w:eastAsia="Arial" w:hAnsi="Arial"/>
          <w:b/>
          <w:bCs/>
          <w:color w:val="1B3A5C"/>
          <w:sz w:val="36"/>
          <w:szCs w:val="36"/>
        </w:rPr>
        <w:t xml:space="preserve">2. Endpoints Internos — Desarrollo en FastAPI</w:t>
      </w:r>
    </w:p>
    <w:p>
      <w:pPr>
        <w:spacing w:after="80" w:before="80"/>
        <w:jc w:val="both"/>
      </w:pPr>
      <w:r>
        <w:rPr>
          <w:rFonts w:ascii="Arial" w:cs="Arial" w:eastAsia="Arial" w:hAnsi="Arial"/>
          <w:color w:val="1A1A2E"/>
          <w:sz w:val="22"/>
          <w:szCs w:val="22"/>
        </w:rPr>
        <w:t xml:space="preserve">Todos los endpoints listados a continuación son desarrollados e implementados internamente en el backend FastAPI de SOFI. Se comunican directamente con la base de datos MongoDB (sofi_db) y aplican las reglas de negocio del sistema.</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2"/>
              <w:bottom w:val="single" w:color="2E6DA4" w:sz="1"/>
              <w:right w:val="single" w:color="DEE4EC" w:sz="1"/>
            </w:tcBorders>
            <w:shd w:fill="D6E4F0" w:val="clear"/>
            <w:tcMar>
              <w:top w:type="dxa" w:w="120"/>
              <w:left w:type="dxa" w:w="200"/>
              <w:bottom w:type="dxa" w:w="120"/>
              <w:right w:type="dxa" w:w="200"/>
            </w:tcMar>
          </w:tcPr>
          <w:p>
            <w:pPr>
              <w:spacing w:after="80" w:before="60"/>
            </w:pPr>
            <w:r>
              <w:rPr>
                <w:rFonts w:ascii="Arial" w:cs="Arial" w:eastAsia="Arial" w:hAnsi="Arial"/>
                <w:b/>
                <w:bCs/>
                <w:color w:val="2E6DA4"/>
                <w:sz w:val="22"/>
                <w:szCs w:val="22"/>
              </w:rPr>
              <w:t xml:space="preserve">Convenciones Generales</w:t>
            </w:r>
          </w:p>
          <w:p>
            <w:pPr>
              <w:spacing w:after="40" w:before="40"/>
            </w:pPr>
            <w:r>
              <w:rPr>
                <w:rFonts w:ascii="Arial" w:cs="Arial" w:eastAsia="Arial" w:hAnsi="Arial"/>
                <w:color w:val="1A1A2E"/>
                <w:sz w:val="20"/>
                <w:szCs w:val="20"/>
              </w:rPr>
              <w:t xml:space="preserve">  • Autenticación: Bearer JWT en header Authorization (excepto /auth/login y /auth/refresh).</w:t>
            </w:r>
          </w:p>
          <w:p>
            <w:pPr>
              <w:spacing w:after="40" w:before="40"/>
            </w:pPr>
            <w:r>
              <w:rPr>
                <w:rFonts w:ascii="Arial" w:cs="Arial" w:eastAsia="Arial" w:hAnsi="Arial"/>
                <w:color w:val="1A1A2E"/>
                <w:sz w:val="20"/>
                <w:szCs w:val="20"/>
              </w:rPr>
              <w:t xml:space="preserve">  • Formato: application/json en request body y response.</w:t>
            </w:r>
          </w:p>
          <w:p>
            <w:pPr>
              <w:spacing w:after="40" w:before="40"/>
            </w:pPr>
            <w:r>
              <w:rPr>
                <w:rFonts w:ascii="Arial" w:cs="Arial" w:eastAsia="Arial" w:hAnsi="Arial"/>
                <w:color w:val="1A1A2E"/>
                <w:sz w:val="20"/>
                <w:szCs w:val="20"/>
              </w:rPr>
              <w:t xml:space="preserve">  • Paginación: parámetros page y limit. La respuesta incluye meta.total, meta.page, meta.limit, meta.pages.</w:t>
            </w:r>
          </w:p>
          <w:p>
            <w:pPr>
              <w:spacing w:after="40" w:before="40"/>
            </w:pPr>
            <w:r>
              <w:rPr>
                <w:rFonts w:ascii="Arial" w:cs="Arial" w:eastAsia="Arial" w:hAnsi="Arial"/>
                <w:color w:val="1A1A2E"/>
                <w:sz w:val="20"/>
                <w:szCs w:val="20"/>
              </w:rPr>
              <w:t xml:space="preserve">  • IDs: strings de 24 caracteres hexadecimales representando ObjectId de MongoDB.</w:t>
            </w:r>
          </w:p>
          <w:p>
            <w:pPr>
              <w:spacing w:after="40" w:before="40"/>
            </w:pPr>
            <w:r>
              <w:rPr>
                <w:rFonts w:ascii="Arial" w:cs="Arial" w:eastAsia="Arial" w:hAnsi="Arial"/>
                <w:color w:val="1A1A2E"/>
                <w:sz w:val="20"/>
                <w:szCs w:val="20"/>
              </w:rPr>
              <w:t xml:space="preserve">  • Errores: estructura estándar { success: false, error: { code, message, details } }.</w:t>
            </w:r>
          </w:p>
        </w:tc>
      </w:tr>
    </w:tbl>
    <w:p>
      <w:pPr>
        <w:spacing w:after="0" w:before="200"/>
      </w:pPr>
    </w:p>
    <w:p>
      <w:pPr>
        <w:pBdr>
          <w:bottom w:val="single" w:color="2E6DA4" w:sz="6" w:space="4"/>
        </w:pBdr>
        <w:spacing w:after="180" w:before="300"/>
      </w:pPr>
      <w:r>
        <w:rPr>
          <w:rFonts w:ascii="Arial" w:cs="Arial" w:eastAsia="Arial" w:hAnsi="Arial"/>
          <w:b/>
          <w:bCs/>
          <w:color w:val="2E6DA4"/>
          <w:sz w:val="30"/>
          <w:szCs w:val="30"/>
        </w:rPr>
        <w:t xml:space="preserve">2.1 Autenticación</w:t>
      </w:r>
    </w:p>
    <w:p>
      <w:pPr>
        <w:spacing w:after="80" w:before="80"/>
        <w:jc w:val="both"/>
      </w:pPr>
      <w:r>
        <w:rPr>
          <w:rFonts w:ascii="Arial" w:cs="Arial" w:eastAsia="Arial" w:hAnsi="Arial"/>
          <w:color w:val="1A1A2E"/>
          <w:sz w:val="22"/>
          <w:szCs w:val="22"/>
        </w:rPr>
        <w:t xml:space="preserve">Gestiona el ciclo de vida de las sesiones de usuario. El access_token tiene una vigencia de 8 horas; el refresh_token persiste 30 días y debe almacenarse en una cookie httpOnly.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E8F5E9" w:sz="1"/>
              <w:left w:val="single" w:color="E8F5E9" w:sz="1"/>
              <w:bottom w:val="single" w:color="E8F5E9" w:sz="1"/>
              <w:right w:val="single" w:color="E8F5E9" w:sz="1"/>
            </w:tcBorders>
            <w:shd w:fill="E8F5E9" w:val="clear"/>
            <w:tcMar>
              <w:top w:type="dxa" w:w="80"/>
              <w:left w:type="dxa" w:w="100"/>
              <w:bottom w:type="dxa" w:w="80"/>
              <w:right w:type="dxa" w:w="100"/>
            </w:tcMar>
            <w:vAlign w:val="center"/>
          </w:tcPr>
          <w:p>
            <w:pPr>
              <w:jc w:val="center"/>
            </w:pPr>
            <w:r>
              <w:rPr>
                <w:rFonts w:ascii="Arial" w:cs="Arial" w:eastAsia="Arial" w:hAnsi="Arial"/>
                <w:b/>
                <w:bCs/>
                <w:color w:val="2E7D32"/>
                <w:sz w:val="18"/>
                <w:szCs w:val="18"/>
              </w:rPr>
              <w:t xml:space="preserve">POST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/auth/login</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Autentica usuario y retorna JWT de acceso y refresh token</w:t>
            </w:r>
          </w:p>
        </w:tc>
      </w:tr>
    </w:tbl>
    <w:p>
      <w:pPr>
        <w:spacing w:after="0" w:before="100"/>
      </w:pPr>
    </w:p>
    <w:p>
      <w:pPr>
        <w:spacing w:after="80" w:before="80"/>
        <w:jc w:val="both"/>
      </w:pPr>
      <w:r>
        <w:rPr>
          <w:rFonts w:ascii="Arial" w:cs="Arial" w:eastAsia="Arial" w:hAnsi="Arial"/>
          <w:color w:val="1A1A2E"/>
          <w:sz w:val="22"/>
          <w:szCs w:val="22"/>
        </w:rPr>
        <w:t xml:space="preserve">Cuerpo de la solicitud: email (string, requerido) y password (string, requerido, mínimo 8 caracteres). La respuesta exitosa (200) retorna access_token, refresh_token y los datos básicos del usuario (id, nombre, email, rol). Implementa bloqueo temporal de 15 minutos tras intentos fallidos reiterados (código ERR_TOO_MANY_ATTEMPTS).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E8F5E9" w:sz="1"/>
              <w:left w:val="single" w:color="E8F5E9" w:sz="1"/>
              <w:bottom w:val="single" w:color="E8F5E9" w:sz="1"/>
              <w:right w:val="single" w:color="E8F5E9" w:sz="1"/>
            </w:tcBorders>
            <w:shd w:fill="E8F5E9" w:val="clear"/>
            <w:tcMar>
              <w:top w:type="dxa" w:w="80"/>
              <w:left w:type="dxa" w:w="100"/>
              <w:bottom w:type="dxa" w:w="80"/>
              <w:right w:type="dxa" w:w="100"/>
            </w:tcMar>
            <w:vAlign w:val="center"/>
          </w:tcPr>
          <w:p>
            <w:pPr>
              <w:jc w:val="center"/>
            </w:pPr>
            <w:r>
              <w:rPr>
                <w:rFonts w:ascii="Arial" w:cs="Arial" w:eastAsia="Arial" w:hAnsi="Arial"/>
                <w:b/>
                <w:bCs/>
                <w:color w:val="2E7D32"/>
                <w:sz w:val="18"/>
                <w:szCs w:val="18"/>
              </w:rPr>
              <w:t xml:space="preserve">POST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/auth/refresh</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Renueva el access_token usando el refresh_token</w:t>
            </w:r>
          </w:p>
        </w:tc>
      </w:tr>
    </w:tbl>
    <w:p>
      <w:pPr>
        <w:spacing w:after="0" w:before="100"/>
      </w:pPr>
    </w:p>
    <w:p>
      <w:pPr>
        <w:spacing w:after="80" w:before="80"/>
        <w:jc w:val="both"/>
      </w:pPr>
      <w:r>
        <w:rPr>
          <w:rFonts w:ascii="Arial" w:cs="Arial" w:eastAsia="Arial" w:hAnsi="Arial"/>
          <w:color w:val="1A1A2E"/>
          <w:sz w:val="22"/>
          <w:szCs w:val="22"/>
        </w:rPr>
        <w:t xml:space="preserve">Recibe el refresh_token en el body y retorna un nuevo access_token. Invalida el token si la cuenta fue desactivada después de su emisión.</w:t>
      </w:r>
    </w:p>
    <w:p>
      <w:pPr>
        <w:spacing w:after="0" w:before="200"/>
      </w:pPr>
    </w:p>
    <w:p>
      <w:pPr>
        <w:pBdr>
          <w:bottom w:val="single" w:color="2E6DA4" w:sz="6" w:space="4"/>
        </w:pBdr>
        <w:spacing w:after="180" w:before="300"/>
      </w:pPr>
      <w:r>
        <w:rPr>
          <w:rFonts w:ascii="Arial" w:cs="Arial" w:eastAsia="Arial" w:hAnsi="Arial"/>
          <w:b/>
          <w:bCs/>
          <w:color w:val="2E6DA4"/>
          <w:sz w:val="30"/>
          <w:szCs w:val="30"/>
        </w:rPr>
        <w:t xml:space="preserve">2.2 Gestión de Vacantes</w:t>
      </w:r>
    </w:p>
    <w:p>
      <w:pPr>
        <w:spacing w:after="80" w:before="80"/>
        <w:jc w:val="both"/>
      </w:pPr>
      <w:r>
        <w:rPr>
          <w:rFonts w:ascii="Arial" w:cs="Arial" w:eastAsia="Arial" w:hAnsi="Arial"/>
          <w:color w:val="1A1A2E"/>
          <w:sz w:val="22"/>
          <w:szCs w:val="22"/>
        </w:rPr>
        <w:t xml:space="preserve">Endpoints para el CRUD completo del ciclo de vida de vacantes. Las vacantes poseen estados controlados (borrador, vigente, pausada, cerrada) y un código numérico secuencial auto-incrementado asignado al momento de creación.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D6E4F0" w:sz="1"/>
              <w:left w:val="single" w:color="D6E4F0" w:sz="1"/>
              <w:bottom w:val="single" w:color="D6E4F0" w:sz="1"/>
              <w:right w:val="single" w:color="D6E4F0" w:sz="1"/>
            </w:tcBorders>
            <w:shd w:fill="D6E4F0" w:val="clear"/>
            <w:tcMar>
              <w:top w:type="dxa" w:w="80"/>
              <w:left w:type="dxa" w:w="100"/>
              <w:bottom w:type="dxa" w:w="80"/>
              <w:right w:type="dxa" w:w="100"/>
            </w:tcMar>
            <w:vAlign w:val="center"/>
          </w:tcPr>
          <w:p>
            <w:pPr>
              <w:jc w:val="center"/>
            </w:pPr>
            <w:r>
              <w:rPr>
                <w:rFonts w:ascii="Arial" w:cs="Arial" w:eastAsia="Arial" w:hAnsi="Arial"/>
                <w:b/>
                <w:bCs/>
                <w:color w:val="2E6DA4"/>
                <w:sz w:val="18"/>
                <w:szCs w:val="18"/>
              </w:rPr>
              <w:t xml:space="preserve">GET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/vacantes</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Lista paginada de vacantes con filtros opcionales</w:t>
            </w:r>
          </w:p>
        </w:tc>
      </w:tr>
    </w:tbl>
    <w:p>
      <w:pPr>
        <w:spacing w:after="0" w:before="100"/>
      </w:pPr>
    </w:p>
    <w:p>
      <w:pPr>
        <w:spacing w:after="80" w:before="80"/>
        <w:jc w:val="both"/>
      </w:pPr>
      <w:r>
        <w:rPr>
          <w:rFonts w:ascii="Arial" w:cs="Arial" w:eastAsia="Arial" w:hAnsi="Arial"/>
          <w:color w:val="1A1A2E"/>
          <w:sz w:val="22"/>
          <w:szCs w:val="22"/>
        </w:rPr>
        <w:t xml:space="preserve">Soporta filtros por empresa_id, estado, categoria_id, vigente y búsqueda de texto libre (q) sobre nombre y descripción usando el índice de texto de MongoDB. Ordenamiento configurable por createdAt, codigo o nombre. La respuesta incluye datos resumidos de cada vacante con referencias a empresa y categoría.</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E8F5E9" w:sz="1"/>
              <w:left w:val="single" w:color="E8F5E9" w:sz="1"/>
              <w:bottom w:val="single" w:color="E8F5E9" w:sz="1"/>
              <w:right w:val="single" w:color="E8F5E9" w:sz="1"/>
            </w:tcBorders>
            <w:shd w:fill="E8F5E9" w:val="clear"/>
            <w:tcMar>
              <w:top w:type="dxa" w:w="80"/>
              <w:left w:type="dxa" w:w="100"/>
              <w:bottom w:type="dxa" w:w="80"/>
              <w:right w:type="dxa" w:w="100"/>
            </w:tcMar>
            <w:vAlign w:val="center"/>
          </w:tcPr>
          <w:p>
            <w:pPr>
              <w:jc w:val="center"/>
            </w:pPr>
            <w:r>
              <w:rPr>
                <w:rFonts w:ascii="Arial" w:cs="Arial" w:eastAsia="Arial" w:hAnsi="Arial"/>
                <w:b/>
                <w:bCs/>
                <w:color w:val="2E7D32"/>
                <w:sz w:val="18"/>
                <w:szCs w:val="18"/>
              </w:rPr>
              <w:t xml:space="preserve">POST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/vacantes</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Crea una nueva vacante con código auto-generado</w:t>
            </w:r>
          </w:p>
        </w:tc>
      </w:tr>
    </w:tbl>
    <w:p>
      <w:pPr>
        <w:spacing w:after="0" w:before="100"/>
      </w:pPr>
    </w:p>
    <w:p>
      <w:pPr>
        <w:spacing w:after="80" w:before="80"/>
        <w:jc w:val="both"/>
      </w:pPr>
      <w:r>
        <w:rPr>
          <w:rFonts w:ascii="Arial" w:cs="Arial" w:eastAsia="Arial" w:hAnsi="Arial"/>
          <w:color w:val="1A1A2E"/>
          <w:sz w:val="22"/>
          <w:szCs w:val="22"/>
        </w:rPr>
        <w:t xml:space="preserve">Campos requeridos: nombre (3–200 caracteres), empresa_id, categoria_id y estado. Verifica la existencia y estado activo de empresa y categoría antes de persistir. El código numérico es generado automáticamente por el sistema. Retorna 201 con el id y código asignados.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D6E4F0" w:sz="1"/>
              <w:left w:val="single" w:color="D6E4F0" w:sz="1"/>
              <w:bottom w:val="single" w:color="D6E4F0" w:sz="1"/>
              <w:right w:val="single" w:color="D6E4F0" w:sz="1"/>
            </w:tcBorders>
            <w:shd w:fill="D6E4F0" w:val="clear"/>
            <w:tcMar>
              <w:top w:type="dxa" w:w="80"/>
              <w:left w:type="dxa" w:w="100"/>
              <w:bottom w:type="dxa" w:w="80"/>
              <w:right w:type="dxa" w:w="100"/>
            </w:tcMar>
            <w:vAlign w:val="center"/>
          </w:tcPr>
          <w:p>
            <w:pPr>
              <w:jc w:val="center"/>
            </w:pPr>
            <w:r>
              <w:rPr>
                <w:rFonts w:ascii="Arial" w:cs="Arial" w:eastAsia="Arial" w:hAnsi="Arial"/>
                <w:b/>
                <w:bCs/>
                <w:color w:val="2E6DA4"/>
                <w:sz w:val="18"/>
                <w:szCs w:val="18"/>
              </w:rPr>
              <w:t xml:space="preserve">GET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/vacantes/:id</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Retorna el detalle completo de una vacante</w:t>
            </w:r>
          </w:p>
        </w:tc>
      </w:tr>
    </w:tbl>
    <w:p>
      <w:pPr>
        <w:spacing w:after="0" w:before="100"/>
      </w:pPr>
    </w:p>
    <w:p>
      <w:pPr>
        <w:spacing w:after="80" w:before="80"/>
        <w:jc w:val="both"/>
      </w:pPr>
      <w:r>
        <w:rPr>
          <w:rFonts w:ascii="Arial" w:cs="Arial" w:eastAsia="Arial" w:hAnsi="Arial"/>
          <w:color w:val="1A1A2E"/>
          <w:sz w:val="22"/>
          <w:szCs w:val="22"/>
        </w:rPr>
        <w:t xml:space="preserve">Retorna el documento completo de la vacante incluyendo datos expandidos de empresa (id, nombre, logo_url), categoría (id, nombre, slug), reclutador asignado, lista de preguntas asociadas y resumen de campañas de publicación vinculadas.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FFF3E0" w:sz="1"/>
              <w:left w:val="single" w:color="FFF3E0" w:sz="1"/>
              <w:bottom w:val="single" w:color="FFF3E0" w:sz="1"/>
              <w:right w:val="single" w:color="FFF3E0" w:sz="1"/>
            </w:tcBorders>
            <w:shd w:fill="FFF3E0" w:val="clear"/>
            <w:tcMar>
              <w:top w:type="dxa" w:w="80"/>
              <w:left w:type="dxa" w:w="100"/>
              <w:bottom w:type="dxa" w:w="80"/>
              <w:right w:type="dxa" w:w="100"/>
            </w:tcMar>
            <w:vAlign w:val="center"/>
          </w:tcPr>
          <w:p>
            <w:pPr>
              <w:jc w:val="center"/>
            </w:pPr>
            <w:r>
              <w:rPr>
                <w:rFonts w:ascii="Arial" w:cs="Arial" w:eastAsia="Arial" w:hAnsi="Arial"/>
                <w:b/>
                <w:bCs/>
                <w:color w:val="E65100"/>
                <w:sz w:val="18"/>
                <w:szCs w:val="18"/>
              </w:rPr>
              <w:t xml:space="preserve">PUT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/vacantes/:id</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Actualiza uno o más campos de una vacante existente</w:t>
            </w:r>
          </w:p>
        </w:tc>
      </w:tr>
    </w:tbl>
    <w:p>
      <w:pPr>
        <w:spacing w:after="0" w:before="100"/>
      </w:pPr>
    </w:p>
    <w:p>
      <w:pPr>
        <w:spacing w:after="80" w:before="80"/>
        <w:jc w:val="both"/>
      </w:pPr>
      <w:r>
        <w:rPr>
          <w:rFonts w:ascii="Arial" w:cs="Arial" w:eastAsia="Arial" w:hAnsi="Arial"/>
          <w:color w:val="1A1A2E"/>
          <w:sz w:val="22"/>
          <w:szCs w:val="22"/>
        </w:rPr>
        <w:t xml:space="preserve">Todos los campos del body son opcionales (actualización parcial). Controla las transiciones de estado válidas: no se puede transicionar directamente desde estado 'cerrada' a otro estado (ERR_INVALID_STATE). Retorna el documento completo actualizado.</w:t>
      </w:r>
    </w:p>
    <w:p>
      <w:pPr>
        <w:spacing w:after="0" w:before="200"/>
      </w:pPr>
    </w:p>
    <w:p>
      <w:pPr>
        <w:pBdr>
          <w:bottom w:val="single" w:color="2E6DA4" w:sz="6" w:space="4"/>
        </w:pBdr>
        <w:spacing w:after="180" w:before="300"/>
      </w:pPr>
      <w:r>
        <w:rPr>
          <w:rFonts w:ascii="Arial" w:cs="Arial" w:eastAsia="Arial" w:hAnsi="Arial"/>
          <w:b/>
          <w:bCs/>
          <w:color w:val="2E6DA4"/>
          <w:sz w:val="30"/>
          <w:szCs w:val="30"/>
        </w:rPr>
        <w:t xml:space="preserve">2.3 Perfiles de Cargo</w:t>
      </w:r>
    </w:p>
    <w:p>
      <w:pPr>
        <w:spacing w:after="80" w:before="80"/>
        <w:jc w:val="both"/>
      </w:pPr>
      <w:r>
        <w:rPr>
          <w:rFonts w:ascii="Arial" w:cs="Arial" w:eastAsia="Arial" w:hAnsi="Arial"/>
          <w:color w:val="1A1A2E"/>
          <w:sz w:val="22"/>
          <w:szCs w:val="22"/>
        </w:rPr>
        <w:t xml:space="preserve">Gestión de perfiles de anuncio reutilizables. Un perfil define el contenido del anuncio que verá el candidato en el portal: título, descripción, requisitos, beneficios y condiciones laborales. Los perfiles pueden crearse manualmente o generarse mediante el motor de IA integrado.</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D6E4F0" w:sz="1"/>
              <w:left w:val="single" w:color="D6E4F0" w:sz="1"/>
              <w:bottom w:val="single" w:color="D6E4F0" w:sz="1"/>
              <w:right w:val="single" w:color="D6E4F0" w:sz="1"/>
            </w:tcBorders>
            <w:shd w:fill="D6E4F0" w:val="clear"/>
            <w:tcMar>
              <w:top w:type="dxa" w:w="80"/>
              <w:left w:type="dxa" w:w="100"/>
              <w:bottom w:type="dxa" w:w="80"/>
              <w:right w:type="dxa" w:w="100"/>
            </w:tcMar>
            <w:vAlign w:val="center"/>
          </w:tcPr>
          <w:p>
            <w:pPr>
              <w:jc w:val="center"/>
            </w:pPr>
            <w:r>
              <w:rPr>
                <w:rFonts w:ascii="Arial" w:cs="Arial" w:eastAsia="Arial" w:hAnsi="Arial"/>
                <w:b/>
                <w:bCs/>
                <w:color w:val="2E6DA4"/>
                <w:sz w:val="18"/>
                <w:szCs w:val="18"/>
              </w:rPr>
              <w:t xml:space="preserve">GET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/perfiles</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Retorna perfiles de cargo con filtros por empresa y categoría</w:t>
            </w:r>
          </w:p>
        </w:tc>
      </w:tr>
    </w:tbl>
    <w:p>
      <w:pPr>
        <w:spacing w:after="0" w:before="100"/>
      </w:pPr>
    </w:p>
    <w:p>
      <w:pPr>
        <w:spacing w:after="80" w:before="80"/>
        <w:jc w:val="both"/>
      </w:pPr>
      <w:r>
        <w:rPr>
          <w:rFonts w:ascii="Arial" w:cs="Arial" w:eastAsia="Arial" w:hAnsi="Arial"/>
          <w:color w:val="1A1A2E"/>
          <w:sz w:val="22"/>
          <w:szCs w:val="22"/>
        </w:rPr>
        <w:t xml:space="preserve">Soporta filtros por empresa_id, categoria_id y búsqueda de texto (q). Ordenamiento por popularidad (-veces_usado) o fecha de creación (-createdAt). El campo veces_usado permite identificar los perfiles más utilizados para reutilización eficiente.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E8F5E9" w:sz="1"/>
              <w:left w:val="single" w:color="E8F5E9" w:sz="1"/>
              <w:bottom w:val="single" w:color="E8F5E9" w:sz="1"/>
              <w:right w:val="single" w:color="E8F5E9" w:sz="1"/>
            </w:tcBorders>
            <w:shd w:fill="E8F5E9" w:val="clear"/>
            <w:tcMar>
              <w:top w:type="dxa" w:w="80"/>
              <w:left w:type="dxa" w:w="100"/>
              <w:bottom w:type="dxa" w:w="80"/>
              <w:right w:type="dxa" w:w="100"/>
            </w:tcMar>
            <w:vAlign w:val="center"/>
          </w:tcPr>
          <w:p>
            <w:pPr>
              <w:jc w:val="center"/>
            </w:pPr>
            <w:r>
              <w:rPr>
                <w:rFonts w:ascii="Arial" w:cs="Arial" w:eastAsia="Arial" w:hAnsi="Arial"/>
                <w:b/>
                <w:bCs/>
                <w:color w:val="2E7D32"/>
                <w:sz w:val="18"/>
                <w:szCs w:val="18"/>
              </w:rPr>
              <w:t xml:space="preserve">POST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/perfiles</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Crea un nuevo perfil de anuncio</w:t>
            </w:r>
          </w:p>
        </w:tc>
      </w:tr>
    </w:tbl>
    <w:p>
      <w:pPr>
        <w:spacing w:after="0" w:before="100"/>
      </w:pPr>
    </w:p>
    <w:p>
      <w:pPr>
        <w:spacing w:after="80" w:before="80"/>
        <w:jc w:val="both"/>
      </w:pPr>
      <w:r>
        <w:rPr>
          <w:rFonts w:ascii="Arial" w:cs="Arial" w:eastAsia="Arial" w:hAnsi="Arial"/>
          <w:color w:val="1A1A2E"/>
          <w:sz w:val="22"/>
          <w:szCs w:val="22"/>
        </w:rPr>
        <w:t xml:space="preserve">Campos requeridos: nombre_perfil, titulo_anuncio (máx 200 caracteres), empresa_id, categoria_id, tipo_jornada y descripcion (máx 8000 caracteres). Campos opcionales para salario (salario_min, salario_max con validación salario_max ≥ salario_min), moneda (ISO 4217), requisitos, beneficios y configuración de IA (ia_chips, tono).</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E8F5E9" w:sz="1"/>
              <w:left w:val="single" w:color="E8F5E9" w:sz="1"/>
              <w:bottom w:val="single" w:color="E8F5E9" w:sz="1"/>
              <w:right w:val="single" w:color="E8F5E9" w:sz="1"/>
            </w:tcBorders>
            <w:shd w:fill="E8F5E9" w:val="clear"/>
            <w:tcMar>
              <w:top w:type="dxa" w:w="80"/>
              <w:left w:type="dxa" w:w="100"/>
              <w:bottom w:type="dxa" w:w="80"/>
              <w:right w:type="dxa" w:w="100"/>
            </w:tcMar>
            <w:vAlign w:val="center"/>
          </w:tcPr>
          <w:p>
            <w:pPr>
              <w:jc w:val="center"/>
            </w:pPr>
            <w:r>
              <w:rPr>
                <w:rFonts w:ascii="Arial" w:cs="Arial" w:eastAsia="Arial" w:hAnsi="Arial"/>
                <w:b/>
                <w:bCs/>
                <w:color w:val="2E7D32"/>
                <w:sz w:val="18"/>
                <w:szCs w:val="18"/>
              </w:rPr>
              <w:t xml:space="preserve">POST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/perfiles/ia/generar</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Genera texto de anuncio asistido por IA (perfil no persistido)</w:t>
            </w:r>
          </w:p>
        </w:tc>
      </w:tr>
    </w:tbl>
    <w:p>
      <w:pPr>
        <w:spacing w:after="0" w:before="100"/>
      </w:pPr>
    </w:p>
    <w:p>
      <w:pPr>
        <w:spacing w:after="80" w:before="80"/>
        <w:jc w:val="both"/>
      </w:pPr>
      <w:r>
        <w:rPr>
          <w:rFonts w:ascii="Arial" w:cs="Arial" w:eastAsia="Arial" w:hAnsi="Arial"/>
          <w:color w:val="1A1A2E"/>
          <w:sz w:val="22"/>
          <w:szCs w:val="22"/>
        </w:rPr>
        <w:t xml:space="preserve">Este endpoint invoca al servicio de IA interno para generar automáticamente el contenido del anuncio. Recibe una descripcion_libre en lenguaje natural (mínimo 20 caracteres, máximo 1000) y retorna una propuesta completa con titulo_anuncio, descripcion, requisitos, beneficios, tipo_jornada, ia_chips identificadas y sugerencias adicionales. El perfil generado NO se persiste automáticamente; el usuario debe confirmarlo y guardarlo usando POST /perfiles.</w:t>
      </w:r>
    </w:p>
    <w:p>
      <w:pPr>
        <w:spacing w:after="0" w:before="200"/>
      </w:pPr>
    </w:p>
    <w:p>
      <w:pPr>
        <w:pBdr>
          <w:bottom w:val="single" w:color="2E6DA4" w:sz="6" w:space="4"/>
        </w:pBdr>
        <w:spacing w:after="180" w:before="300"/>
      </w:pPr>
      <w:r>
        <w:rPr>
          <w:rFonts w:ascii="Arial" w:cs="Arial" w:eastAsia="Arial" w:hAnsi="Arial"/>
          <w:b/>
          <w:bCs/>
          <w:color w:val="2E6DA4"/>
          <w:sz w:val="30"/>
          <w:szCs w:val="30"/>
        </w:rPr>
        <w:t xml:space="preserve">2.4 Portales de Empleo</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D6E4F0" w:sz="1"/>
              <w:left w:val="single" w:color="D6E4F0" w:sz="1"/>
              <w:bottom w:val="single" w:color="D6E4F0" w:sz="1"/>
              <w:right w:val="single" w:color="D6E4F0" w:sz="1"/>
            </w:tcBorders>
            <w:shd w:fill="D6E4F0" w:val="clear"/>
            <w:tcMar>
              <w:top w:type="dxa" w:w="80"/>
              <w:left w:type="dxa" w:w="100"/>
              <w:bottom w:type="dxa" w:w="80"/>
              <w:right w:type="dxa" w:w="100"/>
            </w:tcMar>
            <w:vAlign w:val="center"/>
          </w:tcPr>
          <w:p>
            <w:pPr>
              <w:jc w:val="center"/>
            </w:pPr>
            <w:r>
              <w:rPr>
                <w:rFonts w:ascii="Arial" w:cs="Arial" w:eastAsia="Arial" w:hAnsi="Arial"/>
                <w:b/>
                <w:bCs/>
                <w:color w:val="2E6DA4"/>
                <w:sz w:val="18"/>
                <w:szCs w:val="18"/>
              </w:rPr>
              <w:t xml:space="preserve">GET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/portales</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Catálogo de portales con filtros por país, tipo y modelo de cobro</w:t>
            </w:r>
          </w:p>
        </w:tc>
      </w:tr>
    </w:tbl>
    <w:p>
      <w:pPr>
        <w:spacing w:after="0" w:before="100"/>
      </w:pPr>
    </w:p>
    <w:p>
      <w:pPr>
        <w:spacing w:after="80" w:before="80"/>
        <w:jc w:val="both"/>
      </w:pPr>
      <w:r>
        <w:rPr>
          <w:rFonts w:ascii="Arial" w:cs="Arial" w:eastAsia="Arial" w:hAnsi="Arial"/>
          <w:color w:val="1A1A2E"/>
          <w:sz w:val="22"/>
          <w:szCs w:val="22"/>
        </w:rPr>
        <w:t xml:space="preserve">Retorna el catálogo maestro de portales de empleo disponibles. Soporta filtros por paises (lista separada por comas, ISO 3166-1 alpha-2), modelo_empresa (gratis, pago, freemium, cpc), tipo (bolsa, agregador, red_social, gobierno, clasificados) y api_disponible. La respuesta incluye costo_base y moneda para que el reclutador pueda estimar el costo de la campaña antes de iniciarla.</w:t>
      </w:r>
    </w:p>
    <w:p>
      <w:pPr>
        <w:spacing w:after="0" w:before="200"/>
      </w:pPr>
    </w:p>
    <w:p>
      <w:pPr>
        <w:pBdr>
          <w:bottom w:val="single" w:color="2E6DA4" w:sz="6" w:space="4"/>
        </w:pBdr>
        <w:spacing w:after="180" w:before="300"/>
      </w:pPr>
      <w:r>
        <w:rPr>
          <w:rFonts w:ascii="Arial" w:cs="Arial" w:eastAsia="Arial" w:hAnsi="Arial"/>
          <w:b/>
          <w:bCs/>
          <w:color w:val="2E6DA4"/>
          <w:sz w:val="30"/>
          <w:szCs w:val="30"/>
        </w:rPr>
        <w:t xml:space="preserve">2.5 Campañas de Publicación</w:t>
      </w:r>
    </w:p>
    <w:p>
      <w:pPr>
        <w:spacing w:after="80" w:before="80"/>
        <w:jc w:val="both"/>
      </w:pPr>
      <w:r>
        <w:rPr>
          <w:rFonts w:ascii="Arial" w:cs="Arial" w:eastAsia="Arial" w:hAnsi="Arial"/>
          <w:color w:val="1A1A2E"/>
          <w:sz w:val="22"/>
          <w:szCs w:val="22"/>
        </w:rPr>
        <w:t xml:space="preserve">Flujo central del módulo. Una campaña asocia una vacante con un perfil de cargo y un conjunto de portales seleccionados. El estado de la campaña (y de cada portal dentro de ella) es gestionado de forma independiente.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E8F5E9" w:sz="1"/>
              <w:left w:val="single" w:color="E8F5E9" w:sz="1"/>
              <w:bottom w:val="single" w:color="E8F5E9" w:sz="1"/>
              <w:right w:val="single" w:color="E8F5E9" w:sz="1"/>
            </w:tcBorders>
            <w:shd w:fill="E8F5E9" w:val="clear"/>
            <w:tcMar>
              <w:top w:type="dxa" w:w="80"/>
              <w:left w:type="dxa" w:w="100"/>
              <w:bottom w:type="dxa" w:w="80"/>
              <w:right w:type="dxa" w:w="100"/>
            </w:tcMar>
            <w:vAlign w:val="center"/>
          </w:tcPr>
          <w:p>
            <w:pPr>
              <w:jc w:val="center"/>
            </w:pPr>
            <w:r>
              <w:rPr>
                <w:rFonts w:ascii="Arial" w:cs="Arial" w:eastAsia="Arial" w:hAnsi="Arial"/>
                <w:b/>
                <w:bCs/>
                <w:color w:val="2E7D32"/>
                <w:sz w:val="18"/>
                <w:szCs w:val="18"/>
              </w:rPr>
              <w:t xml:space="preserve">POST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/campanas</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Crea una campaña asociando vacante, perfil y portales seleccionados</w:t>
            </w:r>
          </w:p>
        </w:tc>
      </w:tr>
    </w:tbl>
    <w:p>
      <w:pPr>
        <w:spacing w:after="0" w:before="100"/>
      </w:pPr>
    </w:p>
    <w:p>
      <w:pPr>
        <w:spacing w:after="80" w:before="80"/>
        <w:jc w:val="both"/>
      </w:pPr>
      <w:r>
        <w:rPr>
          <w:rFonts w:ascii="Arial" w:cs="Arial" w:eastAsia="Arial" w:hAnsi="Arial"/>
          <w:color w:val="1A1A2E"/>
          <w:sz w:val="22"/>
          <w:szCs w:val="22"/>
        </w:rPr>
        <w:t xml:space="preserve">Al crear la campaña, el sistema evalúa automáticamente si los portales seleccionados tienen costo. Si hay portales de pago, el estado inicial de la campaña es 'pendiente_pago'; si todos son gratuitos, pasa directamente a 'publicando'. Calcula el costo_total estimado sumando los costos de los portales de pago. Valida que la vacante no esté en estado 'cerrada'.</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D6E4F0" w:sz="1"/>
              <w:left w:val="single" w:color="D6E4F0" w:sz="1"/>
              <w:bottom w:val="single" w:color="D6E4F0" w:sz="1"/>
              <w:right w:val="single" w:color="D6E4F0" w:sz="1"/>
            </w:tcBorders>
            <w:shd w:fill="D6E4F0" w:val="clear"/>
            <w:tcMar>
              <w:top w:type="dxa" w:w="80"/>
              <w:left w:type="dxa" w:w="100"/>
              <w:bottom w:type="dxa" w:w="80"/>
              <w:right w:type="dxa" w:w="100"/>
            </w:tcMar>
            <w:vAlign w:val="center"/>
          </w:tcPr>
          <w:p>
            <w:pPr>
              <w:jc w:val="center"/>
            </w:pPr>
            <w:r>
              <w:rPr>
                <w:rFonts w:ascii="Arial" w:cs="Arial" w:eastAsia="Arial" w:hAnsi="Arial"/>
                <w:b/>
                <w:bCs/>
                <w:color w:val="2E6DA4"/>
                <w:sz w:val="18"/>
                <w:szCs w:val="18"/>
              </w:rPr>
              <w:t xml:space="preserve">GET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/campanas/:id</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Retorna el estado completo de una campaña de publicación</w:t>
            </w:r>
          </w:p>
        </w:tc>
      </w:tr>
    </w:tbl>
    <w:p>
      <w:pPr>
        <w:spacing w:after="0" w:before="100"/>
      </w:pPr>
    </w:p>
    <w:p>
      <w:pPr>
        <w:spacing w:after="80" w:before="80"/>
        <w:jc w:val="both"/>
      </w:pPr>
      <w:r>
        <w:rPr>
          <w:rFonts w:ascii="Arial" w:cs="Arial" w:eastAsia="Arial" w:hAnsi="Arial"/>
          <w:color w:val="1A1A2E"/>
          <w:sz w:val="22"/>
          <w:szCs w:val="22"/>
        </w:rPr>
        <w:t xml:space="preserve">Incluye el estado detallado de cada portal individual: pendiente, publicando, publicado, error o pendiente_pago. Para los portales con API disponible, registra url_publicacion, id_externo asignado por el portal y número de intentos. También incluye información del pago asociado si existe.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D6E4F0" w:sz="1"/>
              <w:left w:val="single" w:color="D6E4F0" w:sz="1"/>
              <w:bottom w:val="single" w:color="D6E4F0" w:sz="1"/>
              <w:right w:val="single" w:color="D6E4F0" w:sz="1"/>
            </w:tcBorders>
            <w:shd w:fill="D6E4F0" w:val="clear"/>
            <w:tcMar>
              <w:top w:type="dxa" w:w="80"/>
              <w:left w:type="dxa" w:w="100"/>
              <w:bottom w:type="dxa" w:w="80"/>
              <w:right w:type="dxa" w:w="100"/>
            </w:tcMar>
            <w:vAlign w:val="center"/>
          </w:tcPr>
          <w:p>
            <w:pPr>
              <w:jc w:val="center"/>
            </w:pPr>
            <w:r>
              <w:rPr>
                <w:rFonts w:ascii="Arial" w:cs="Arial" w:eastAsia="Arial" w:hAnsi="Arial"/>
                <w:b/>
                <w:bCs/>
                <w:color w:val="2E6DA4"/>
                <w:sz w:val="18"/>
                <w:szCs w:val="18"/>
              </w:rPr>
              <w:t xml:space="preserve">GET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/campanas</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Lista campañas con filtros por empresa, vacante y estado</w:t>
            </w:r>
          </w:p>
        </w:tc>
      </w:tr>
    </w:tbl>
    <w:p>
      <w:pPr>
        <w:spacing w:after="0" w:before="100"/>
      </w:pPr>
    </w:p>
    <w:p>
      <w:pPr>
        <w:spacing w:after="80" w:before="80"/>
        <w:jc w:val="both"/>
      </w:pPr>
      <w:r>
        <w:rPr>
          <w:rFonts w:ascii="Arial" w:cs="Arial" w:eastAsia="Arial" w:hAnsi="Arial"/>
          <w:color w:val="1A1A2E"/>
          <w:sz w:val="22"/>
          <w:szCs w:val="22"/>
        </w:rPr>
        <w:t xml:space="preserve">Permite filtrar por empresa_id, vacante_id y estado de la campaña. Retorna listado paginado con resumen de cada campaña.</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F3E5F5" w:sz="1"/>
              <w:left w:val="single" w:color="F3E5F5" w:sz="1"/>
              <w:bottom w:val="single" w:color="F3E5F5" w:sz="1"/>
              <w:right w:val="single" w:color="F3E5F5" w:sz="1"/>
            </w:tcBorders>
            <w:shd w:fill="F3E5F5" w:val="clear"/>
            <w:tcMar>
              <w:top w:type="dxa" w:w="80"/>
              <w:left w:type="dxa" w:w="100"/>
              <w:bottom w:type="dxa" w:w="80"/>
              <w:right w:type="dxa" w:w="100"/>
            </w:tcMar>
            <w:vAlign w:val="center"/>
          </w:tcPr>
          <w:p>
            <w:pPr>
              <w:jc w:val="center"/>
            </w:pPr>
            <w:r>
              <w:rPr>
                <w:rFonts w:ascii="Arial" w:cs="Arial" w:eastAsia="Arial" w:hAnsi="Arial"/>
                <w:b/>
                <w:bCs/>
                <w:color w:val="6A1B9A"/>
                <w:sz w:val="18"/>
                <w:szCs w:val="18"/>
              </w:rPr>
              <w:t xml:space="preserve">PATCH</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/campanas/:id/cancelar</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Cancela una campaña y detiene publicaciones pendientes</w:t>
            </w:r>
          </w:p>
        </w:tc>
      </w:tr>
    </w:tbl>
    <w:p>
      <w:pPr>
        <w:spacing w:after="0" w:before="100"/>
      </w:pPr>
    </w:p>
    <w:p>
      <w:pPr>
        <w:spacing w:after="80" w:before="80"/>
        <w:jc w:val="both"/>
      </w:pPr>
      <w:r>
        <w:rPr>
          <w:rFonts w:ascii="Arial" w:cs="Arial" w:eastAsia="Arial" w:hAnsi="Arial"/>
          <w:color w:val="1A1A2E"/>
          <w:sz w:val="22"/>
          <w:szCs w:val="22"/>
        </w:rPr>
        <w:t xml:space="preserve">Acepta un motivo opcional (máx 500 caracteres) que se guarda en el campo notas. No se puede cancelar una campaña ya cancelada (ERR_ALREADY_CANCELLED) ni una campaña en estado 'publicada' que tenga portales activos de pago (ERR_CANNOT_CANCEL).</w:t>
      </w:r>
    </w:p>
    <w:p>
      <w:pPr>
        <w:spacing w:after="0" w:before="200"/>
      </w:pPr>
    </w:p>
    <w:p>
      <w:pPr>
        <w:pBdr>
          <w:bottom w:val="single" w:color="2E6DA4" w:sz="6" w:space="4"/>
        </w:pBdr>
        <w:spacing w:after="180" w:before="300"/>
      </w:pPr>
      <w:r>
        <w:rPr>
          <w:rFonts w:ascii="Arial" w:cs="Arial" w:eastAsia="Arial" w:hAnsi="Arial"/>
          <w:b/>
          <w:bCs/>
          <w:color w:val="2E6DA4"/>
          <w:sz w:val="30"/>
          <w:szCs w:val="30"/>
        </w:rPr>
        <w:t xml:space="preserve">2.6 Pagos</w:t>
      </w:r>
    </w:p>
    <w:p>
      <w:pPr>
        <w:spacing w:after="80" w:before="80"/>
        <w:jc w:val="both"/>
      </w:pPr>
      <w:r>
        <w:rPr>
          <w:rFonts w:ascii="Arial" w:cs="Arial" w:eastAsia="Arial" w:hAnsi="Arial"/>
          <w:color w:val="1A1A2E"/>
          <w:sz w:val="22"/>
          <w:szCs w:val="22"/>
        </w:rPr>
        <w:t xml:space="preserve">Gestión de transacciones de pago para campañas con portales de costo. El procesamiento es asíncrono: la API retorna inmediatamente un estado 'procesando' y actualiza el estado del pago y la campaña cuando el gateway externo confirma o rechaza la transacción.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E8F5E9" w:sz="1"/>
              <w:left w:val="single" w:color="E8F5E9" w:sz="1"/>
              <w:bottom w:val="single" w:color="E8F5E9" w:sz="1"/>
              <w:right w:val="single" w:color="E8F5E9" w:sz="1"/>
            </w:tcBorders>
            <w:shd w:fill="E8F5E9" w:val="clear"/>
            <w:tcMar>
              <w:top w:type="dxa" w:w="80"/>
              <w:left w:type="dxa" w:w="100"/>
              <w:bottom w:type="dxa" w:w="80"/>
              <w:right w:type="dxa" w:w="100"/>
            </w:tcMar>
            <w:vAlign w:val="center"/>
          </w:tcPr>
          <w:p>
            <w:pPr>
              <w:jc w:val="center"/>
            </w:pPr>
            <w:r>
              <w:rPr>
                <w:rFonts w:ascii="Arial" w:cs="Arial" w:eastAsia="Arial" w:hAnsi="Arial"/>
                <w:b/>
                <w:bCs/>
                <w:color w:val="2E7D32"/>
                <w:sz w:val="18"/>
                <w:szCs w:val="18"/>
              </w:rPr>
              <w:t xml:space="preserve">POST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/pagos</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Inicia una transacción de pago para una campaña con portales de costo</w:t>
            </w:r>
          </w:p>
        </w:tc>
      </w:tr>
    </w:tbl>
    <w:p>
      <w:pPr>
        <w:spacing w:after="0" w:before="100"/>
      </w:pPr>
    </w:p>
    <w:p>
      <w:pPr>
        <w:spacing w:after="80" w:before="80"/>
        <w:jc w:val="both"/>
      </w:pPr>
      <w:r>
        <w:rPr>
          <w:rFonts w:ascii="Arial" w:cs="Arial" w:eastAsia="Arial" w:hAnsi="Arial"/>
          <w:color w:val="1A1A2E"/>
          <w:sz w:val="22"/>
          <w:szCs w:val="22"/>
        </w:rPr>
        <w:t xml:space="preserve">Métodos aceptados: tarjeta (requiere token_pago tokenizado del proveedor), transferencia y credito_sofi. La respuesta (202) incluye un redirect_url para flujos que requieren 3DS u OTP. Errores específicos para campañas sin costo (ERR_CAMPANA_SIN_COSTO) y pagos duplicados (ERR_ALREADY_PAID).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D6E4F0" w:sz="1"/>
              <w:left w:val="single" w:color="D6E4F0" w:sz="1"/>
              <w:bottom w:val="single" w:color="D6E4F0" w:sz="1"/>
              <w:right w:val="single" w:color="D6E4F0" w:sz="1"/>
            </w:tcBorders>
            <w:shd w:fill="D6E4F0" w:val="clear"/>
            <w:tcMar>
              <w:top w:type="dxa" w:w="80"/>
              <w:left w:type="dxa" w:w="100"/>
              <w:bottom w:type="dxa" w:w="80"/>
              <w:right w:type="dxa" w:w="100"/>
            </w:tcMar>
            <w:vAlign w:val="center"/>
          </w:tcPr>
          <w:p>
            <w:pPr>
              <w:jc w:val="center"/>
            </w:pPr>
            <w:r>
              <w:rPr>
                <w:rFonts w:ascii="Arial" w:cs="Arial" w:eastAsia="Arial" w:hAnsi="Arial"/>
                <w:b/>
                <w:bCs/>
                <w:color w:val="2E6DA4"/>
                <w:sz w:val="18"/>
                <w:szCs w:val="18"/>
              </w:rPr>
              <w:t xml:space="preserve">GET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/pagos/:id</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Retorna el estado actual de una transacción de pago</w:t>
            </w:r>
          </w:p>
        </w:tc>
      </w:tr>
    </w:tbl>
    <w:p>
      <w:pPr>
        <w:spacing w:after="0" w:before="100"/>
      </w:pPr>
    </w:p>
    <w:p>
      <w:pPr>
        <w:spacing w:after="80" w:before="80"/>
        <w:jc w:val="both"/>
      </w:pPr>
      <w:r>
        <w:rPr>
          <w:rFonts w:ascii="Arial" w:cs="Arial" w:eastAsia="Arial" w:hAnsi="Arial"/>
          <w:color w:val="1A1A2E"/>
          <w:sz w:val="22"/>
          <w:szCs w:val="22"/>
        </w:rPr>
        <w:t xml:space="preserve">Incluye el estado actual del pago (pendiente, procesando, completado, fallido, reembolsado), referencia externa del proveedor, y desglose de costos por portal para auditoría.</w:t>
      </w:r>
    </w:p>
    <w:p>
      <w:pPr>
        <w:spacing w:after="0" w:before="200"/>
      </w:pPr>
    </w:p>
    <w:p>
      <w:r>
        <w:br w:type="page"/>
      </w:r>
    </w:p>
    <w:p>
      <w:pPr>
        <w:pStyle w:val="Heading1"/>
        <w:spacing w:after="200" w:before="360"/>
      </w:pPr>
      <w:r>
        <w:rPr>
          <w:rFonts w:ascii="Arial" w:cs="Arial" w:eastAsia="Arial" w:hAnsi="Arial"/>
          <w:b/>
          <w:bCs/>
          <w:color w:val="1B3A5C"/>
          <w:sz w:val="36"/>
          <w:szCs w:val="36"/>
        </w:rPr>
        <w:t xml:space="preserve">3. Integración con APIs Externas</w:t>
      </w:r>
    </w:p>
    <w:p>
      <w:pPr>
        <w:spacing w:after="80" w:before="80"/>
        <w:jc w:val="both"/>
      </w:pPr>
      <w:r>
        <w:rPr>
          <w:rFonts w:ascii="Arial" w:cs="Arial" w:eastAsia="Arial" w:hAnsi="Arial"/>
          <w:color w:val="1A1A2E"/>
          <w:sz w:val="22"/>
          <w:szCs w:val="22"/>
        </w:rPr>
        <w:t xml:space="preserve">SOFI integra tres categorías de servicios externos que son esenciales para el funcionamiento del módulo de publicación: portales de empleo con API disponible, un gateway de pagos y un servicio de IA generativa. Estas integraciones están desacopladas del núcleo interno y se gestionan mediante referencias seguras a secrets en vault.</w:t>
      </w:r>
    </w:p>
    <w:p>
      <w:pPr>
        <w:spacing w:after="0" w:before="200"/>
      </w:pPr>
    </w:p>
    <w:p>
      <w:pPr>
        <w:pStyle w:val="Heading2"/>
        <w:spacing w:after="140" w:before="280"/>
      </w:pPr>
      <w:r>
        <w:rPr>
          <w:rFonts w:ascii="Arial" w:cs="Arial" w:eastAsia="Arial" w:hAnsi="Arial"/>
          <w:b/>
          <w:bCs/>
          <w:color w:val="2E6DA4"/>
          <w:sz w:val="28"/>
          <w:szCs w:val="28"/>
        </w:rPr>
        <w:t xml:space="preserve">3.1 Portales de Empleo con API Disponible</w:t>
      </w:r>
    </w:p>
    <w:p>
      <w:pPr>
        <w:spacing w:after="80" w:before="80"/>
        <w:jc w:val="both"/>
      </w:pPr>
      <w:r>
        <w:rPr>
          <w:rFonts w:ascii="Arial" w:cs="Arial" w:eastAsia="Arial" w:hAnsi="Arial"/>
          <w:color w:val="1A1A2E"/>
          <w:sz w:val="22"/>
          <w:szCs w:val="22"/>
        </w:rPr>
        <w:t xml:space="preserve">Dentro del catálogo de portales, aquellos con el campo api_disponible: true cuentan con integración directa. Los campos api_endpoint y api_key_ref (referencia al secret en vault, nunca la clave en texto plano) habilitan al sistema a publicar automáticamente sin intervención manual.</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2"/>
              <w:bottom w:val="single" w:color="2E7D32" w:sz="1"/>
              <w:right w:val="single" w:color="DEE4EC" w:sz="1"/>
            </w:tcBorders>
            <w:shd w:fill="E8F5E9" w:val="clear"/>
            <w:tcMar>
              <w:top w:type="dxa" w:w="120"/>
              <w:left w:type="dxa" w:w="200"/>
              <w:bottom w:type="dxa" w:w="120"/>
              <w:right w:type="dxa" w:w="200"/>
            </w:tcMar>
          </w:tcPr>
          <w:p>
            <w:pPr>
              <w:spacing w:after="80" w:before="60"/>
            </w:pPr>
            <w:r>
              <w:rPr>
                <w:rFonts w:ascii="Arial" w:cs="Arial" w:eastAsia="Arial" w:hAnsi="Arial"/>
                <w:b/>
                <w:bCs/>
                <w:color w:val="2E7D32"/>
                <w:sz w:val="22"/>
                <w:szCs w:val="22"/>
              </w:rPr>
              <w:t xml:space="preserve">Campos de Integración en Colección portales</w:t>
            </w:r>
          </w:p>
          <w:p>
            <w:pPr>
              <w:spacing w:after="40" w:before="40"/>
            </w:pPr>
            <w:r>
              <w:rPr>
                <w:rFonts w:ascii="Arial" w:cs="Arial" w:eastAsia="Arial" w:hAnsi="Arial"/>
                <w:color w:val="1A1A2E"/>
                <w:sz w:val="20"/>
                <w:szCs w:val="20"/>
              </w:rPr>
              <w:t xml:space="preserve">  • api_disponible (Boolean): indica si el portal expone una API de publicación.</w:t>
            </w:r>
          </w:p>
          <w:p>
            <w:pPr>
              <w:spacing w:after="40" w:before="40"/>
            </w:pPr>
            <w:r>
              <w:rPr>
                <w:rFonts w:ascii="Arial" w:cs="Arial" w:eastAsia="Arial" w:hAnsi="Arial"/>
                <w:color w:val="1A1A2E"/>
                <w:sz w:val="20"/>
                <w:szCs w:val="20"/>
              </w:rPr>
              <w:t xml:space="preserve">  • api_endpoint (String): URL del webhook o endpoint de publicación del portal externo.</w:t>
            </w:r>
          </w:p>
          <w:p>
            <w:pPr>
              <w:spacing w:after="40" w:before="40"/>
            </w:pPr>
            <w:r>
              <w:rPr>
                <w:rFonts w:ascii="Arial" w:cs="Arial" w:eastAsia="Arial" w:hAnsi="Arial"/>
                <w:color w:val="1A1A2E"/>
                <w:sz w:val="20"/>
                <w:szCs w:val="20"/>
              </w:rPr>
              <w:t xml:space="preserve">  • api_key_ref (String): referencia al nombre del secret en vault (nunca la clave real).</w:t>
            </w:r>
          </w:p>
          <w:p>
            <w:pPr>
              <w:spacing w:after="40" w:before="40"/>
            </w:pPr>
            <w:r>
              <w:rPr>
                <w:rFonts w:ascii="Arial" w:cs="Arial" w:eastAsia="Arial" w:hAnsi="Arial"/>
                <w:color w:val="1A1A2E"/>
                <w:sz w:val="20"/>
                <w:szCs w:val="20"/>
              </w:rPr>
              <w:t xml:space="preserve">  • notas (String): instrucciones especiales de integración o condiciones del portal.</w:t>
            </w:r>
          </w:p>
        </w:tc>
      </w:tr>
    </w:tbl>
    <w:p>
      <w:pPr>
        <w:spacing w:after="0" w:before="100"/>
      </w:pPr>
    </w:p>
    <w:p>
      <w:pPr>
        <w:spacing w:after="80" w:before="80"/>
        <w:jc w:val="both"/>
      </w:pPr>
      <w:r>
        <w:rPr>
          <w:rFonts w:ascii="Arial" w:cs="Arial" w:eastAsia="Arial" w:hAnsi="Arial"/>
          <w:color w:val="1A1A2E"/>
          <w:sz w:val="22"/>
          <w:szCs w:val="22"/>
        </w:rPr>
        <w:t xml:space="preserve">El subdocumento publicacion_portal (embebido en publicaciones_campana.portales[]) registra el ciclo de vida de cada publicación individual en portales externos, incluyendo:</w:t>
      </w:r>
    </w:p>
    <w:p>
      <w:pPr>
        <w:spacing w:after="0" w:before="100"/>
      </w:pPr>
    </w:p>
    <w:p>
      <w:pPr>
        <w:pStyle w:val="ListParagraph"/>
        <w:numPr>
          <w:ilvl w:val="0"/>
          <w:numId w:val="2"/>
        </w:numPr>
        <w:spacing w:after="60" w:before="60"/>
      </w:pPr>
      <w:r>
        <w:rPr>
          <w:rFonts w:ascii="Arial" w:cs="Arial" w:eastAsia="Arial" w:hAnsi="Arial"/>
          <w:color w:val="1A1A2E"/>
          <w:sz w:val="22"/>
          <w:szCs w:val="22"/>
        </w:rPr>
        <w:t xml:space="preserve">url_publicacion: URL del anuncio publicado en el portal externo (disponible tras publicación exitosa).</w:t>
      </w:r>
    </w:p>
    <w:p>
      <w:pPr>
        <w:pStyle w:val="ListParagraph"/>
        <w:numPr>
          <w:ilvl w:val="0"/>
          <w:numId w:val="2"/>
        </w:numPr>
        <w:spacing w:after="60" w:before="60"/>
      </w:pPr>
      <w:r>
        <w:rPr>
          <w:rFonts w:ascii="Arial" w:cs="Arial" w:eastAsia="Arial" w:hAnsi="Arial"/>
          <w:color w:val="1A1A2E"/>
          <w:sz w:val="22"/>
          <w:szCs w:val="22"/>
        </w:rPr>
        <w:t xml:space="preserve">id_externo: ID asignado por el portal externo para referencia y gestión posterior.</w:t>
      </w:r>
    </w:p>
    <w:p>
      <w:pPr>
        <w:pStyle w:val="ListParagraph"/>
        <w:numPr>
          <w:ilvl w:val="0"/>
          <w:numId w:val="2"/>
        </w:numPr>
        <w:spacing w:after="60" w:before="60"/>
      </w:pPr>
      <w:r>
        <w:rPr>
          <w:rFonts w:ascii="Arial" w:cs="Arial" w:eastAsia="Arial" w:hAnsi="Arial"/>
          <w:color w:val="1A1A2E"/>
          <w:sz w:val="22"/>
          <w:szCs w:val="22"/>
        </w:rPr>
        <w:t xml:space="preserve">intentos (Int32): contador de intentos de publicación para manejo de reintentos.</w:t>
      </w:r>
    </w:p>
    <w:p>
      <w:pPr>
        <w:pStyle w:val="ListParagraph"/>
        <w:numPr>
          <w:ilvl w:val="0"/>
          <w:numId w:val="2"/>
        </w:numPr>
        <w:spacing w:after="60" w:before="60"/>
      </w:pPr>
      <w:r>
        <w:rPr>
          <w:rFonts w:ascii="Arial" w:cs="Arial" w:eastAsia="Arial" w:hAnsi="Arial"/>
          <w:color w:val="1A1A2E"/>
          <w:sz w:val="22"/>
          <w:szCs w:val="22"/>
        </w:rPr>
        <w:t xml:space="preserve">ultimo_intento (Date): timestamp del último intento, para backoff exponencial.</w:t>
      </w:r>
    </w:p>
    <w:p>
      <w:pPr>
        <w:pStyle w:val="ListParagraph"/>
        <w:numPr>
          <w:ilvl w:val="0"/>
          <w:numId w:val="2"/>
        </w:numPr>
        <w:spacing w:after="60" w:before="60"/>
      </w:pPr>
      <w:r>
        <w:rPr>
          <w:rFonts w:ascii="Arial" w:cs="Arial" w:eastAsia="Arial" w:hAnsi="Arial"/>
          <w:color w:val="1A1A2E"/>
          <w:sz w:val="22"/>
          <w:szCs w:val="22"/>
        </w:rPr>
        <w:t xml:space="preserve">error_msg (String): mensaje de error del último intento fallido para diagnóstico.</w:t>
      </w:r>
    </w:p>
    <w:p>
      <w:pPr>
        <w:pStyle w:val="ListParagraph"/>
        <w:numPr>
          <w:ilvl w:val="0"/>
          <w:numId w:val="2"/>
        </w:numPr>
        <w:spacing w:after="60" w:before="60"/>
      </w:pPr>
      <w:r>
        <w:rPr>
          <w:rFonts w:ascii="Arial" w:cs="Arial" w:eastAsia="Arial" w:hAnsi="Arial"/>
          <w:color w:val="1A1A2E"/>
          <w:sz w:val="22"/>
          <w:szCs w:val="22"/>
        </w:rPr>
        <w:t xml:space="preserve">publicado_en (Date): timestamp de publicación exitosa confirmada por el portal.</w:t>
      </w:r>
    </w:p>
    <w:p>
      <w:pPr>
        <w:spacing w:after="0" w:before="100"/>
      </w:pPr>
    </w:p>
    <w:p>
      <w:pPr>
        <w:spacing w:after="80" w:before="80"/>
        <w:jc w:val="both"/>
      </w:pPr>
      <w:r>
        <w:rPr>
          <w:rFonts w:ascii="Arial" w:cs="Arial" w:eastAsia="Arial" w:hAnsi="Arial"/>
          <w:color w:val="1A1A2E"/>
          <w:sz w:val="22"/>
          <w:szCs w:val="22"/>
        </w:rPr>
        <w:t xml:space="preserve">Para portales sin API disponible, la publicación es manual: el sistema notifica al reclutador las instrucciones específicas del portal y registra la publicación una vez que el reclutador confirma haberla realizado.</w:t>
      </w:r>
    </w:p>
    <w:p>
      <w:pPr>
        <w:spacing w:after="0" w:before="200"/>
      </w:pPr>
    </w:p>
    <w:p>
      <w:pPr>
        <w:pStyle w:val="Heading2"/>
        <w:spacing w:after="140" w:before="280"/>
      </w:pPr>
      <w:r>
        <w:rPr>
          <w:rFonts w:ascii="Arial" w:cs="Arial" w:eastAsia="Arial" w:hAnsi="Arial"/>
          <w:b/>
          <w:bCs/>
          <w:color w:val="2E6DA4"/>
          <w:sz w:val="28"/>
          <w:szCs w:val="28"/>
        </w:rPr>
        <w:t xml:space="preserve">3.2 Gateway de Pagos</w:t>
      </w:r>
    </w:p>
    <w:p>
      <w:pPr>
        <w:spacing w:after="80" w:before="80"/>
        <w:jc w:val="both"/>
      </w:pPr>
      <w:r>
        <w:rPr>
          <w:rFonts w:ascii="Arial" w:cs="Arial" w:eastAsia="Arial" w:hAnsi="Arial"/>
          <w:color w:val="1A1A2E"/>
          <w:sz w:val="22"/>
          <w:szCs w:val="22"/>
        </w:rPr>
        <w:t xml:space="preserve">La integración con el proveedor de pagos externo es asíncrona. SOFI actúa como orquestador: recibe la solicitud de pago del reclutador, la reenvía al gateway y espera la confirmación mediante webhook o polling.</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2"/>
              <w:bottom w:val="single" w:color="E65100" w:sz="1"/>
              <w:right w:val="single" w:color="DEE4EC" w:sz="1"/>
            </w:tcBorders>
            <w:shd w:fill="FFF3E0" w:val="clear"/>
            <w:tcMar>
              <w:top w:type="dxa" w:w="120"/>
              <w:left w:type="dxa" w:w="200"/>
              <w:bottom w:type="dxa" w:w="120"/>
              <w:right w:type="dxa" w:w="200"/>
            </w:tcMar>
          </w:tcPr>
          <w:p>
            <w:pPr>
              <w:spacing w:after="80" w:before="60"/>
            </w:pPr>
            <w:r>
              <w:rPr>
                <w:rFonts w:ascii="Arial" w:cs="Arial" w:eastAsia="Arial" w:hAnsi="Arial"/>
                <w:b/>
                <w:bCs/>
                <w:color w:val="E65100"/>
                <w:sz w:val="22"/>
                <w:szCs w:val="22"/>
              </w:rPr>
              <w:t xml:space="preserve">Flujo de Pago</w:t>
            </w:r>
          </w:p>
          <w:p>
            <w:pPr>
              <w:spacing w:after="40" w:before="40"/>
            </w:pPr>
            <w:r>
              <w:rPr>
                <w:rFonts w:ascii="Arial" w:cs="Arial" w:eastAsia="Arial" w:hAnsi="Arial"/>
                <w:color w:val="1A1A2E"/>
                <w:sz w:val="20"/>
                <w:szCs w:val="20"/>
              </w:rPr>
              <w:t xml:space="preserve">  • POST /pagos recibe la solicitud con método y token de tarjeta tokenizado.</w:t>
            </w:r>
          </w:p>
          <w:p>
            <w:pPr>
              <w:spacing w:after="40" w:before="40"/>
            </w:pPr>
            <w:r>
              <w:rPr>
                <w:rFonts w:ascii="Arial" w:cs="Arial" w:eastAsia="Arial" w:hAnsi="Arial"/>
                <w:color w:val="1A1A2E"/>
                <w:sz w:val="20"/>
                <w:szCs w:val="20"/>
              </w:rPr>
              <w:t xml:space="preserve">  • SOFI crea el registro de pago en estado 'procesando' y retorna 202.</w:t>
            </w:r>
          </w:p>
          <w:p>
            <w:pPr>
              <w:spacing w:after="40" w:before="40"/>
            </w:pPr>
            <w:r>
              <w:rPr>
                <w:rFonts w:ascii="Arial" w:cs="Arial" w:eastAsia="Arial" w:hAnsi="Arial"/>
                <w:color w:val="1A1A2E"/>
                <w:sz w:val="20"/>
                <w:szCs w:val="20"/>
              </w:rPr>
              <w:t xml:space="preserve">  • El gateway procesa la transacción y notifica a SOFI mediante webhook o respuesta directa.</w:t>
            </w:r>
          </w:p>
          <w:p>
            <w:pPr>
              <w:spacing w:after="40" w:before="40"/>
            </w:pPr>
            <w:r>
              <w:rPr>
                <w:rFonts w:ascii="Arial" w:cs="Arial" w:eastAsia="Arial" w:hAnsi="Arial"/>
                <w:color w:val="1A1A2E"/>
                <w:sz w:val="20"/>
                <w:szCs w:val="20"/>
              </w:rPr>
              <w:t xml:space="preserve">  • SOFI actualiza el estado del pago (completado o fallido) y actualiza el estado de la campaña.</w:t>
            </w:r>
          </w:p>
          <w:p>
            <w:pPr>
              <w:spacing w:after="40" w:before="40"/>
            </w:pPr>
            <w:r>
              <w:rPr>
                <w:rFonts w:ascii="Arial" w:cs="Arial" w:eastAsia="Arial" w:hAnsi="Arial"/>
                <w:color w:val="1A1A2E"/>
                <w:sz w:val="20"/>
                <w:szCs w:val="20"/>
              </w:rPr>
              <w:t xml:space="preserve">  • Si el pago es exitoso, las publicaciones pendientes de pago pasan a estado 'publicando'.</w:t>
            </w:r>
          </w:p>
          <w:p>
            <w:pPr>
              <w:spacing w:after="40" w:before="40"/>
            </w:pPr>
            <w:r>
              <w:rPr>
                <w:rFonts w:ascii="Arial" w:cs="Arial" w:eastAsia="Arial" w:hAnsi="Arial"/>
                <w:color w:val="1A1A2E"/>
                <w:sz w:val="20"/>
                <w:szCs w:val="20"/>
              </w:rPr>
              <w:t xml:space="preserve">  • El campo referencia_ext almacena el ID de transacción del proveedor para conciliación.</w:t>
            </w:r>
          </w:p>
        </w:tc>
      </w:tr>
    </w:tbl>
    <w:p>
      <w:pPr>
        <w:spacing w:after="0" w:before="100"/>
      </w:pPr>
    </w:p>
    <w:p>
      <w:pPr>
        <w:spacing w:after="80" w:before="80"/>
        <w:jc w:val="both"/>
      </w:pPr>
      <w:r>
        <w:rPr>
          <w:rFonts w:ascii="Arial" w:cs="Arial" w:eastAsia="Arial" w:hAnsi="Arial"/>
          <w:color w:val="1A1A2E"/>
          <w:sz w:val="22"/>
          <w:szCs w:val="22"/>
        </w:rPr>
        <w:t xml:space="preserve">Los métodos de pago soportados son: tarjeta (requiere token tokenizado del proveedor, compatible con flujos 3DS), transferencia bancaria y crédito_sofi (saldo interno). El campo desglose en la colección pagos permite auditar el monto cobrado por cada portal individual.</w:t>
      </w:r>
    </w:p>
    <w:p>
      <w:pPr>
        <w:spacing w:after="0" w:before="100"/>
      </w:pPr>
    </w:p>
    <w:p>
      <w:pPr>
        <w:spacing w:after="80" w:before="80"/>
        <w:jc w:val="both"/>
      </w:pPr>
      <w:r>
        <w:rPr>
          <w:rFonts w:ascii="Arial" w:cs="Arial" w:eastAsia="Arial" w:hAnsi="Arial"/>
          <w:color w:val="1A1A2E"/>
          <w:sz w:val="22"/>
          <w:szCs w:val="22"/>
        </w:rPr>
        <w:t xml:space="preserve">Códigos de error específicos de la integración: ERR_PAYMENT_DECLINED (HTTP 402) cuando el gateway rechaza la transacción, y ERR_PAYMENT_GATEWAY (HTTP 503) cuando el servicio externo no está disponible. En ambos casos el sistema registra el error y permite reintentar sin crear un duplicado de pago.</w:t>
      </w:r>
    </w:p>
    <w:p>
      <w:pPr>
        <w:spacing w:after="0" w:before="200"/>
      </w:pPr>
    </w:p>
    <w:p>
      <w:pPr>
        <w:pStyle w:val="Heading2"/>
        <w:spacing w:after="140" w:before="280"/>
      </w:pPr>
      <w:r>
        <w:rPr>
          <w:rFonts w:ascii="Arial" w:cs="Arial" w:eastAsia="Arial" w:hAnsi="Arial"/>
          <w:b/>
          <w:bCs/>
          <w:color w:val="2E6DA4"/>
          <w:sz w:val="28"/>
          <w:szCs w:val="28"/>
        </w:rPr>
        <w:t xml:space="preserve">3.3 Servicio de IA Generativa</w:t>
      </w:r>
    </w:p>
    <w:p>
      <w:pPr>
        <w:spacing w:after="80" w:before="80"/>
        <w:jc w:val="both"/>
      </w:pPr>
      <w:r>
        <w:rPr>
          <w:rFonts w:ascii="Arial" w:cs="Arial" w:eastAsia="Arial" w:hAnsi="Arial"/>
          <w:color w:val="1A1A2E"/>
          <w:sz w:val="22"/>
          <w:szCs w:val="22"/>
        </w:rPr>
        <w:t xml:space="preserve">El endpoint POST /perfiles/ia/generar actúa como proxy hacia el servicio de IA interno o externo de SOFI. Este servicio recibe el contexto de la vacante y genera contenido profesional para el anuncio de empleo.</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1"/>
              <w:left w:val="single" w:color="6A1B9A" w:sz="12"/>
              <w:bottom w:val="single" w:color="6A1B9A" w:sz="1"/>
              <w:right w:val="single" w:color="DEE4EC" w:sz="1"/>
            </w:tcBorders>
            <w:shd w:fill="F3E5F5" w:val="clear"/>
            <w:tcMar>
              <w:top w:type="dxa" w:w="120"/>
              <w:left w:type="dxa" w:w="200"/>
              <w:bottom w:type="dxa" w:w="120"/>
              <w:right w:type="dxa" w:w="200"/>
            </w:tcMar>
          </w:tcPr>
          <w:p>
            <w:pPr>
              <w:spacing w:after="80" w:before="60"/>
            </w:pPr>
            <w:r>
              <w:rPr>
                <w:rFonts w:ascii="Arial" w:cs="Arial" w:eastAsia="Arial" w:hAnsi="Arial"/>
                <w:b/>
                <w:bCs/>
                <w:color w:val="6A1B9A"/>
                <w:sz w:val="22"/>
                <w:szCs w:val="22"/>
              </w:rPr>
              <w:t xml:space="preserve">Parámetros de Contextualización de la IA</w:t>
            </w:r>
          </w:p>
          <w:p>
            <w:pPr>
              <w:spacing w:after="40" w:before="40"/>
            </w:pPr>
            <w:r>
              <w:rPr>
                <w:rFonts w:ascii="Arial" w:cs="Arial" w:eastAsia="Arial" w:hAnsi="Arial"/>
                <w:color w:val="1A1A2E"/>
                <w:sz w:val="20"/>
                <w:szCs w:val="20"/>
              </w:rPr>
              <w:t xml:space="preserve">  • descripcion_libre: texto en lenguaje natural del puesto (mínimo 20, máximo 1000 caracteres).</w:t>
            </w:r>
          </w:p>
          <w:p>
            <w:pPr>
              <w:spacing w:after="40" w:before="40"/>
            </w:pPr>
            <w:r>
              <w:rPr>
                <w:rFonts w:ascii="Arial" w:cs="Arial" w:eastAsia="Arial" w:hAnsi="Arial"/>
                <w:color w:val="1A1A2E"/>
                <w:sz w:val="20"/>
                <w:szCs w:val="20"/>
              </w:rPr>
              <w:t xml:space="preserve">  • empresa_id: contexto de la empresa para adaptar el tono y vocabulario.</w:t>
            </w:r>
          </w:p>
          <w:p>
            <w:pPr>
              <w:spacing w:after="40" w:before="40"/>
            </w:pPr>
            <w:r>
              <w:rPr>
                <w:rFonts w:ascii="Arial" w:cs="Arial" w:eastAsia="Arial" w:hAnsi="Arial"/>
                <w:color w:val="1A1A2E"/>
                <w:sz w:val="20"/>
                <w:szCs w:val="20"/>
              </w:rPr>
              <w:t xml:space="preserve">  • categoria_id (opcional): categoría laboral para ajustar el enfoque del anuncio.</w:t>
            </w:r>
          </w:p>
          <w:p>
            <w:pPr>
              <w:spacing w:after="40" w:before="40"/>
            </w:pPr>
            <w:r>
              <w:rPr>
                <w:rFonts w:ascii="Arial" w:cs="Arial" w:eastAsia="Arial" w:hAnsi="Arial"/>
                <w:color w:val="1A1A2E"/>
                <w:sz w:val="20"/>
                <w:szCs w:val="20"/>
              </w:rPr>
              <w:t xml:space="preserve">  • nivel_experiencia: sin_experiencia | 1_2_anos | 3_5_anos | senior.</w:t>
            </w:r>
          </w:p>
          <w:p>
            <w:pPr>
              <w:spacing w:after="40" w:before="40"/>
            </w:pPr>
            <w:r>
              <w:rPr>
                <w:rFonts w:ascii="Arial" w:cs="Arial" w:eastAsia="Arial" w:hAnsi="Arial"/>
                <w:color w:val="1A1A2E"/>
                <w:sz w:val="20"/>
                <w:szCs w:val="20"/>
              </w:rPr>
              <w:t xml:space="preserve">  • tono: amigable | formal | dinamico (default: amigable).</w:t>
            </w:r>
          </w:p>
          <w:p>
            <w:pPr>
              <w:spacing w:after="40" w:before="40"/>
            </w:pPr>
            <w:r>
              <w:rPr>
                <w:rFonts w:ascii="Arial" w:cs="Arial" w:eastAsia="Arial" w:hAnsi="Arial"/>
                <w:color w:val="1A1A2E"/>
                <w:sz w:val="20"/>
                <w:szCs w:val="20"/>
              </w:rPr>
              <w:t xml:space="preserve">  • ia_chips: etiquetas contextuales adicionales para guiar la generación.</w:t>
            </w:r>
          </w:p>
        </w:tc>
      </w:tr>
    </w:tbl>
    <w:p>
      <w:pPr>
        <w:spacing w:after="0" w:before="100"/>
      </w:pPr>
    </w:p>
    <w:p>
      <w:pPr>
        <w:spacing w:after="80" w:before="80"/>
        <w:jc w:val="both"/>
      </w:pPr>
      <w:r>
        <w:rPr>
          <w:rFonts w:ascii="Arial" w:cs="Arial" w:eastAsia="Arial" w:hAnsi="Arial"/>
          <w:color w:val="1A1A2E"/>
          <w:sz w:val="22"/>
          <w:szCs w:val="22"/>
        </w:rPr>
        <w:t xml:space="preserve">El servicio retorna una propuesta completa no persistida: titulo_anuncio, descripcion, requisitos, beneficios, tipo_jornada sugerido, ia_chips identificadas y un array de sugerencias adicionales. El usuario puede editar el resultado antes de guardar con POST /perfiles. La bandera generado_por_ia queda registrada en el perfil para trazabilidad.</w:t>
      </w:r>
    </w:p>
    <w:p>
      <w:pPr>
        <w:spacing w:after="0" w:before="100"/>
      </w:pPr>
    </w:p>
    <w:p>
      <w:pPr>
        <w:spacing w:after="80" w:before="80"/>
        <w:jc w:val="both"/>
      </w:pPr>
      <w:r>
        <w:rPr>
          <w:rFonts w:ascii="Arial" w:cs="Arial" w:eastAsia="Arial" w:hAnsi="Arial"/>
          <w:color w:val="1A1A2E"/>
          <w:sz w:val="22"/>
          <w:szCs w:val="22"/>
        </w:rPr>
        <w:t xml:space="preserve">Si el servicio no está disponible, retorna ERR_IA_UNAVAILABLE (HTTP 503), permitiendo al reclutador continuar el flujo con creación manual del perfil.</w:t>
      </w:r>
    </w:p>
    <w:p>
      <w:pPr>
        <w:spacing w:after="0" w:before="200"/>
      </w:pPr>
    </w:p>
    <w:p>
      <w:r>
        <w:br w:type="page"/>
      </w:r>
    </w:p>
    <w:p>
      <w:pPr>
        <w:pStyle w:val="Heading1"/>
        <w:spacing w:after="200" w:before="360"/>
      </w:pPr>
      <w:r>
        <w:rPr>
          <w:rFonts w:ascii="Arial" w:cs="Arial" w:eastAsia="Arial" w:hAnsi="Arial"/>
          <w:b/>
          <w:bCs/>
          <w:color w:val="1B3A5C"/>
          <w:sz w:val="36"/>
          <w:szCs w:val="36"/>
        </w:rPr>
        <w:t xml:space="preserve">4. Consideraciones Técnicas Fundamentales</w:t>
      </w:r>
    </w:p>
    <w:p>
      <w:pPr>
        <w:spacing w:after="0" w:before="100"/>
      </w:pPr>
    </w:p>
    <w:p>
      <w:pPr>
        <w:pStyle w:val="Heading2"/>
        <w:spacing w:after="140" w:before="280"/>
      </w:pPr>
      <w:r>
        <w:rPr>
          <w:rFonts w:ascii="Arial" w:cs="Arial" w:eastAsia="Arial" w:hAnsi="Arial"/>
          <w:b/>
          <w:bCs/>
          <w:color w:val="2E6DA4"/>
          <w:sz w:val="28"/>
          <w:szCs w:val="28"/>
        </w:rPr>
        <w:t xml:space="preserve">4.1 Autenticación y Seguridad</w:t>
      </w:r>
    </w:p>
    <w:p>
      <w:pPr>
        <w:spacing w:after="80" w:before="80"/>
        <w:jc w:val="both"/>
      </w:pPr>
      <w:r>
        <w:rPr>
          <w:rFonts w:ascii="Arial" w:cs="Arial" w:eastAsia="Arial" w:hAnsi="Arial"/>
          <w:color w:val="1A1A2E"/>
          <w:sz w:val="22"/>
          <w:szCs w:val="22"/>
        </w:rPr>
        <w:t xml:space="preserve">Todos los endpoints (excepto los de autenticación) requieren un Bearer JWT válido. La arquitectura de seguridad implementa los siguientes mecanismos:</w:t>
      </w:r>
    </w:p>
    <w:p>
      <w:pPr>
        <w:spacing w:after="0" w:before="100"/>
      </w:pPr>
    </w:p>
    <w:p>
      <w:pPr>
        <w:pStyle w:val="ListParagraph"/>
        <w:numPr>
          <w:ilvl w:val="0"/>
          <w:numId w:val="2"/>
        </w:numPr>
        <w:spacing w:after="60" w:before="60"/>
      </w:pPr>
      <w:r>
        <w:rPr>
          <w:rFonts w:ascii="Arial" w:cs="Arial" w:eastAsia="Arial" w:hAnsi="Arial"/>
          <w:color w:val="1A1A2E"/>
          <w:sz w:val="22"/>
          <w:szCs w:val="22"/>
        </w:rPr>
        <w:t xml:space="preserve">JWT de acceso con expiración de 8 horas y refresh token con vida de 30 días almacenado en cookie httpOnly.</w:t>
      </w:r>
    </w:p>
    <w:p>
      <w:pPr>
        <w:pStyle w:val="ListParagraph"/>
        <w:numPr>
          <w:ilvl w:val="0"/>
          <w:numId w:val="2"/>
        </w:numPr>
        <w:spacing w:after="60" w:before="60"/>
      </w:pPr>
      <w:r>
        <w:rPr>
          <w:rFonts w:ascii="Arial" w:cs="Arial" w:eastAsia="Arial" w:hAnsi="Arial"/>
          <w:color w:val="1A1A2E"/>
          <w:sz w:val="22"/>
          <w:szCs w:val="22"/>
        </w:rPr>
        <w:t xml:space="preserve">Control de acceso basado en roles: admin, reclutador y viewer con permisos diferenciados por recurso y empresa.</w:t>
      </w:r>
    </w:p>
    <w:p>
      <w:pPr>
        <w:pStyle w:val="ListParagraph"/>
        <w:numPr>
          <w:ilvl w:val="0"/>
          <w:numId w:val="2"/>
        </w:numPr>
        <w:spacing w:after="60" w:before="60"/>
      </w:pPr>
      <w:r>
        <w:rPr>
          <w:rFonts w:ascii="Arial" w:cs="Arial" w:eastAsia="Arial" w:hAnsi="Arial"/>
          <w:color w:val="1A1A2E"/>
          <w:sz w:val="22"/>
          <w:szCs w:val="22"/>
        </w:rPr>
        <w:t xml:space="preserve">Protección contra fuerza bruta: bloqueo temporal de 15 minutos tras intentos de login fallidos reiterados (ERR_TOO_MANY_ATTEMPTS, HTTP 429).</w:t>
      </w:r>
    </w:p>
    <w:p>
      <w:pPr>
        <w:pStyle w:val="ListParagraph"/>
        <w:numPr>
          <w:ilvl w:val="0"/>
          <w:numId w:val="2"/>
        </w:numPr>
        <w:spacing w:after="60" w:before="60"/>
      </w:pPr>
      <w:r>
        <w:rPr>
          <w:rFonts w:ascii="Arial" w:cs="Arial" w:eastAsia="Arial" w:hAnsi="Arial"/>
          <w:color w:val="1A1A2E"/>
          <w:sz w:val="22"/>
          <w:szCs w:val="22"/>
        </w:rPr>
        <w:t xml:space="preserve">API keys de portales externos almacenadas exclusivamente mediante referencias a secrets en vault; nunca en base de datos ni código fuente.</w:t>
      </w:r>
    </w:p>
    <w:p>
      <w:pPr>
        <w:pStyle w:val="ListParagraph"/>
        <w:numPr>
          <w:ilvl w:val="0"/>
          <w:numId w:val="2"/>
        </w:numPr>
        <w:spacing w:after="60" w:before="60"/>
      </w:pPr>
      <w:r>
        <w:rPr>
          <w:rFonts w:ascii="Arial" w:cs="Arial" w:eastAsia="Arial" w:hAnsi="Arial"/>
          <w:color w:val="1A1A2E"/>
          <w:sz w:val="22"/>
          <w:szCs w:val="22"/>
        </w:rPr>
        <w:t xml:space="preserve">Tokens de tarjeta tokenizados por el proveedor de pagos; SOFI nunca manipula datos de tarjeta en texto plano (PCI-DSS compliance).</w:t>
      </w:r>
    </w:p>
    <w:p>
      <w:pPr>
        <w:spacing w:after="0" w:before="200"/>
      </w:pPr>
    </w:p>
    <w:p>
      <w:pPr>
        <w:pStyle w:val="Heading2"/>
        <w:spacing w:after="140" w:before="280"/>
      </w:pPr>
      <w:r>
        <w:rPr>
          <w:rFonts w:ascii="Arial" w:cs="Arial" w:eastAsia="Arial" w:hAnsi="Arial"/>
          <w:b/>
          <w:bCs/>
          <w:color w:val="2E6DA4"/>
          <w:sz w:val="28"/>
          <w:szCs w:val="28"/>
        </w:rPr>
        <w:t xml:space="preserve">4.2 Modelo de Datos MongoDB</w:t>
      </w:r>
    </w:p>
    <w:p>
      <w:pPr>
        <w:spacing w:after="80" w:before="80"/>
        <w:jc w:val="both"/>
      </w:pPr>
      <w:r>
        <w:rPr>
          <w:rFonts w:ascii="Arial" w:cs="Arial" w:eastAsia="Arial" w:hAnsi="Arial"/>
          <w:color w:val="1A1A2E"/>
          <w:sz w:val="22"/>
          <w:szCs w:val="22"/>
        </w:rPr>
        <w:t xml:space="preserve">El diseño del modelo de datos prioriza la consistencia referencial mediante ObjectIds y la eficiencia de consulta mediante índices estratégicos. Consideraciones clave:</w:t>
      </w:r>
    </w:p>
    <w:p>
      <w:pPr>
        <w:spacing w:after="0" w:before="100"/>
      </w:pPr>
    </w:p>
    <w:p>
      <w:pPr>
        <w:pStyle w:val="ListParagraph"/>
        <w:numPr>
          <w:ilvl w:val="0"/>
          <w:numId w:val="2"/>
        </w:numPr>
        <w:spacing w:after="60" w:before="60"/>
      </w:pPr>
      <w:r>
        <w:rPr>
          <w:rFonts w:ascii="Arial" w:cs="Arial" w:eastAsia="Arial" w:hAnsi="Arial"/>
          <w:color w:val="1A1A2E"/>
          <w:sz w:val="22"/>
          <w:szCs w:val="22"/>
        </w:rPr>
        <w:t xml:space="preserve">Auto-incremento de código en vacantes: implementar con operación atómica findAndModify sobre un contador dedicado para garantizar unicidad bajo concurrencia.</w:t>
      </w:r>
    </w:p>
    <w:p>
      <w:pPr>
        <w:pStyle w:val="ListParagraph"/>
        <w:numPr>
          <w:ilvl w:val="0"/>
          <w:numId w:val="2"/>
        </w:numPr>
        <w:spacing w:after="60" w:before="60"/>
      </w:pPr>
      <w:r>
        <w:rPr>
          <w:rFonts w:ascii="Arial" w:cs="Arial" w:eastAsia="Arial" w:hAnsi="Arial"/>
          <w:color w:val="1A1A2E"/>
          <w:sz w:val="22"/>
          <w:szCs w:val="22"/>
        </w:rPr>
        <w:t xml:space="preserve">Desnormalización controlada: nombre_portal en subdocumento publicacion_portal se almacena redundantemente para evitar joins costosos en consultas frecuentes de estado.</w:t>
      </w:r>
    </w:p>
    <w:p>
      <w:pPr>
        <w:pStyle w:val="ListParagraph"/>
        <w:numPr>
          <w:ilvl w:val="0"/>
          <w:numId w:val="2"/>
        </w:numPr>
        <w:spacing w:after="60" w:before="60"/>
      </w:pPr>
      <w:r>
        <w:rPr>
          <w:rFonts w:ascii="Arial" w:cs="Arial" w:eastAsia="Arial" w:hAnsi="Arial"/>
          <w:color w:val="1A1A2E"/>
          <w:sz w:val="22"/>
          <w:szCs w:val="22"/>
        </w:rPr>
        <w:t xml:space="preserve">TTL index: el índice { estado: 1, fecha_expiracion: 1 } en publicaciones_campana es compatible con jobs de expiración automática de campañas.</w:t>
      </w:r>
    </w:p>
    <w:p>
      <w:pPr>
        <w:pStyle w:val="ListParagraph"/>
        <w:numPr>
          <w:ilvl w:val="0"/>
          <w:numId w:val="2"/>
        </w:numPr>
        <w:spacing w:after="60" w:before="60"/>
      </w:pPr>
      <w:r>
        <w:rPr>
          <w:rFonts w:ascii="Arial" w:cs="Arial" w:eastAsia="Arial" w:hAnsi="Arial"/>
          <w:color w:val="1A1A2E"/>
          <w:sz w:val="22"/>
          <w:szCs w:val="22"/>
        </w:rPr>
        <w:t xml:space="preserve">Índice de texto: { nombre: 'text', descripcion: 'text' } en vacantes debe crearse en horario de bajo tráfico. Evaluar Atlas Search para entornos de alta concurrencia.</w:t>
      </w:r>
    </w:p>
    <w:p>
      <w:pPr>
        <w:pStyle w:val="ListParagraph"/>
        <w:numPr>
          <w:ilvl w:val="0"/>
          <w:numId w:val="2"/>
        </w:numPr>
        <w:spacing w:after="60" w:before="60"/>
      </w:pPr>
      <w:r>
        <w:rPr>
          <w:rFonts w:ascii="Arial" w:cs="Arial" w:eastAsia="Arial" w:hAnsi="Arial"/>
          <w:color w:val="1A1A2E"/>
          <w:sz w:val="22"/>
          <w:szCs w:val="22"/>
        </w:rPr>
        <w:t xml:space="preserve">Índices únicos críticos: email en usuarios, codigo en vacantes, slug en portales y categorias, campana_id en pagos.</w:t>
      </w:r>
    </w:p>
    <w:p>
      <w:pPr>
        <w:spacing w:after="0" w:before="200"/>
      </w:pPr>
    </w:p>
    <w:p>
      <w:pPr>
        <w:pStyle w:val="Heading2"/>
        <w:spacing w:after="140" w:before="280"/>
      </w:pPr>
      <w:r>
        <w:rPr>
          <w:rFonts w:ascii="Arial" w:cs="Arial" w:eastAsia="Arial" w:hAnsi="Arial"/>
          <w:b/>
          <w:bCs/>
          <w:color w:val="2E6DA4"/>
          <w:sz w:val="28"/>
          <w:szCs w:val="28"/>
        </w:rPr>
        <w:t xml:space="preserve">4.3 Gestión de Estados y Transiciones</w:t>
      </w:r>
    </w:p>
    <w:p>
      <w:pPr>
        <w:spacing w:after="80" w:before="80"/>
        <w:jc w:val="both"/>
      </w:pPr>
      <w:r>
        <w:rPr>
          <w:rFonts w:ascii="Arial" w:cs="Arial" w:eastAsia="Arial" w:hAnsi="Arial"/>
          <w:color w:val="1A1A2E"/>
          <w:sz w:val="22"/>
          <w:szCs w:val="22"/>
        </w:rPr>
        <w:t xml:space="preserve">El sistema implementa máquinas de estado explícitas para vacantes, campañas y pagos. Las transiciones inválidas retornan ERR_INVALID_STATE (HTTP 409). Reglas fundamentales: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
              <w:left w:val="single" w:color="F9A825" w:sz="12"/>
              <w:bottom w:val="single" w:color="F9A825" w:sz="1"/>
              <w:right w:val="single" w:color="DEE4EC" w:sz="1"/>
            </w:tcBorders>
            <w:shd w:fill="FFFDE7" w:val="clear"/>
            <w:tcMar>
              <w:top w:type="dxa" w:w="120"/>
              <w:left w:type="dxa" w:w="200"/>
              <w:bottom w:type="dxa" w:w="120"/>
              <w:right w:type="dxa" w:w="200"/>
            </w:tcMar>
          </w:tcPr>
          <w:p>
            <w:pPr>
              <w:spacing w:after="80" w:before="60"/>
            </w:pPr>
            <w:r>
              <w:rPr>
                <w:rFonts w:ascii="Arial" w:cs="Arial" w:eastAsia="Arial" w:hAnsi="Arial"/>
                <w:b/>
                <w:bCs/>
                <w:color w:val="F9A825"/>
                <w:sz w:val="22"/>
                <w:szCs w:val="22"/>
              </w:rPr>
              <w:t xml:space="preserve">Transiciones de Estado — Vacantes</w:t>
            </w:r>
          </w:p>
          <w:p>
            <w:pPr>
              <w:spacing w:after="40" w:before="40"/>
            </w:pPr>
            <w:r>
              <w:rPr>
                <w:rFonts w:ascii="Arial" w:cs="Arial" w:eastAsia="Arial" w:hAnsi="Arial"/>
                <w:color w:val="1A1A2E"/>
                <w:sz w:val="20"/>
                <w:szCs w:val="20"/>
              </w:rPr>
              <w:t xml:space="preserve">  • borrador → vigente | pausada | cerrada</w:t>
            </w:r>
          </w:p>
          <w:p>
            <w:pPr>
              <w:spacing w:after="40" w:before="40"/>
            </w:pPr>
            <w:r>
              <w:rPr>
                <w:rFonts w:ascii="Arial" w:cs="Arial" w:eastAsia="Arial" w:hAnsi="Arial"/>
                <w:color w:val="1A1A2E"/>
                <w:sz w:val="20"/>
                <w:szCs w:val="20"/>
              </w:rPr>
              <w:t xml:space="preserve">  • vigente → pausada | cerrada</w:t>
            </w:r>
          </w:p>
          <w:p>
            <w:pPr>
              <w:spacing w:after="40" w:before="40"/>
            </w:pPr>
            <w:r>
              <w:rPr>
                <w:rFonts w:ascii="Arial" w:cs="Arial" w:eastAsia="Arial" w:hAnsi="Arial"/>
                <w:color w:val="1A1A2E"/>
                <w:sz w:val="20"/>
                <w:szCs w:val="20"/>
              </w:rPr>
              <w:t xml:space="preserve">  • pausada → vigente | cerrada</w:t>
            </w:r>
          </w:p>
          <w:p>
            <w:pPr>
              <w:spacing w:after="40" w:before="40"/>
            </w:pPr>
            <w:r>
              <w:rPr>
                <w:rFonts w:ascii="Arial" w:cs="Arial" w:eastAsia="Arial" w:hAnsi="Arial"/>
                <w:color w:val="1A1A2E"/>
                <w:sz w:val="20"/>
                <w:szCs w:val="20"/>
              </w:rPr>
              <w:t xml:space="preserve">  • cerrada → (no permite transición directa a otro estado)</w:t>
            </w:r>
          </w:p>
          <w:p>
            <w:pPr>
              <w:spacing w:after="40" w:before="40"/>
            </w:pPr>
            <w:r>
              <w:rPr>
                <w:rFonts w:ascii="Arial" w:cs="Arial" w:eastAsia="Arial" w:hAnsi="Arial"/>
                <w:color w:val="1A1A2E"/>
                <w:sz w:val="20"/>
                <w:szCs w:val="20"/>
              </w:rPr>
              <w:t xml:space="preserve">  • No se puede publicar una vacante en estado 'cerrada' (ERR_VACANTE_CLOSED).</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2"/>
              <w:bottom w:val="single" w:color="2E7D32" w:sz="1"/>
              <w:right w:val="single" w:color="DEE4EC" w:sz="1"/>
            </w:tcBorders>
            <w:shd w:fill="E8F5E9" w:val="clear"/>
            <w:tcMar>
              <w:top w:type="dxa" w:w="120"/>
              <w:left w:type="dxa" w:w="200"/>
              <w:bottom w:type="dxa" w:w="120"/>
              <w:right w:type="dxa" w:w="200"/>
            </w:tcMar>
          </w:tcPr>
          <w:p>
            <w:pPr>
              <w:spacing w:after="80" w:before="60"/>
            </w:pPr>
            <w:r>
              <w:rPr>
                <w:rFonts w:ascii="Arial" w:cs="Arial" w:eastAsia="Arial" w:hAnsi="Arial"/>
                <w:b/>
                <w:bCs/>
                <w:color w:val="2E7D32"/>
                <w:sz w:val="22"/>
                <w:szCs w:val="22"/>
              </w:rPr>
              <w:t xml:space="preserve">Transiciones de Estado — Campañas</w:t>
            </w:r>
          </w:p>
          <w:p>
            <w:pPr>
              <w:spacing w:after="40" w:before="40"/>
            </w:pPr>
            <w:r>
              <w:rPr>
                <w:rFonts w:ascii="Arial" w:cs="Arial" w:eastAsia="Arial" w:hAnsi="Arial"/>
                <w:color w:val="1A1A2E"/>
                <w:sz w:val="20"/>
                <w:szCs w:val="20"/>
              </w:rPr>
              <w:t xml:space="preserve">  • borrador → pendiente_pago | publicando</w:t>
            </w:r>
          </w:p>
          <w:p>
            <w:pPr>
              <w:spacing w:after="40" w:before="40"/>
            </w:pPr>
            <w:r>
              <w:rPr>
                <w:rFonts w:ascii="Arial" w:cs="Arial" w:eastAsia="Arial" w:hAnsi="Arial"/>
                <w:color w:val="1A1A2E"/>
                <w:sz w:val="20"/>
                <w:szCs w:val="20"/>
              </w:rPr>
              <w:t xml:space="preserve">  • pendiente_pago → publicando (tras pago exitoso) | cancelada | error</w:t>
            </w:r>
          </w:p>
          <w:p>
            <w:pPr>
              <w:spacing w:after="40" w:before="40"/>
            </w:pPr>
            <w:r>
              <w:rPr>
                <w:rFonts w:ascii="Arial" w:cs="Arial" w:eastAsia="Arial" w:hAnsi="Arial"/>
                <w:color w:val="1A1A2E"/>
                <w:sz w:val="20"/>
                <w:szCs w:val="20"/>
              </w:rPr>
              <w:t xml:space="preserve">  • publicando → publicada | error | cancelada</w:t>
            </w:r>
          </w:p>
          <w:p>
            <w:pPr>
              <w:spacing w:after="40" w:before="40"/>
            </w:pPr>
            <w:r>
              <w:rPr>
                <w:rFonts w:ascii="Arial" w:cs="Arial" w:eastAsia="Arial" w:hAnsi="Arial"/>
                <w:color w:val="1A1A2E"/>
                <w:sz w:val="20"/>
                <w:szCs w:val="20"/>
              </w:rPr>
              <w:t xml:space="preserve">  • publicada → cancelada (solo si no tiene portales activos de pago)</w:t>
            </w:r>
          </w:p>
          <w:p>
            <w:pPr>
              <w:spacing w:after="40" w:before="40"/>
            </w:pPr>
            <w:r>
              <w:rPr>
                <w:rFonts w:ascii="Arial" w:cs="Arial" w:eastAsia="Arial" w:hAnsi="Arial"/>
                <w:color w:val="1A1A2E"/>
                <w:sz w:val="20"/>
                <w:szCs w:val="20"/>
              </w:rPr>
              <w:t xml:space="preserve">  • cancelada → (estado terminal, ERR_ALREADY_CANCELLED si se intenta cancelar de nuevo)</w:t>
            </w:r>
          </w:p>
        </w:tc>
      </w:tr>
    </w:tbl>
    <w:p>
      <w:pPr>
        <w:spacing w:after="0" w:before="200"/>
      </w:pPr>
    </w:p>
    <w:p>
      <w:pPr>
        <w:pStyle w:val="Heading2"/>
        <w:spacing w:after="140" w:before="280"/>
      </w:pPr>
      <w:r>
        <w:rPr>
          <w:rFonts w:ascii="Arial" w:cs="Arial" w:eastAsia="Arial" w:hAnsi="Arial"/>
          <w:b/>
          <w:bCs/>
          <w:color w:val="2E6DA4"/>
          <w:sz w:val="28"/>
          <w:szCs w:val="28"/>
        </w:rPr>
        <w:t xml:space="preserve">4.4 Procesamiento Asíncrono</w:t>
      </w:r>
    </w:p>
    <w:p>
      <w:pPr>
        <w:spacing w:after="80" w:before="80"/>
        <w:jc w:val="both"/>
      </w:pPr>
      <w:r>
        <w:rPr>
          <w:rFonts w:ascii="Arial" w:cs="Arial" w:eastAsia="Arial" w:hAnsi="Arial"/>
          <w:color w:val="1A1A2E"/>
          <w:sz w:val="22"/>
          <w:szCs w:val="22"/>
        </w:rPr>
        <w:t xml:space="preserve">Las publicaciones en portales externos y el procesamiento de pagos son operaciones asíncronas. El sistema debe implementar:</w:t>
      </w:r>
    </w:p>
    <w:p>
      <w:pPr>
        <w:spacing w:after="0" w:before="100"/>
      </w:pPr>
    </w:p>
    <w:p>
      <w:pPr>
        <w:pStyle w:val="ListParagraph"/>
        <w:numPr>
          <w:ilvl w:val="0"/>
          <w:numId w:val="2"/>
        </w:numPr>
        <w:spacing w:after="60" w:before="60"/>
      </w:pPr>
      <w:r>
        <w:rPr>
          <w:rFonts w:ascii="Arial" w:cs="Arial" w:eastAsia="Arial" w:hAnsi="Arial"/>
          <w:color w:val="1A1A2E"/>
          <w:sz w:val="22"/>
          <w:szCs w:val="22"/>
        </w:rPr>
        <w:t xml:space="preserve">Worker/queue para procesar publicaciones en portales con API: enviar el anuncio, esperar confirmación y actualizar el estado del subdocumento publicacion_portal.</w:t>
      </w:r>
    </w:p>
    <w:p>
      <w:pPr>
        <w:pStyle w:val="ListParagraph"/>
        <w:numPr>
          <w:ilvl w:val="0"/>
          <w:numId w:val="2"/>
        </w:numPr>
        <w:spacing w:after="60" w:before="60"/>
      </w:pPr>
      <w:r>
        <w:rPr>
          <w:rFonts w:ascii="Arial" w:cs="Arial" w:eastAsia="Arial" w:hAnsi="Arial"/>
          <w:color w:val="1A1A2E"/>
          <w:sz w:val="22"/>
          <w:szCs w:val="22"/>
        </w:rPr>
        <w:t xml:space="preserve">Manejo de reintentos con backoff exponencial: los campos intentos y ultimo_intento en publicacion_portal soportan esta lógica. Definir máximo de reintentos por portal.</w:t>
      </w:r>
    </w:p>
    <w:p>
      <w:pPr>
        <w:pStyle w:val="ListParagraph"/>
        <w:numPr>
          <w:ilvl w:val="0"/>
          <w:numId w:val="2"/>
        </w:numPr>
        <w:spacing w:after="60" w:before="60"/>
      </w:pPr>
      <w:r>
        <w:rPr>
          <w:rFonts w:ascii="Arial" w:cs="Arial" w:eastAsia="Arial" w:hAnsi="Arial"/>
          <w:color w:val="1A1A2E"/>
          <w:sz w:val="22"/>
          <w:szCs w:val="22"/>
        </w:rPr>
        <w:t xml:space="preserve">Webhook receiver para confirmaciones del gateway de pagos: debe validar la firma del payload antes de actualizar el estado del pago y desencadenar las publicaciones pendientes.</w:t>
      </w:r>
    </w:p>
    <w:p>
      <w:pPr>
        <w:pStyle w:val="ListParagraph"/>
        <w:numPr>
          <w:ilvl w:val="0"/>
          <w:numId w:val="2"/>
        </w:numPr>
        <w:spacing w:after="60" w:before="60"/>
      </w:pPr>
      <w:r>
        <w:rPr>
          <w:rFonts w:ascii="Arial" w:cs="Arial" w:eastAsia="Arial" w:hAnsi="Arial"/>
          <w:color w:val="1A1A2E"/>
          <w:sz w:val="22"/>
          <w:szCs w:val="22"/>
        </w:rPr>
        <w:t xml:space="preserve">Jobs de expiración automática: basados en el índice { estado, fecha_expiracion } para cerrar campañas vencidas.</w:t>
      </w:r>
    </w:p>
    <w:p>
      <w:pPr>
        <w:spacing w:after="0" w:before="200"/>
      </w:pPr>
    </w:p>
    <w:p>
      <w:pPr>
        <w:pStyle w:val="Heading2"/>
        <w:spacing w:after="140" w:before="280"/>
      </w:pPr>
      <w:r>
        <w:rPr>
          <w:rFonts w:ascii="Arial" w:cs="Arial" w:eastAsia="Arial" w:hAnsi="Arial"/>
          <w:b/>
          <w:bCs/>
          <w:color w:val="2E6DA4"/>
          <w:sz w:val="28"/>
          <w:szCs w:val="28"/>
        </w:rPr>
        <w:t xml:space="preserve">4.5 Manejo de Errores y Códigos HTTP</w:t>
      </w:r>
    </w:p>
    <w:p>
      <w:pPr>
        <w:spacing w:after="80" w:before="80"/>
        <w:jc w:val="both"/>
      </w:pPr>
      <w:r>
        <w:rPr>
          <w:rFonts w:ascii="Arial" w:cs="Arial" w:eastAsia="Arial" w:hAnsi="Arial"/>
          <w:color w:val="1A1A2E"/>
          <w:sz w:val="22"/>
          <w:szCs w:val="22"/>
        </w:rPr>
        <w:t xml:space="preserve">La API implementa un catálogo estandarizado de 30+ códigos de error internos que garantizan respuestas consistentes y manejables por el cliente. Principios clave:</w:t>
      </w:r>
    </w:p>
    <w:p>
      <w:pPr>
        <w:spacing w:after="0" w:before="100"/>
      </w:pPr>
    </w:p>
    <w:p>
      <w:pPr>
        <w:pStyle w:val="ListParagraph"/>
        <w:numPr>
          <w:ilvl w:val="0"/>
          <w:numId w:val="2"/>
        </w:numPr>
        <w:spacing w:after="60" w:before="60"/>
      </w:pPr>
      <w:r>
        <w:rPr>
          <w:rFonts w:ascii="Arial" w:cs="Arial" w:eastAsia="Arial" w:hAnsi="Arial"/>
          <w:color w:val="1A1A2E"/>
          <w:sz w:val="22"/>
          <w:szCs w:val="22"/>
        </w:rPr>
        <w:t xml:space="preserve">Todos los errores siguen la estructura: { success: false, error: { code, message, details } }.</w:t>
      </w:r>
    </w:p>
    <w:p>
      <w:pPr>
        <w:pStyle w:val="ListParagraph"/>
        <w:numPr>
          <w:ilvl w:val="0"/>
          <w:numId w:val="2"/>
        </w:numPr>
        <w:spacing w:after="60" w:before="60"/>
      </w:pPr>
      <w:r>
        <w:rPr>
          <w:rFonts w:ascii="Arial" w:cs="Arial" w:eastAsia="Arial" w:hAnsi="Arial"/>
          <w:color w:val="1A1A2E"/>
          <w:sz w:val="22"/>
          <w:szCs w:val="22"/>
        </w:rPr>
        <w:t xml:space="preserve">El campo details en ERR_VALIDATION contiene un array de { field, message } para validación campo a campo.</w:t>
      </w:r>
    </w:p>
    <w:p>
      <w:pPr>
        <w:pStyle w:val="ListParagraph"/>
        <w:numPr>
          <w:ilvl w:val="0"/>
          <w:numId w:val="2"/>
        </w:numPr>
        <w:spacing w:after="60" w:before="60"/>
      </w:pPr>
      <w:r>
        <w:rPr>
          <w:rFonts w:ascii="Arial" w:cs="Arial" w:eastAsia="Arial" w:hAnsi="Arial"/>
          <w:color w:val="1A1A2E"/>
          <w:sz w:val="22"/>
          <w:szCs w:val="22"/>
        </w:rPr>
        <w:t xml:space="preserve">Los errores de servicio externo (ERR_IA_UNAVAILABLE, ERR_PAYMENT_GATEWAY) retornan HTTP 503 indicando reintento.</w:t>
      </w:r>
    </w:p>
    <w:p>
      <w:pPr>
        <w:pStyle w:val="ListParagraph"/>
        <w:numPr>
          <w:ilvl w:val="0"/>
          <w:numId w:val="2"/>
        </w:numPr>
        <w:spacing w:after="60" w:before="60"/>
      </w:pPr>
      <w:r>
        <w:rPr>
          <w:rFonts w:ascii="Arial" w:cs="Arial" w:eastAsia="Arial" w:hAnsi="Arial"/>
          <w:color w:val="1A1A2E"/>
          <w:sz w:val="22"/>
          <w:szCs w:val="22"/>
        </w:rPr>
        <w:t xml:space="preserve">ERR_INTERNAL (HTTP 500) incluye trace_id para correlación con los logs del servidor.</w:t>
      </w:r>
    </w:p>
    <w:p>
      <w:pPr>
        <w:pStyle w:val="ListParagraph"/>
        <w:numPr>
          <w:ilvl w:val="0"/>
          <w:numId w:val="2"/>
        </w:numPr>
        <w:spacing w:after="60" w:before="60"/>
      </w:pPr>
      <w:r>
        <w:rPr>
          <w:rFonts w:ascii="Arial" w:cs="Arial" w:eastAsia="Arial" w:hAnsi="Arial"/>
          <w:color w:val="1A1A2E"/>
          <w:sz w:val="22"/>
          <w:szCs w:val="22"/>
        </w:rPr>
        <w:t xml:space="preserve">HTTP 202 (Accepted) para operaciones asíncronas (inicio de pago) diferencia procesamiento en curso de éxito inmediato.</w:t>
      </w:r>
    </w:p>
    <w:p>
      <w:pPr>
        <w:spacing w:after="0" w:before="200"/>
      </w:pPr>
    </w:p>
    <w:p>
      <w:pPr>
        <w:pStyle w:val="Heading2"/>
        <w:spacing w:after="140" w:before="280"/>
      </w:pPr>
      <w:r>
        <w:rPr>
          <w:rFonts w:ascii="Arial" w:cs="Arial" w:eastAsia="Arial" w:hAnsi="Arial"/>
          <w:b/>
          <w:bCs/>
          <w:color w:val="2E6DA4"/>
          <w:sz w:val="28"/>
          <w:szCs w:val="28"/>
        </w:rPr>
        <w:t xml:space="preserve">4.6 Paginación y Rendimiento</w:t>
      </w:r>
    </w:p>
    <w:p>
      <w:pPr>
        <w:spacing w:after="80" w:before="80"/>
        <w:jc w:val="both"/>
      </w:pPr>
      <w:r>
        <w:rPr>
          <w:rFonts w:ascii="Arial" w:cs="Arial" w:eastAsia="Arial" w:hAnsi="Arial"/>
          <w:color w:val="1A1A2E"/>
          <w:sz w:val="22"/>
          <w:szCs w:val="22"/>
        </w:rPr>
        <w:t xml:space="preserve">Todos los endpoints de listado implementan paginación estándar con los parámetros page (base 1) y limit (máximo 100). La respuesta siempre incluye meta.total, meta.page, meta.limit y meta.pages. Consideraciones de rendimiento:</w:t>
      </w:r>
    </w:p>
    <w:p>
      <w:pPr>
        <w:spacing w:after="0" w:before="100"/>
      </w:pPr>
    </w:p>
    <w:p>
      <w:pPr>
        <w:pStyle w:val="ListParagraph"/>
        <w:numPr>
          <w:ilvl w:val="0"/>
          <w:numId w:val="2"/>
        </w:numPr>
        <w:spacing w:after="60" w:before="60"/>
      </w:pPr>
      <w:r>
        <w:rPr>
          <w:rFonts w:ascii="Arial" w:cs="Arial" w:eastAsia="Arial" w:hAnsi="Arial"/>
          <w:color w:val="1A1A2E"/>
          <w:sz w:val="22"/>
          <w:szCs w:val="22"/>
        </w:rPr>
        <w:t xml:space="preserve">Los índices compuestos (empresa_id + estado, activo + paises + modelo_empresa) están diseñados para los filtros de consulta más frecuentes.</w:t>
      </w:r>
    </w:p>
    <w:p>
      <w:pPr>
        <w:pStyle w:val="ListParagraph"/>
        <w:numPr>
          <w:ilvl w:val="0"/>
          <w:numId w:val="2"/>
        </w:numPr>
        <w:spacing w:after="60" w:before="60"/>
      </w:pPr>
      <w:r>
        <w:rPr>
          <w:rFonts w:ascii="Arial" w:cs="Arial" w:eastAsia="Arial" w:hAnsi="Arial"/>
          <w:color w:val="1A1A2E"/>
          <w:sz w:val="22"/>
          <w:szCs w:val="22"/>
        </w:rPr>
        <w:t xml:space="preserve">El índice { veces_usado: -1 } en perfiles_cargo permite ordenar eficientemente por popularidad sin sort en memoria.</w:t>
      </w:r>
    </w:p>
    <w:p>
      <w:pPr>
        <w:pStyle w:val="ListParagraph"/>
        <w:numPr>
          <w:ilvl w:val="0"/>
          <w:numId w:val="2"/>
        </w:numPr>
        <w:spacing w:after="60" w:before="60"/>
      </w:pPr>
      <w:r>
        <w:rPr>
          <w:rFonts w:ascii="Arial" w:cs="Arial" w:eastAsia="Arial" w:hAnsi="Arial"/>
          <w:color w:val="1A1A2E"/>
          <w:sz w:val="22"/>
          <w:szCs w:val="22"/>
        </w:rPr>
        <w:t xml:space="preserve">El índice { createdAt: -1 } en pagos optimiza las consultas de historial más recientes primero.</w:t>
      </w:r>
    </w:p>
    <w:p>
      <w:pPr>
        <w:pStyle w:val="ListParagraph"/>
        <w:numPr>
          <w:ilvl w:val="0"/>
          <w:numId w:val="2"/>
        </w:numPr>
        <w:spacing w:after="60" w:before="60"/>
      </w:pPr>
      <w:r>
        <w:rPr>
          <w:rFonts w:ascii="Arial" w:cs="Arial" w:eastAsia="Arial" w:hAnsi="Arial"/>
          <w:color w:val="1A1A2E"/>
          <w:sz w:val="22"/>
          <w:szCs w:val="22"/>
        </w:rPr>
        <w:t xml:space="preserve">Las búsquedas de texto libre en vacantes usan el índice de texto de MongoDB; para alta concurrencia, migrar a Atlas Search o Elasticsearch.</w:t>
      </w:r>
    </w:p>
    <w:p>
      <w:pPr>
        <w:spacing w:after="0" w:before="200"/>
      </w:pPr>
    </w:p>
    <w:p>
      <w:pPr>
        <w:pStyle w:val="Heading2"/>
        <w:spacing w:after="140" w:before="280"/>
      </w:pPr>
      <w:r>
        <w:rPr>
          <w:rFonts w:ascii="Arial" w:cs="Arial" w:eastAsia="Arial" w:hAnsi="Arial"/>
          <w:b/>
          <w:bCs/>
          <w:color w:val="2E6DA4"/>
          <w:sz w:val="28"/>
          <w:szCs w:val="28"/>
        </w:rPr>
        <w:t xml:space="preserve">4.7 Cobertura Geográfica y Multimoneda</w:t>
      </w:r>
    </w:p>
    <w:p>
      <w:pPr>
        <w:spacing w:after="80" w:before="80"/>
        <w:jc w:val="both"/>
      </w:pPr>
      <w:r>
        <w:rPr>
          <w:rFonts w:ascii="Arial" w:cs="Arial" w:eastAsia="Arial" w:hAnsi="Arial"/>
          <w:color w:val="1A1A2E"/>
          <w:sz w:val="22"/>
          <w:szCs w:val="22"/>
        </w:rPr>
        <w:t xml:space="preserve">El sistema está diseñado para operar en múltiples países latinoamericanos (MX, GT, HN, SV, NI, US). Esto implica:</w:t>
      </w:r>
    </w:p>
    <w:p>
      <w:pPr>
        <w:spacing w:after="0" w:before="100"/>
      </w:pPr>
    </w:p>
    <w:p>
      <w:pPr>
        <w:pStyle w:val="ListParagraph"/>
        <w:numPr>
          <w:ilvl w:val="0"/>
          <w:numId w:val="2"/>
        </w:numPr>
        <w:spacing w:after="60" w:before="60"/>
      </w:pPr>
      <w:r>
        <w:rPr>
          <w:rFonts w:ascii="Arial" w:cs="Arial" w:eastAsia="Arial" w:hAnsi="Arial"/>
          <w:color w:val="1A1A2E"/>
          <w:sz w:val="22"/>
          <w:szCs w:val="22"/>
        </w:rPr>
        <w:t xml:space="preserve">Códigos de país en formato ISO 3166-1 alpha-2 en todos los documentos relevantes (empresas, portales, campañas).</w:t>
      </w:r>
    </w:p>
    <w:p>
      <w:pPr>
        <w:pStyle w:val="ListParagraph"/>
        <w:numPr>
          <w:ilvl w:val="0"/>
          <w:numId w:val="2"/>
        </w:numPr>
        <w:spacing w:after="60" w:before="60"/>
      </w:pPr>
      <w:r>
        <w:rPr>
          <w:rFonts w:ascii="Arial" w:cs="Arial" w:eastAsia="Arial" w:hAnsi="Arial"/>
          <w:color w:val="1A1A2E"/>
          <w:sz w:val="22"/>
          <w:szCs w:val="22"/>
        </w:rPr>
        <w:t xml:space="preserve">Monedas en formato ISO 4217 (MXN, GTQ, HNL, USD, etc.) con validación en API (ERR_INVALID_MONEDA).</w:t>
      </w:r>
    </w:p>
    <w:p>
      <w:pPr>
        <w:pStyle w:val="ListParagraph"/>
        <w:numPr>
          <w:ilvl w:val="0"/>
          <w:numId w:val="2"/>
        </w:numPr>
        <w:spacing w:after="60" w:before="60"/>
      </w:pPr>
      <w:r>
        <w:rPr>
          <w:rFonts w:ascii="Arial" w:cs="Arial" w:eastAsia="Arial" w:hAnsi="Arial"/>
          <w:color w:val="1A1A2E"/>
          <w:sz w:val="22"/>
          <w:szCs w:val="22"/>
        </w:rPr>
        <w:t xml:space="preserve">Cada portal puede tener su propia moneda (moneda_portal en publicacion_portal); la campaña consolida el costo_total en una moneda unificada.</w:t>
      </w:r>
    </w:p>
    <w:p>
      <w:pPr>
        <w:pStyle w:val="ListParagraph"/>
        <w:numPr>
          <w:ilvl w:val="0"/>
          <w:numId w:val="2"/>
        </w:numPr>
        <w:spacing w:after="60" w:before="60"/>
      </w:pPr>
      <w:r>
        <w:rPr>
          <w:rFonts w:ascii="Arial" w:cs="Arial" w:eastAsia="Arial" w:hAnsi="Arial"/>
          <w:color w:val="1A1A2E"/>
          <w:sz w:val="22"/>
          <w:szCs w:val="22"/>
        </w:rPr>
        <w:t xml:space="preserve">El desglose en pagos registra el monto de cada portal en su moneda original para auditoría y conciliación contable.</w:t>
      </w:r>
    </w:p>
    <w:p>
      <w:pPr>
        <w:spacing w:after="0" w:before="200"/>
      </w:pPr>
    </w:p>
    <w:p>
      <w:r>
        <w:br w:type="page"/>
      </w:r>
    </w:p>
    <w:p>
      <w:pPr>
        <w:pStyle w:val="Heading1"/>
        <w:spacing w:after="200" w:before="360"/>
      </w:pPr>
      <w:r>
        <w:rPr>
          <w:rFonts w:ascii="Arial" w:cs="Arial" w:eastAsia="Arial" w:hAnsi="Arial"/>
          <w:b/>
          <w:bCs/>
          <w:color w:val="1B3A5C"/>
          <w:sz w:val="36"/>
          <w:szCs w:val="36"/>
        </w:rPr>
        <w:t xml:space="preserve">5. Resumen de Endpoints</w:t>
      </w:r>
    </w:p>
    <w:p>
      <w:pPr>
        <w:spacing w:after="80" w:before="80"/>
        <w:jc w:val="both"/>
      </w:pPr>
      <w:r>
        <w:rPr>
          <w:rFonts w:ascii="Arial" w:cs="Arial" w:eastAsia="Arial" w:hAnsi="Arial"/>
          <w:color w:val="1A1A2E"/>
          <w:sz w:val="22"/>
          <w:szCs w:val="22"/>
        </w:rPr>
        <w:t xml:space="preserve">La siguiente tabla consolida todos los endpoints del sistema para referencia rápida del equipo de desarrollo.</w:t>
      </w:r>
    </w:p>
    <w:p>
      <w:pPr>
        <w:spacing w:after="0" w:before="100"/>
      </w:pPr>
    </w:p>
    <w:p>
      <w:pPr>
        <w:pBdr>
          <w:bottom w:val="single" w:color="2E6DA4" w:sz="6" w:space="4"/>
        </w:pBdr>
        <w:spacing w:after="180" w:before="300"/>
      </w:pPr>
      <w:r>
        <w:rPr>
          <w:rFonts w:ascii="Arial" w:cs="Arial" w:eastAsia="Arial" w:hAnsi="Arial"/>
          <w:b/>
          <w:bCs/>
          <w:color w:val="2E6DA4"/>
          <w:sz w:val="30"/>
          <w:szCs w:val="30"/>
        </w:rPr>
        <w:t xml:space="preserve">Autenticación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E8F5E9" w:sz="1"/>
              <w:left w:val="single" w:color="E8F5E9" w:sz="1"/>
              <w:bottom w:val="single" w:color="E8F5E9" w:sz="1"/>
              <w:right w:val="single" w:color="E8F5E9" w:sz="1"/>
            </w:tcBorders>
            <w:shd w:fill="E8F5E9" w:val="clear"/>
            <w:tcMar>
              <w:top w:type="dxa" w:w="80"/>
              <w:left w:type="dxa" w:w="100"/>
              <w:bottom w:type="dxa" w:w="80"/>
              <w:right w:type="dxa" w:w="100"/>
            </w:tcMar>
            <w:vAlign w:val="center"/>
          </w:tcPr>
          <w:p>
            <w:pPr>
              <w:jc w:val="center"/>
            </w:pPr>
            <w:r>
              <w:rPr>
                <w:rFonts w:ascii="Arial" w:cs="Arial" w:eastAsia="Arial" w:hAnsi="Arial"/>
                <w:b/>
                <w:bCs/>
                <w:color w:val="2E7D32"/>
                <w:sz w:val="18"/>
                <w:szCs w:val="18"/>
              </w:rPr>
              <w:t xml:space="preserve">POST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/auth/login</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Autentica usuario, retorna JWT + refresh token</w:t>
            </w:r>
          </w:p>
        </w:tc>
      </w:tr>
    </w:tbl>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E8F5E9" w:sz="1"/>
              <w:left w:val="single" w:color="E8F5E9" w:sz="1"/>
              <w:bottom w:val="single" w:color="E8F5E9" w:sz="1"/>
              <w:right w:val="single" w:color="E8F5E9" w:sz="1"/>
            </w:tcBorders>
            <w:shd w:fill="E8F5E9" w:val="clear"/>
            <w:tcMar>
              <w:top w:type="dxa" w:w="80"/>
              <w:left w:type="dxa" w:w="100"/>
              <w:bottom w:type="dxa" w:w="80"/>
              <w:right w:type="dxa" w:w="100"/>
            </w:tcMar>
            <w:vAlign w:val="center"/>
          </w:tcPr>
          <w:p>
            <w:pPr>
              <w:jc w:val="center"/>
            </w:pPr>
            <w:r>
              <w:rPr>
                <w:rFonts w:ascii="Arial" w:cs="Arial" w:eastAsia="Arial" w:hAnsi="Arial"/>
                <w:b/>
                <w:bCs/>
                <w:color w:val="2E7D32"/>
                <w:sz w:val="18"/>
                <w:szCs w:val="18"/>
              </w:rPr>
              <w:t xml:space="preserve">POST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/auth/refresh</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Renueva access_token con refresh_token</w:t>
            </w:r>
          </w:p>
        </w:tc>
      </w:tr>
    </w:tbl>
    <w:p>
      <w:pPr>
        <w:spacing w:after="0" w:before="50"/>
      </w:pPr>
    </w:p>
    <w:p>
      <w:pPr>
        <w:spacing w:after="0" w:before="100"/>
      </w:pPr>
    </w:p>
    <w:p>
      <w:pPr>
        <w:pBdr>
          <w:bottom w:val="single" w:color="2E6DA4" w:sz="6" w:space="4"/>
        </w:pBdr>
        <w:spacing w:after="180" w:before="300"/>
      </w:pPr>
      <w:r>
        <w:rPr>
          <w:rFonts w:ascii="Arial" w:cs="Arial" w:eastAsia="Arial" w:hAnsi="Arial"/>
          <w:b/>
          <w:bCs/>
          <w:color w:val="2E6DA4"/>
          <w:sz w:val="30"/>
          <w:szCs w:val="30"/>
        </w:rPr>
        <w:t xml:space="preserve">Vacantes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D6E4F0" w:sz="1"/>
              <w:left w:val="single" w:color="D6E4F0" w:sz="1"/>
              <w:bottom w:val="single" w:color="D6E4F0" w:sz="1"/>
              <w:right w:val="single" w:color="D6E4F0" w:sz="1"/>
            </w:tcBorders>
            <w:shd w:fill="D6E4F0" w:val="clear"/>
            <w:tcMar>
              <w:top w:type="dxa" w:w="80"/>
              <w:left w:type="dxa" w:w="100"/>
              <w:bottom w:type="dxa" w:w="80"/>
              <w:right w:type="dxa" w:w="100"/>
            </w:tcMar>
            <w:vAlign w:val="center"/>
          </w:tcPr>
          <w:p>
            <w:pPr>
              <w:jc w:val="center"/>
            </w:pPr>
            <w:r>
              <w:rPr>
                <w:rFonts w:ascii="Arial" w:cs="Arial" w:eastAsia="Arial" w:hAnsi="Arial"/>
                <w:b/>
                <w:bCs/>
                <w:color w:val="2E6DA4"/>
                <w:sz w:val="18"/>
                <w:szCs w:val="18"/>
              </w:rPr>
              <w:t xml:space="preserve">GET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/vacantes</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Lista paginada de vacantes con filtros</w:t>
            </w:r>
          </w:p>
        </w:tc>
      </w:tr>
    </w:tbl>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E8F5E9" w:sz="1"/>
              <w:left w:val="single" w:color="E8F5E9" w:sz="1"/>
              <w:bottom w:val="single" w:color="E8F5E9" w:sz="1"/>
              <w:right w:val="single" w:color="E8F5E9" w:sz="1"/>
            </w:tcBorders>
            <w:shd w:fill="E8F5E9" w:val="clear"/>
            <w:tcMar>
              <w:top w:type="dxa" w:w="80"/>
              <w:left w:type="dxa" w:w="100"/>
              <w:bottom w:type="dxa" w:w="80"/>
              <w:right w:type="dxa" w:w="100"/>
            </w:tcMar>
            <w:vAlign w:val="center"/>
          </w:tcPr>
          <w:p>
            <w:pPr>
              <w:jc w:val="center"/>
            </w:pPr>
            <w:r>
              <w:rPr>
                <w:rFonts w:ascii="Arial" w:cs="Arial" w:eastAsia="Arial" w:hAnsi="Arial"/>
                <w:b/>
                <w:bCs/>
                <w:color w:val="2E7D32"/>
                <w:sz w:val="18"/>
                <w:szCs w:val="18"/>
              </w:rPr>
              <w:t xml:space="preserve">POST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/vacantes</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Crea nueva vacante con código auto-generado</w:t>
            </w:r>
          </w:p>
        </w:tc>
      </w:tr>
    </w:tbl>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D6E4F0" w:sz="1"/>
              <w:left w:val="single" w:color="D6E4F0" w:sz="1"/>
              <w:bottom w:val="single" w:color="D6E4F0" w:sz="1"/>
              <w:right w:val="single" w:color="D6E4F0" w:sz="1"/>
            </w:tcBorders>
            <w:shd w:fill="D6E4F0" w:val="clear"/>
            <w:tcMar>
              <w:top w:type="dxa" w:w="80"/>
              <w:left w:type="dxa" w:w="100"/>
              <w:bottom w:type="dxa" w:w="80"/>
              <w:right w:type="dxa" w:w="100"/>
            </w:tcMar>
            <w:vAlign w:val="center"/>
          </w:tcPr>
          <w:p>
            <w:pPr>
              <w:jc w:val="center"/>
            </w:pPr>
            <w:r>
              <w:rPr>
                <w:rFonts w:ascii="Arial" w:cs="Arial" w:eastAsia="Arial" w:hAnsi="Arial"/>
                <w:b/>
                <w:bCs/>
                <w:color w:val="2E6DA4"/>
                <w:sz w:val="18"/>
                <w:szCs w:val="18"/>
              </w:rPr>
              <w:t xml:space="preserve">GET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/vacantes/:id</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Detalle completo de vacante</w:t>
            </w:r>
          </w:p>
        </w:tc>
      </w:tr>
    </w:tbl>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FFF3E0" w:sz="1"/>
              <w:left w:val="single" w:color="FFF3E0" w:sz="1"/>
              <w:bottom w:val="single" w:color="FFF3E0" w:sz="1"/>
              <w:right w:val="single" w:color="FFF3E0" w:sz="1"/>
            </w:tcBorders>
            <w:shd w:fill="FFF3E0" w:val="clear"/>
            <w:tcMar>
              <w:top w:type="dxa" w:w="80"/>
              <w:left w:type="dxa" w:w="100"/>
              <w:bottom w:type="dxa" w:w="80"/>
              <w:right w:type="dxa" w:w="100"/>
            </w:tcMar>
            <w:vAlign w:val="center"/>
          </w:tcPr>
          <w:p>
            <w:pPr>
              <w:jc w:val="center"/>
            </w:pPr>
            <w:r>
              <w:rPr>
                <w:rFonts w:ascii="Arial" w:cs="Arial" w:eastAsia="Arial" w:hAnsi="Arial"/>
                <w:b/>
                <w:bCs/>
                <w:color w:val="E65100"/>
                <w:sz w:val="18"/>
                <w:szCs w:val="18"/>
              </w:rPr>
              <w:t xml:space="preserve">PUT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/vacantes/:id</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Actualiza campos de una vacante</w:t>
            </w:r>
          </w:p>
        </w:tc>
      </w:tr>
    </w:tbl>
    <w:p>
      <w:pPr>
        <w:spacing w:after="0" w:before="50"/>
      </w:pPr>
    </w:p>
    <w:p>
      <w:pPr>
        <w:spacing w:after="0" w:before="100"/>
      </w:pPr>
    </w:p>
    <w:p>
      <w:pPr>
        <w:pBdr>
          <w:bottom w:val="single" w:color="2E6DA4" w:sz="6" w:space="4"/>
        </w:pBdr>
        <w:spacing w:after="180" w:before="300"/>
      </w:pPr>
      <w:r>
        <w:rPr>
          <w:rFonts w:ascii="Arial" w:cs="Arial" w:eastAsia="Arial" w:hAnsi="Arial"/>
          <w:b/>
          <w:bCs/>
          <w:color w:val="2E6DA4"/>
          <w:sz w:val="30"/>
          <w:szCs w:val="30"/>
        </w:rPr>
        <w:t xml:space="preserve">Perfiles de Cargo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D6E4F0" w:sz="1"/>
              <w:left w:val="single" w:color="D6E4F0" w:sz="1"/>
              <w:bottom w:val="single" w:color="D6E4F0" w:sz="1"/>
              <w:right w:val="single" w:color="D6E4F0" w:sz="1"/>
            </w:tcBorders>
            <w:shd w:fill="D6E4F0" w:val="clear"/>
            <w:tcMar>
              <w:top w:type="dxa" w:w="80"/>
              <w:left w:type="dxa" w:w="100"/>
              <w:bottom w:type="dxa" w:w="80"/>
              <w:right w:type="dxa" w:w="100"/>
            </w:tcMar>
            <w:vAlign w:val="center"/>
          </w:tcPr>
          <w:p>
            <w:pPr>
              <w:jc w:val="center"/>
            </w:pPr>
            <w:r>
              <w:rPr>
                <w:rFonts w:ascii="Arial" w:cs="Arial" w:eastAsia="Arial" w:hAnsi="Arial"/>
                <w:b/>
                <w:bCs/>
                <w:color w:val="2E6DA4"/>
                <w:sz w:val="18"/>
                <w:szCs w:val="18"/>
              </w:rPr>
              <w:t xml:space="preserve">GET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/perfiles</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Lista perfiles por empresa y categoría</w:t>
            </w:r>
          </w:p>
        </w:tc>
      </w:tr>
    </w:tbl>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E8F5E9" w:sz="1"/>
              <w:left w:val="single" w:color="E8F5E9" w:sz="1"/>
              <w:bottom w:val="single" w:color="E8F5E9" w:sz="1"/>
              <w:right w:val="single" w:color="E8F5E9" w:sz="1"/>
            </w:tcBorders>
            <w:shd w:fill="E8F5E9" w:val="clear"/>
            <w:tcMar>
              <w:top w:type="dxa" w:w="80"/>
              <w:left w:type="dxa" w:w="100"/>
              <w:bottom w:type="dxa" w:w="80"/>
              <w:right w:type="dxa" w:w="100"/>
            </w:tcMar>
            <w:vAlign w:val="center"/>
          </w:tcPr>
          <w:p>
            <w:pPr>
              <w:jc w:val="center"/>
            </w:pPr>
            <w:r>
              <w:rPr>
                <w:rFonts w:ascii="Arial" w:cs="Arial" w:eastAsia="Arial" w:hAnsi="Arial"/>
                <w:b/>
                <w:bCs/>
                <w:color w:val="2E7D32"/>
                <w:sz w:val="18"/>
                <w:szCs w:val="18"/>
              </w:rPr>
              <w:t xml:space="preserve">POST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/perfiles</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Crea perfil de cargo manualmente</w:t>
            </w:r>
          </w:p>
        </w:tc>
      </w:tr>
    </w:tbl>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E8F5E9" w:sz="1"/>
              <w:left w:val="single" w:color="E8F5E9" w:sz="1"/>
              <w:bottom w:val="single" w:color="E8F5E9" w:sz="1"/>
              <w:right w:val="single" w:color="E8F5E9" w:sz="1"/>
            </w:tcBorders>
            <w:shd w:fill="E8F5E9" w:val="clear"/>
            <w:tcMar>
              <w:top w:type="dxa" w:w="80"/>
              <w:left w:type="dxa" w:w="100"/>
              <w:bottom w:type="dxa" w:w="80"/>
              <w:right w:type="dxa" w:w="100"/>
            </w:tcMar>
            <w:vAlign w:val="center"/>
          </w:tcPr>
          <w:p>
            <w:pPr>
              <w:jc w:val="center"/>
            </w:pPr>
            <w:r>
              <w:rPr>
                <w:rFonts w:ascii="Arial" w:cs="Arial" w:eastAsia="Arial" w:hAnsi="Arial"/>
                <w:b/>
                <w:bCs/>
                <w:color w:val="2E7D32"/>
                <w:sz w:val="18"/>
                <w:szCs w:val="18"/>
              </w:rPr>
              <w:t xml:space="preserve">POST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/perfiles/ia/generar</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Genera perfil asistido por IA (sin persistir)</w:t>
            </w:r>
          </w:p>
        </w:tc>
      </w:tr>
    </w:tbl>
    <w:p>
      <w:pPr>
        <w:spacing w:after="0" w:before="50"/>
      </w:pPr>
    </w:p>
    <w:p>
      <w:pPr>
        <w:spacing w:after="0" w:before="100"/>
      </w:pPr>
    </w:p>
    <w:p>
      <w:pPr>
        <w:pBdr>
          <w:bottom w:val="single" w:color="2E6DA4" w:sz="6" w:space="4"/>
        </w:pBdr>
        <w:spacing w:after="180" w:before="300"/>
      </w:pPr>
      <w:r>
        <w:rPr>
          <w:rFonts w:ascii="Arial" w:cs="Arial" w:eastAsia="Arial" w:hAnsi="Arial"/>
          <w:b/>
          <w:bCs/>
          <w:color w:val="2E6DA4"/>
          <w:sz w:val="30"/>
          <w:szCs w:val="30"/>
        </w:rPr>
        <w:t xml:space="preserve">Portales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D6E4F0" w:sz="1"/>
              <w:left w:val="single" w:color="D6E4F0" w:sz="1"/>
              <w:bottom w:val="single" w:color="D6E4F0" w:sz="1"/>
              <w:right w:val="single" w:color="D6E4F0" w:sz="1"/>
            </w:tcBorders>
            <w:shd w:fill="D6E4F0" w:val="clear"/>
            <w:tcMar>
              <w:top w:type="dxa" w:w="80"/>
              <w:left w:type="dxa" w:w="100"/>
              <w:bottom w:type="dxa" w:w="80"/>
              <w:right w:type="dxa" w:w="100"/>
            </w:tcMar>
            <w:vAlign w:val="center"/>
          </w:tcPr>
          <w:p>
            <w:pPr>
              <w:jc w:val="center"/>
            </w:pPr>
            <w:r>
              <w:rPr>
                <w:rFonts w:ascii="Arial" w:cs="Arial" w:eastAsia="Arial" w:hAnsi="Arial"/>
                <w:b/>
                <w:bCs/>
                <w:color w:val="2E6DA4"/>
                <w:sz w:val="18"/>
                <w:szCs w:val="18"/>
              </w:rPr>
              <w:t xml:space="preserve">GET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/portales</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Catálogo de portales con filtros</w:t>
            </w:r>
          </w:p>
        </w:tc>
      </w:tr>
    </w:tbl>
    <w:p>
      <w:pPr>
        <w:spacing w:after="0" w:before="50"/>
      </w:pPr>
    </w:p>
    <w:p>
      <w:pPr>
        <w:spacing w:after="0" w:before="100"/>
      </w:pPr>
    </w:p>
    <w:p>
      <w:pPr>
        <w:pBdr>
          <w:bottom w:val="single" w:color="2E6DA4" w:sz="6" w:space="4"/>
        </w:pBdr>
        <w:spacing w:after="180" w:before="300"/>
      </w:pPr>
      <w:r>
        <w:rPr>
          <w:rFonts w:ascii="Arial" w:cs="Arial" w:eastAsia="Arial" w:hAnsi="Arial"/>
          <w:b/>
          <w:bCs/>
          <w:color w:val="2E6DA4"/>
          <w:sz w:val="30"/>
          <w:szCs w:val="30"/>
        </w:rPr>
        <w:t xml:space="preserve">Campañas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E8F5E9" w:sz="1"/>
              <w:left w:val="single" w:color="E8F5E9" w:sz="1"/>
              <w:bottom w:val="single" w:color="E8F5E9" w:sz="1"/>
              <w:right w:val="single" w:color="E8F5E9" w:sz="1"/>
            </w:tcBorders>
            <w:shd w:fill="E8F5E9" w:val="clear"/>
            <w:tcMar>
              <w:top w:type="dxa" w:w="80"/>
              <w:left w:type="dxa" w:w="100"/>
              <w:bottom w:type="dxa" w:w="80"/>
              <w:right w:type="dxa" w:w="100"/>
            </w:tcMar>
            <w:vAlign w:val="center"/>
          </w:tcPr>
          <w:p>
            <w:pPr>
              <w:jc w:val="center"/>
            </w:pPr>
            <w:r>
              <w:rPr>
                <w:rFonts w:ascii="Arial" w:cs="Arial" w:eastAsia="Arial" w:hAnsi="Arial"/>
                <w:b/>
                <w:bCs/>
                <w:color w:val="2E7D32"/>
                <w:sz w:val="18"/>
                <w:szCs w:val="18"/>
              </w:rPr>
              <w:t xml:space="preserve">POST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/campanas</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Crea campaña multi-portal</w:t>
            </w:r>
          </w:p>
        </w:tc>
      </w:tr>
    </w:tbl>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D6E4F0" w:sz="1"/>
              <w:left w:val="single" w:color="D6E4F0" w:sz="1"/>
              <w:bottom w:val="single" w:color="D6E4F0" w:sz="1"/>
              <w:right w:val="single" w:color="D6E4F0" w:sz="1"/>
            </w:tcBorders>
            <w:shd w:fill="D6E4F0" w:val="clear"/>
            <w:tcMar>
              <w:top w:type="dxa" w:w="80"/>
              <w:left w:type="dxa" w:w="100"/>
              <w:bottom w:type="dxa" w:w="80"/>
              <w:right w:type="dxa" w:w="100"/>
            </w:tcMar>
            <w:vAlign w:val="center"/>
          </w:tcPr>
          <w:p>
            <w:pPr>
              <w:jc w:val="center"/>
            </w:pPr>
            <w:r>
              <w:rPr>
                <w:rFonts w:ascii="Arial" w:cs="Arial" w:eastAsia="Arial" w:hAnsi="Arial"/>
                <w:b/>
                <w:bCs/>
                <w:color w:val="2E6DA4"/>
                <w:sz w:val="18"/>
                <w:szCs w:val="18"/>
              </w:rPr>
              <w:t xml:space="preserve">GET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/campanas/:id</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Detalle y estado de campaña</w:t>
            </w:r>
          </w:p>
        </w:tc>
      </w:tr>
    </w:tbl>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D6E4F0" w:sz="1"/>
              <w:left w:val="single" w:color="D6E4F0" w:sz="1"/>
              <w:bottom w:val="single" w:color="D6E4F0" w:sz="1"/>
              <w:right w:val="single" w:color="D6E4F0" w:sz="1"/>
            </w:tcBorders>
            <w:shd w:fill="D6E4F0" w:val="clear"/>
            <w:tcMar>
              <w:top w:type="dxa" w:w="80"/>
              <w:left w:type="dxa" w:w="100"/>
              <w:bottom w:type="dxa" w:w="80"/>
              <w:right w:type="dxa" w:w="100"/>
            </w:tcMar>
            <w:vAlign w:val="center"/>
          </w:tcPr>
          <w:p>
            <w:pPr>
              <w:jc w:val="center"/>
            </w:pPr>
            <w:r>
              <w:rPr>
                <w:rFonts w:ascii="Arial" w:cs="Arial" w:eastAsia="Arial" w:hAnsi="Arial"/>
                <w:b/>
                <w:bCs/>
                <w:color w:val="2E6DA4"/>
                <w:sz w:val="18"/>
                <w:szCs w:val="18"/>
              </w:rPr>
              <w:t xml:space="preserve">GET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/campanas</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Lista campañas con filtros</w:t>
            </w:r>
          </w:p>
        </w:tc>
      </w:tr>
    </w:tbl>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F3E5F5" w:sz="1"/>
              <w:left w:val="single" w:color="F3E5F5" w:sz="1"/>
              <w:bottom w:val="single" w:color="F3E5F5" w:sz="1"/>
              <w:right w:val="single" w:color="F3E5F5" w:sz="1"/>
            </w:tcBorders>
            <w:shd w:fill="F3E5F5" w:val="clear"/>
            <w:tcMar>
              <w:top w:type="dxa" w:w="80"/>
              <w:left w:type="dxa" w:w="100"/>
              <w:bottom w:type="dxa" w:w="80"/>
              <w:right w:type="dxa" w:w="100"/>
            </w:tcMar>
            <w:vAlign w:val="center"/>
          </w:tcPr>
          <w:p>
            <w:pPr>
              <w:jc w:val="center"/>
            </w:pPr>
            <w:r>
              <w:rPr>
                <w:rFonts w:ascii="Arial" w:cs="Arial" w:eastAsia="Arial" w:hAnsi="Arial"/>
                <w:b/>
                <w:bCs/>
                <w:color w:val="6A1B9A"/>
                <w:sz w:val="18"/>
                <w:szCs w:val="18"/>
              </w:rPr>
              <w:t xml:space="preserve">PATCH</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/campanas/:id/cancelar</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Cancela una campaña activa</w:t>
            </w:r>
          </w:p>
        </w:tc>
      </w:tr>
    </w:tbl>
    <w:p>
      <w:pPr>
        <w:spacing w:after="0" w:before="50"/>
      </w:pPr>
    </w:p>
    <w:p>
      <w:pPr>
        <w:spacing w:after="0" w:before="100"/>
      </w:pPr>
    </w:p>
    <w:p>
      <w:pPr>
        <w:pBdr>
          <w:bottom w:val="single" w:color="2E6DA4" w:sz="6" w:space="4"/>
        </w:pBdr>
        <w:spacing w:after="180" w:before="300"/>
      </w:pPr>
      <w:r>
        <w:rPr>
          <w:rFonts w:ascii="Arial" w:cs="Arial" w:eastAsia="Arial" w:hAnsi="Arial"/>
          <w:b/>
          <w:bCs/>
          <w:color w:val="2E6DA4"/>
          <w:sz w:val="30"/>
          <w:szCs w:val="30"/>
        </w:rPr>
        <w:t xml:space="preserve">Pagos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E8F5E9" w:sz="1"/>
              <w:left w:val="single" w:color="E8F5E9" w:sz="1"/>
              <w:bottom w:val="single" w:color="E8F5E9" w:sz="1"/>
              <w:right w:val="single" w:color="E8F5E9" w:sz="1"/>
            </w:tcBorders>
            <w:shd w:fill="E8F5E9" w:val="clear"/>
            <w:tcMar>
              <w:top w:type="dxa" w:w="80"/>
              <w:left w:type="dxa" w:w="100"/>
              <w:bottom w:type="dxa" w:w="80"/>
              <w:right w:type="dxa" w:w="100"/>
            </w:tcMar>
            <w:vAlign w:val="center"/>
          </w:tcPr>
          <w:p>
            <w:pPr>
              <w:jc w:val="center"/>
            </w:pPr>
            <w:r>
              <w:rPr>
                <w:rFonts w:ascii="Arial" w:cs="Arial" w:eastAsia="Arial" w:hAnsi="Arial"/>
                <w:b/>
                <w:bCs/>
                <w:color w:val="2E7D32"/>
                <w:sz w:val="18"/>
                <w:szCs w:val="18"/>
              </w:rPr>
              <w:t xml:space="preserve">POST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/pagos</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Inicia transacción de pago (asíncrono)</w:t>
            </w:r>
          </w:p>
        </w:tc>
      </w:tr>
    </w:tbl>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D6E4F0" w:sz="1"/>
              <w:left w:val="single" w:color="D6E4F0" w:sz="1"/>
              <w:bottom w:val="single" w:color="D6E4F0" w:sz="1"/>
              <w:right w:val="single" w:color="D6E4F0" w:sz="1"/>
            </w:tcBorders>
            <w:shd w:fill="D6E4F0" w:val="clear"/>
            <w:tcMar>
              <w:top w:type="dxa" w:w="80"/>
              <w:left w:type="dxa" w:w="100"/>
              <w:bottom w:type="dxa" w:w="80"/>
              <w:right w:type="dxa" w:w="100"/>
            </w:tcMar>
            <w:vAlign w:val="center"/>
          </w:tcPr>
          <w:p>
            <w:pPr>
              <w:jc w:val="center"/>
            </w:pPr>
            <w:r>
              <w:rPr>
                <w:rFonts w:ascii="Arial" w:cs="Arial" w:eastAsia="Arial" w:hAnsi="Arial"/>
                <w:b/>
                <w:bCs/>
                <w:color w:val="2E6DA4"/>
                <w:sz w:val="18"/>
                <w:szCs w:val="18"/>
              </w:rPr>
              <w:t xml:space="preserve">GET</w:t>
            </w:r>
          </w:p>
        </w:tc>
        <w:tc>
          <w:tcPr>
            <w:tcW w:type="dxa" w:w="2800"/>
            <w:tcBorders>
              <w:top w:val="single" w:color="DEE4EC" w:sz="1"/>
              <w:left w:val="single" w:color="DEE4EC" w:sz="1"/>
              <w:bottom w:val="single" w:color="DEE4EC" w:sz="1"/>
              <w:right w:val="single" w:color="DEE4EC" w:sz="1"/>
            </w:tcBorders>
            <w:shd w:fill="F8F9FA" w:val="clear"/>
            <w:tcMar>
              <w:top w:type="dxa" w:w="80"/>
              <w:left w:type="dxa" w:w="120"/>
              <w:bottom w:type="dxa" w:w="80"/>
              <w:right w:type="dxa" w:w="120"/>
            </w:tcMar>
            <w:vAlign w:val="center"/>
          </w:tcPr>
          <w:p>
            <w:r>
              <w:rPr>
                <w:rFonts w:ascii="Courier New" w:cs="Courier New" w:eastAsia="Courier New" w:hAnsi="Courier New"/>
                <w:b/>
                <w:bCs/>
                <w:color w:val="1B3A5C"/>
                <w:sz w:val="20"/>
                <w:szCs w:val="20"/>
              </w:rPr>
              <w:t xml:space="preserve">/pagos/:id</w:t>
            </w:r>
          </w:p>
        </w:tc>
        <w:tc>
          <w:tcPr>
            <w:tcW w:type="dxa" w:w="5660"/>
            <w:tcBorders>
              <w:top w:val="single" w:color="DEE4EC" w:sz="1"/>
              <w:left w:val="single" w:color="DEE4EC" w:sz="1"/>
              <w:bottom w:val="single" w:color="DEE4EC" w:sz="1"/>
              <w:right w:val="single" w:color="DEE4EC" w:sz="1"/>
            </w:tcBorders>
            <w:shd w:fill="FFFFFF" w:val="clear"/>
            <w:tcMar>
              <w:top w:type="dxa" w:w="80"/>
              <w:left w:type="dxa" w:w="140"/>
              <w:bottom w:type="dxa" w:w="80"/>
              <w:right w:type="dxa" w:w="100"/>
            </w:tcMar>
            <w:vAlign w:val="center"/>
          </w:tcPr>
          <w:p>
            <w:r>
              <w:rPr>
                <w:rFonts w:ascii="Arial" w:cs="Arial" w:eastAsia="Arial" w:hAnsi="Arial"/>
                <w:color w:val="7F8C9A"/>
                <w:sz w:val="20"/>
                <w:szCs w:val="20"/>
              </w:rPr>
              <w:t xml:space="preserve">Estado actual de un pago</w:t>
            </w:r>
          </w:p>
        </w:tc>
      </w:tr>
    </w:tbl>
    <w:p>
      <w:pPr>
        <w:spacing w:after="0" w:before="50"/>
      </w:pPr>
    </w:p>
    <w:p>
      <w:pPr>
        <w:spacing w:after="0" w:before="100"/>
      </w:pPr>
    </w:p>
    <w:p>
      <w:pPr>
        <w:spacing w:after="0" w:before="200"/>
      </w:pPr>
    </w:p>
    <w:p>
      <w:pPr>
        <w:spacing w:after="100" w:before="400"/>
        <w:jc w:val="center"/>
      </w:pPr>
      <w:r>
        <w:rPr>
          <w:rFonts w:ascii="Arial" w:cs="Arial" w:eastAsia="Arial" w:hAnsi="Arial"/>
          <w:i/>
          <w:iCs/>
          <w:color w:val="7F8C9A"/>
          <w:sz w:val="20"/>
          <w:szCs w:val="20"/>
        </w:rPr>
        <w:t xml:space="preserve">— Fin del Informe —</w:t>
      </w:r>
    </w:p>
    <w:p>
      <w:pPr>
        <w:spacing w:after="0" w:before="0"/>
        <w:jc w:val="center"/>
      </w:pPr>
      <w:r>
        <w:rPr>
          <w:rFonts w:ascii="Arial" w:cs="Arial" w:eastAsia="Arial" w:hAnsi="Arial"/>
          <w:color w:val="7F8C9A"/>
          <w:sz w:val="18"/>
          <w:szCs w:val="18"/>
        </w:rPr>
        <w:t xml:space="preserve">Confidencial · SOFI · Armstrong Reclutamiento · Versión 1.0 · Febrero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4EC" w:sz="4" w:space="4"/>
      </w:pBdr>
      <w:tabs>
        <w:tab w:val="right" w:pos="9360"/>
      </w:tabs>
      <w:spacing w:after="0" w:before="100"/>
    </w:pPr>
    <w:r>
      <w:rPr>
        <w:rFonts w:ascii="Arial" w:cs="Arial" w:eastAsia="Arial" w:hAnsi="Arial"/>
        <w:color w:val="7F8C9A"/>
        <w:sz w:val="16"/>
        <w:szCs w:val="16"/>
      </w:rPr>
      <w:t xml:space="preserve">Confidencial · Uso Interno</w:t>
    </w:r>
    <w:r>
      <w:rPr>
        <w:rFonts w:ascii="Arial" w:cs="Arial" w:eastAsia="Arial" w:hAnsi="Arial"/>
        <w:color w:val="7F8C9A"/>
        <w:sz w:val="16"/>
        <w:szCs w:val="16"/>
      </w:rPr>
      <w:t xml:space="preserve">	Pág. </w:t>
    </w:r>
    <w:r>
      <w:rPr>
        <w:rFonts w:ascii="Arial" w:cs="Arial" w:eastAsia="Arial" w:hAnsi="Arial"/>
        <w:color w:val="7F8C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after="120" w:before="0"/>
    </w:pPr>
    <w:r>
      <w:rPr>
        <w:rFonts w:ascii="Arial" w:cs="Arial" w:eastAsia="Arial" w:hAnsi="Arial"/>
        <w:color w:val="7F8C9A"/>
        <w:sz w:val="18"/>
        <w:szCs w:val="18"/>
      </w:rPr>
      <w:t xml:space="preserve">SOFI — Informe Técnico API REST</w:t>
    </w:r>
    <w:r>
      <w:rPr>
        <w:rFonts w:ascii="Arial" w:cs="Arial" w:eastAsia="Arial" w:hAnsi="Arial"/>
        <w:color w:val="2E6DA4"/>
        <w:sz w:val="18"/>
        <w:szCs w:val="18"/>
      </w:rPr>
      <w:t xml:space="preserve">    |    Módulo Publicación en Portales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2026-05-01T02:34:07.941Z</dcterms:created>
  <dcterms:modified xsi:type="dcterms:W3CDTF">2026-05-01T02:34:07.941Z</dcterms:modified>
</cp:coreProperties>
</file>

<file path=docProps/custom.xml><?xml version="1.0" encoding="utf-8"?>
<Properties xmlns="http://schemas.openxmlformats.org/officeDocument/2006/custom-properties" xmlns:vt="http://schemas.openxmlformats.org/officeDocument/2006/docPropsVTypes"/>
</file>