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3864"/>
          <w:sz w:val="40"/>
          <w:szCs w:val="40"/>
        </w:rPr>
        <w:t xml:space="preserve">CHRONOGRAMME DU PROJET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Plateforme de Gestion des Tickets d'Intervention et de Planification des Techniciens — Durée : 3 mois (12 semaines)</w:t>
      </w:r>
    </w:p>
    <w:p>
      <w:pPr>
        <w:pStyle w:val="Heading2"/>
        <w:spacing w:after="150" w:before="300"/>
      </w:pPr>
      <w:r>
        <w:t xml:space="preserve">1. Répartition des phases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1400"/>
        <w:gridCol w:w="20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4200"/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Tâches principales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Durée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Livrable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Phase 1 : Analyse &amp; spécifications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Étude de l'existant, recueil des besoins, rédaction du cahier des charges, choix technique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Semaines 1-2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Cahier des charges validé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Phase 2 : Conception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Modélisation (MCD, MLD), conception de la base de données MySQL, maquettes d'interface (wireframes)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Semaines 3-4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Schéma de base de données, maquettes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Phase 3 : Développement — Sprint 1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Authentification, gestion des utilisateurs, gestion des tickets (création, suivi, statuts)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Semaines 5-7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Module tickets fonctionnel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Phase 4 : Développement — Sprint 2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Planification des techniciens, calendrier/planning, affectation des interventions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Semaines 8-9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Module planification fonctionnel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Phase 5 : Développement — Sprint 3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Tableau de bord, statistiques, notifications, exports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Semaine 10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Module reporting fonctionnel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Phase 6 : Tests &amp; corrections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Tests fonctionnels, correction des anomalies, tests utilisateurs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Semaine 11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Application testée et stabilisée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Phase 7 : Déploiement &amp; documentation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Mise en place sur environnement final, rédaction du manuel utilisateur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Semaine 12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Application déployée, documentation</w:t>
            </w:r>
          </w:p>
        </w:tc>
      </w:tr>
    </w:tbl>
    <w:p>
      <w:pPr>
        <w:spacing w:after="300"/>
      </w:pPr>
    </w:p>
    <w:p>
      <w:pPr>
        <w:pStyle w:val="Heading2"/>
        <w:spacing w:after="150" w:before="300"/>
      </w:pPr>
      <w:r>
        <w:t xml:space="preserve">2. Vue Gantt (par semaine)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Activité</w:t>
            </w:r>
          </w:p>
        </w:tc>
        <w:tc>
          <w:tcPr>
            <w:tcW w:type="dxa" w:w="550"/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S1</w:t>
            </w:r>
          </w:p>
        </w:tc>
        <w:tc>
          <w:tcPr>
            <w:tcW w:type="dxa" w:w="550"/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S2</w:t>
            </w:r>
          </w:p>
        </w:tc>
        <w:tc>
          <w:tcPr>
            <w:tcW w:type="dxa" w:w="550"/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S3</w:t>
            </w:r>
          </w:p>
        </w:tc>
        <w:tc>
          <w:tcPr>
            <w:tcW w:type="dxa" w:w="550"/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S4</w:t>
            </w:r>
          </w:p>
        </w:tc>
        <w:tc>
          <w:tcPr>
            <w:tcW w:type="dxa" w:w="550"/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S5</w:t>
            </w:r>
          </w:p>
        </w:tc>
        <w:tc>
          <w:tcPr>
            <w:tcW w:type="dxa" w:w="550"/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S6</w:t>
            </w:r>
          </w:p>
        </w:tc>
        <w:tc>
          <w:tcPr>
            <w:tcW w:type="dxa" w:w="550"/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S7</w:t>
            </w:r>
          </w:p>
        </w:tc>
        <w:tc>
          <w:tcPr>
            <w:tcW w:type="dxa" w:w="550"/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S8</w:t>
            </w:r>
          </w:p>
        </w:tc>
        <w:tc>
          <w:tcPr>
            <w:tcW w:type="dxa" w:w="550"/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S9</w:t>
            </w:r>
          </w:p>
        </w:tc>
        <w:tc>
          <w:tcPr>
            <w:tcW w:type="dxa" w:w="550"/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S10</w:t>
            </w:r>
          </w:p>
        </w:tc>
        <w:tc>
          <w:tcPr>
            <w:tcW w:type="dxa" w:w="550"/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S11</w:t>
            </w:r>
          </w:p>
        </w:tc>
        <w:tc>
          <w:tcPr>
            <w:tcW w:type="dxa" w:w="550"/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S12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Analyse &amp; spécifications</w:t>
            </w:r>
          </w:p>
        </w:tc>
        <w:tc>
          <w:tcPr>
            <w:tcW w:type="dxa" w:w="550"/>
            <w:shd w:fill="C6E0B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■</w:t>
            </w:r>
          </w:p>
        </w:tc>
        <w:tc>
          <w:tcPr>
            <w:tcW w:type="dxa" w:w="550"/>
            <w:shd w:fill="C6E0B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■</w:t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Conception (MCD/MLD, maquettes)</w:t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C6E0B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■</w:t>
            </w:r>
          </w:p>
        </w:tc>
        <w:tc>
          <w:tcPr>
            <w:tcW w:type="dxa" w:w="550"/>
            <w:shd w:fill="C6E0B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■</w:t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Dév. Sprint 1 — Tickets</w:t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C6E0B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■</w:t>
            </w:r>
          </w:p>
        </w:tc>
        <w:tc>
          <w:tcPr>
            <w:tcW w:type="dxa" w:w="550"/>
            <w:shd w:fill="C6E0B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■</w:t>
            </w:r>
          </w:p>
        </w:tc>
        <w:tc>
          <w:tcPr>
            <w:tcW w:type="dxa" w:w="550"/>
            <w:shd w:fill="C6E0B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■</w:t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Dév. Sprint 2 — Planification</w:t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C6E0B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■</w:t>
            </w:r>
          </w:p>
        </w:tc>
        <w:tc>
          <w:tcPr>
            <w:tcW w:type="dxa" w:w="550"/>
            <w:shd w:fill="C6E0B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■</w:t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Dév. Sprint 3 — Reporting</w:t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C6E0B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■</w:t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Tests &amp; corrections</w:t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C6E0B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■</w:t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Déploiement &amp; documentation</w:t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C6E0B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■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Rédaction du mémoire</w:t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50"/>
            <w:shd w:fill="C6E0B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■</w:t>
            </w:r>
          </w:p>
        </w:tc>
        <w:tc>
          <w:tcPr>
            <w:tcW w:type="dxa" w:w="550"/>
            <w:shd w:fill="C6E0B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■</w:t>
            </w:r>
          </w:p>
        </w:tc>
        <w:tc>
          <w:tcPr>
            <w:tcW w:type="dxa" w:w="550"/>
            <w:shd w:fill="C6E0B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■</w:t>
            </w:r>
          </w:p>
        </w:tc>
        <w:tc>
          <w:tcPr>
            <w:tcW w:type="dxa" w:w="550"/>
            <w:shd w:fill="C6E0B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■</w:t>
            </w:r>
          </w:p>
        </w:tc>
        <w:tc>
          <w:tcPr>
            <w:tcW w:type="dxa" w:w="550"/>
            <w:shd w:fill="C6E0B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■</w:t>
            </w:r>
          </w:p>
        </w:tc>
        <w:tc>
          <w:tcPr>
            <w:tcW w:type="dxa" w:w="550"/>
            <w:shd w:fill="C6E0B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■</w:t>
            </w:r>
          </w:p>
        </w:tc>
        <w:tc>
          <w:tcPr>
            <w:tcW w:type="dxa" w:w="550"/>
            <w:shd w:fill="C6E0B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■</w:t>
            </w:r>
          </w:p>
        </w:tc>
        <w:tc>
          <w:tcPr>
            <w:tcW w:type="dxa" w:w="550"/>
            <w:shd w:fill="C6E0B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■</w:t>
            </w:r>
          </w:p>
        </w:tc>
        <w:tc>
          <w:tcPr>
            <w:tcW w:type="dxa" w:w="550"/>
            <w:shd w:fill="C6E0B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■</w:t>
            </w:r>
          </w:p>
        </w:tc>
      </w:tr>
    </w:tbl>
    <w:p>
      <w:pPr>
        <w:spacing w:before="300"/>
      </w:pPr>
      <w:r>
        <w:rPr>
          <w:b/>
          <w:bCs/>
        </w:rPr>
        <w:t xml:space="preserve">Légende : </w:t>
      </w:r>
      <w:r>
        <w:t xml:space="preserve">■ = semaine(s) d'activité pour la phase concernée. La rédaction du mémoire se déroule en parallèle du développement, à partir de la semaine 4.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2026-07-10T05:38:19.912Z</dcterms:created>
  <dcterms:modified xsi:type="dcterms:W3CDTF">2026-07-10T05:38:19.913Z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