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37"/>
          <w:sz w:val="44"/>
          <w:szCs w:val="44"/>
        </w:rPr>
        <w:t xml:space="preserve">Literature Survey</w:t>
      </w:r>
    </w:p>
    <w:p>
      <w:pPr>
        <w:spacing w:after="60"/>
      </w:pPr>
      <w:r>
        <w:rPr>
          <w:color w:val="1F2A37"/>
          <w:sz w:val="30"/>
          <w:szCs w:val="30"/>
        </w:rPr>
        <w:t xml:space="preserve">Adaptive Hybrid Semantic Research Assistant</w:t>
      </w:r>
    </w:p>
    <w:p>
      <w:pPr>
        <w:spacing w:after="40"/>
      </w:pPr>
      <w:r>
        <w:rPr>
          <w:color w:val="5B6B7C"/>
          <w:sz w:val="21"/>
          <w:szCs w:val="21"/>
        </w:rPr>
        <w:t xml:space="preserve">23AID472 Text Analytics · Batch A-17</w:t>
      </w:r>
    </w:p>
    <w:p>
      <w:pPr>
        <w:pBdr>
          <w:bottom w:val="single" w:color="C9D3DD" w:sz="6" w:space="8"/>
        </w:pBdr>
        <w:spacing w:after="320"/>
      </w:pPr>
      <w:r>
        <w:rPr>
          <w:color w:val="5B6B7C"/>
          <w:sz w:val="21"/>
          <w:szCs w:val="21"/>
        </w:rPr>
        <w:t xml:space="preserve">A.R. Nirmal · Gunnala Dheeraj Kumar · Meera S Raj · Vishnu Vardhan N</w:t>
      </w:r>
    </w:p>
    <w:p>
      <w:pPr>
        <w:pStyle w:val="Heading1"/>
      </w:pPr>
      <w:r>
        <w:t xml:space="preserve">1. Introduction</w:t>
      </w:r>
    </w:p>
    <w:p>
      <w:pPr>
        <w:spacing w:after="140" w:line="300"/>
        <w:jc w:val="both"/>
      </w:pPr>
      <w:r>
        <w:t xml:space="preserve">Open-domain textual question answering aims to answer questions from large sources such as Wikipedia or the web rather than from a single paragraph supplied with the question. Huang et al. [1] attribute recent progress in this task mainly to two developments — machine reading comprehension and neural-network-based information retrieval — and which together allow a system to retrieve relevant text from a large collection and read it to extract an answer. Hambarde and Proença [2] review the same retrieval chain as two stages: a first stage that selects candidates from the whole collection, and a second stage that re-scores that smaller set with more expensive models.</w:t>
      </w:r>
    </w:p>
    <w:p>
      <w:pPr>
        <w:spacing w:after="140" w:line="300"/>
        <w:jc w:val="both"/>
      </w:pPr>
      <w:r>
        <w:t xml:space="preserve">This survey reviews 24 publications, grouped by the pipeline stage they inform: sparse lexical retrieval (Section 2), dense retrieval and vector search (Section 3), hybrid retrieval, rank fusion and query expansion (Section 4), neural re-ranking (Section 5), extractive reading comprehension (Section 6), and grounding and faithfulness (Section 7). Section 8 states the research gap and Section 9 summarises every work in one table. </w:t>
      </w:r>
      <w:r>
        <w:rPr>
          <w:b/>
          <w:bCs/>
        </w:rPr>
        <w:t xml:space="preserve">17 of the 24 surveyed papers are IEEE publications</w:t>
      </w:r>
      <w:r>
        <w:t xml:space="preserve">; the remaining 7 are the original papers of methods the system uses directly (BM25, Sentence-BERT, Reciprocal Rank Fusion, SQuAD, BERT, RoBERTa and DistilBERT) and are cited so that each method is credited to its source.</w:t>
      </w:r>
    </w:p>
    <w:p>
      <w:pPr>
        <w:pStyle w:val="Heading1"/>
      </w:pPr>
      <w:r>
        <w:t xml:space="preserve">2. Sparse Lexical Retrieval</w:t>
      </w:r>
    </w:p>
    <w:p>
      <w:pPr>
        <w:spacing w:after="140" w:line="300"/>
        <w:jc w:val="both"/>
      </w:pPr>
      <w:r>
        <w:rPr>
          <w:b/>
          <w:bCs/>
        </w:rPr>
        <w:t xml:space="preserve">BM25.</w:t>
      </w:r>
      <w:r>
        <w:t xml:space="preserve"> Robertson and Zaragoza [3] present BM25 as the practical outcome of the probabilistic relevance framework. A passage is scored by summing, over the query terms, an inverse-document-frequency weight multiplied by a term-frequency component. Two parameters shape that component: k1 controls how quickly repeated occurrences stop adding evidence, and b controls how strongly scores are normalised by length. BM25 needs no training data, runs efficiently over an inverted index, and rewards exact matches of rare, distinctive terms. Its limitation is that it matches surface forms only, so a passage that answers the question in different words receives no credit — the vocabulary-mismatch problem that motivates dense retrieval.</w:t>
      </w:r>
    </w:p>
    <w:p>
      <w:pPr>
        <w:spacing w:after="140" w:line="300"/>
        <w:jc w:val="both"/>
      </w:pPr>
      <w:r>
        <w:rPr>
          <w:b/>
          <w:bCs/>
        </w:rPr>
        <w:t xml:space="preserve">Retrieving passages rather than whole documents.</w:t>
      </w:r>
      <w:r>
        <w:t xml:space="preserve"> Dang, Luk and Allan [4] formalise passage-based retrieval using fuzzy set theory. On several TREC collections, scoring documents through their passages performed significantly better than scoring whole documents, and the common heuristic of scoring a document by its best passage was shown to be close to the best, with some fuzzy aggregation operators doing better. They also report that document-length normalisation alone does not solve the problem of varying document lengths. This supports indexing text at a finer granularity than full articles.</w:t>
      </w:r>
    </w:p>
    <w:p>
      <w:pPr>
        <w:spacing w:after="140" w:line="300"/>
        <w:jc w:val="both"/>
      </w:pPr>
      <w:r>
        <w:rPr>
          <w:b/>
          <w:bCs/>
        </w:rPr>
        <w:t xml:space="preserve">Relevance to this project.</w:t>
      </w:r>
      <w:r>
        <w:t xml:space="preserve"> The system builds a BM25Okapi index (k1 = 1.5, b = 0.75) over 23,288 passage chunks rather than over whole articles, and maps each retrieved chunk back to its parent passage for evaluation. On the 2,000-question evaluation set BM25 alone reaches 86.15% Recall@10.</w:t>
      </w:r>
    </w:p>
    <w:p>
      <w:pPr>
        <w:pStyle w:val="Heading1"/>
      </w:pPr>
      <w:r>
        <w:t xml:space="preserve">3. Dense Retrieval and Vector Search</w:t>
      </w:r>
    </w:p>
    <w:p>
      <w:pPr>
        <w:spacing w:after="140" w:line="300"/>
        <w:jc w:val="both"/>
      </w:pPr>
      <w:r>
        <w:rPr>
          <w:b/>
          <w:bCs/>
        </w:rPr>
        <w:t xml:space="preserve">From sparse to learned representations.</w:t>
      </w:r>
      <w:r>
        <w:t xml:space="preserve"> Patil et al. [5] trace text representation from rule-based and statistical methods to context-sensitive learned embeddings, listing for each type the issues it addressed and its remaining limitations. Dense retrieval builds on the latest stage of this progression: queries and passages are mapped to vectors so that related meanings lie close together even when no words are shared.</w:t>
      </w:r>
    </w:p>
    <w:p>
      <w:pPr>
        <w:spacing w:after="140" w:line="300"/>
        <w:jc w:val="both"/>
      </w:pPr>
      <w:r>
        <w:rPr>
          <w:b/>
          <w:bCs/>
        </w:rPr>
        <w:t xml:space="preserve">Sentence embeddings.</w:t>
      </w:r>
      <w:r>
        <w:t xml:space="preserve"> BERT can judge whether two sentences are similar only by reading them together, which is impractical for search: Reimers and Gurevych [6] note that finding the most similar pair among 10,000 sentences needs about 65 hours of BERT computation. Sentence-BERT trains a siamese network so that each sentence is encoded independently into a fixed vector compared by cosine similarity, reducing the same task to about 5 seconds while maintaining accuracy. Independent encoding is what allows every passage to be embedded once, offline.</w:t>
      </w:r>
    </w:p>
    <w:p>
      <w:pPr>
        <w:spacing w:after="140" w:line="300"/>
        <w:jc w:val="both"/>
      </w:pPr>
      <w:r>
        <w:rPr>
          <w:b/>
          <w:bCs/>
        </w:rPr>
        <w:t xml:space="preserve">Dual-encoder training for question answering.</w:t>
      </w:r>
      <w:r>
        <w:t xml:space="preserve"> Choi et al. [7] observe that the dual-encoder architecture is now widely adopted for dense passage retrieval in open-domain QA, trained with in-batch negative sampling. Their adaptive batch scheduling makes the sampled negatives progressively harder and significantly improved retrieval on MS MARCO and Natural Questions — showing that dense retrievers are sensitive to how they are trained.</w:t>
      </w:r>
    </w:p>
    <w:p>
      <w:pPr>
        <w:spacing w:after="140" w:line="300"/>
        <w:jc w:val="both"/>
      </w:pPr>
      <w:r>
        <w:rPr>
          <w:b/>
          <w:bCs/>
        </w:rPr>
        <w:t xml:space="preserve">Long texts lose information.</w:t>
      </w:r>
      <w:r>
        <w:t xml:space="preserve"> Tan et al. [8] point out that embedding a long text into a single dense vector can lose information and cause inaccurate query–text matching, and that noisy text aligns poorly with relevant queries. Their QAEA-DR framework supplements documents with generated question–answer pairs and events, improving dense retrieval without changing the embedding model. The underlying observation — that one vector per long passage is lossy — is a direct motivation for chunking.</w:t>
      </w:r>
    </w:p>
    <w:p>
      <w:pPr>
        <w:spacing w:after="140" w:line="300"/>
        <w:jc w:val="both"/>
      </w:pPr>
      <w:r>
        <w:rPr>
          <w:b/>
          <w:bCs/>
        </w:rPr>
        <w:t xml:space="preserve">Vector search.</w:t>
      </w:r>
      <w:r>
        <w:t xml:space="preserve"> Johnson, Douze and Jégou [9] describe the design behind the FAISS library, covering exact brute-force, approximate and compressed-domain search, with a GPU nearest-neighbour implementation 8.5× faster than the prior state of the art.</w:t>
      </w:r>
    </w:p>
    <w:p>
      <w:pPr>
        <w:spacing w:after="140" w:line="300"/>
        <w:jc w:val="both"/>
      </w:pPr>
      <w:r>
        <w:rPr>
          <w:b/>
          <w:bCs/>
        </w:rPr>
        <w:t xml:space="preserve">Relevance to this project.</w:t>
      </w:r>
      <w:r>
        <w:t xml:space="preserve"> Chunks are encoded with all-MiniLM-L6-v2 [25], a Sentence-Transformers model fine-tuned with a contrastive objective on over one billion sentence pairs. It produces 384-dimensional vectors and truncates input beyond 256 word pieces, so passages are split into chunks of at most 180 words before encoding, consistent with the information-loss concern in [8]. Vectors are L2-normalised and stored in a FAISS IndexFlatIP index, i.e. exact search in which the inner product equals cosine similarity. Dense retrieval alone reaches 86.00% Recall@10.</w:t>
      </w:r>
    </w:p>
    <w:p>
      <w:pPr>
        <w:pStyle w:val="Heading1"/>
      </w:pPr>
      <w:r>
        <w:t xml:space="preserve">4. Hybrid Retrieval, Rank Fusion and Query Expansion</w:t>
      </w:r>
    </w:p>
    <w:p>
      <w:pPr>
        <w:spacing w:after="140" w:line="300"/>
        <w:jc w:val="both"/>
      </w:pPr>
      <w:r>
        <w:t xml:space="preserve">Sections 2 and 3 describe complementary failures: lexical matching misses paraphrases, while dense encoders can under-weight rare names and identifiers. Combining them raises a practical problem — BM25 scores and cosine similarities lie on unrelated scales and cannot simply be added.</w:t>
      </w:r>
    </w:p>
    <w:p>
      <w:pPr>
        <w:spacing w:after="140" w:line="300"/>
        <w:jc w:val="both"/>
      </w:pPr>
      <w:r>
        <w:rPr>
          <w:b/>
          <w:bCs/>
        </w:rPr>
        <w:t xml:space="preserve">Reciprocal Rank Fusion.</w:t>
      </w:r>
      <w:r>
        <w:t xml:space="preserve"> Cormack, Clarke and Büttcher [10] proposed fusing on rank position instead of score. Each document receives the sum of 1 / (k + rank) across the input rankings, with k = 60, so documents that several systems rank reasonably high rise above documents only one system ranks first. RRF outperformed Condorcet fusion and individual learning-to-rank methods in their experiments and requires no training or score calibration.</w:t>
      </w:r>
    </w:p>
    <w:p>
      <w:pPr>
        <w:spacing w:after="140" w:line="300"/>
        <w:jc w:val="both"/>
      </w:pPr>
      <w:r>
        <w:rPr>
          <w:b/>
          <w:bCs/>
        </w:rPr>
        <w:t xml:space="preserve">Hybrid retrieval in recent IEEE work.</w:t>
      </w:r>
      <w:r>
        <w:t xml:space="preserve"> Bindle et al. [11] integrate lexical scoring (TF-IDF and BM25) with semantic models (Sentence-BERT and Word2Vec) in a multi-stage ranking mechanism whose weights are adjusted according to query features, and report that the hybrid outperforms conventional retrieval baselines on telecommunication documents. Khan et al. [12] fuse BM25 with dense embeddings using RRF to overcome the individual weaknesses of lexical and semantic search; in an ablation study their best configuration reached a BERTScore F1 of 93.15%, 16.55 points above a fine-tuned mBERT baseline, with a context precision of 95.20%.</w:t>
      </w:r>
    </w:p>
    <w:p>
      <w:pPr>
        <w:spacing w:after="140" w:line="300"/>
        <w:jc w:val="both"/>
      </w:pPr>
      <w:r>
        <w:rPr>
          <w:b/>
          <w:bCs/>
        </w:rPr>
        <w:t xml:space="preserve">Query expansion.</w:t>
      </w:r>
      <w:r>
        <w:t xml:space="preserve"> A single phrasing of a question may not match the wording of the passage that answers it. Raza et al. [13] survey semantic query expansion and organise it into linguistic, ontology-based and mixed-mode methods, noting that conventional expansion ignores query semantics. Mageshwari and Shrijith [14] combine language-model-based dynamic query expansion with reciprocal rank fusion, together with part-of-speech filtering that removed more than 38% of noise tokens and gave a 5.7% recall improvement, reaching 83.4% Recall@100 and 0.462 nDCG@10.</w:t>
      </w:r>
    </w:p>
    <w:p>
      <w:pPr>
        <w:spacing w:after="140" w:line="300"/>
        <w:jc w:val="both"/>
      </w:pPr>
      <w:r>
        <w:rPr>
          <w:b/>
          <w:bCs/>
        </w:rPr>
        <w:t xml:space="preserve">Relevance to this project.</w:t>
      </w:r>
      <w:r>
        <w:t xml:space="preserve"> The pipeline fuses BM25 and dense rankings with RRF (k = 60). Hybrid fusion raises Recall@10 from 86.15% (BM25) and 86.00% (dense) to 91.50%, and MRR from 69.49% to 71.70%, consistent with [10]–[12]. Like [14], it also expands each question into 2–3 variants and fuses the rankings retrieved for each, although its variants come from simple rules rather than a language model.</w:t>
      </w:r>
    </w:p>
    <w:p>
      <w:pPr>
        <w:pStyle w:val="Heading1"/>
      </w:pPr>
      <w:r>
        <w:t xml:space="preserve">5. Neural Re-ranking</w:t>
      </w:r>
    </w:p>
    <w:p>
      <w:pPr>
        <w:spacing w:after="140" w:line="300"/>
        <w:jc w:val="both"/>
      </w:pPr>
      <w:r>
        <w:rPr>
          <w:b/>
          <w:bCs/>
        </w:rPr>
        <w:t xml:space="preserve">Second-stage ranking.</w:t>
      </w:r>
      <w:r>
        <w:t xml:space="preserve"> Hambarde and Proença [2] describe the second stage of the retrieval chain, in which a stronger but slower model re-scores the candidates returned by the first stage. Kim and Ko [15] explain why such models are used: keyword features cannot capture semantic and contextual relationships between query and passage, whereas BERT-based ranking models capture them far better — at the cost of needing large amounts of labelled training data. Their multitask fine-tuning jointly trains ranking and masked-language-modelling objectives, masking terms according to importance weights computed from BM25 and pseudo-relevance feedback, and achieved the best MRR@10 on the MS MARCO passage re-ranking leaderboard apart from ensemble methods.</w:t>
      </w:r>
    </w:p>
    <w:p>
      <w:pPr>
        <w:spacing w:after="140" w:line="300"/>
        <w:jc w:val="both"/>
      </w:pPr>
      <w:r>
        <w:rPr>
          <w:b/>
          <w:bCs/>
        </w:rPr>
        <w:t xml:space="preserve">Relevance to this project.</w:t>
      </w:r>
      <w:r>
        <w:t xml:space="preserve"> The re-ranker is cross-encoder/ms-marco-MiniLM-L6-v2 [26], a compact model trained on the MS MARCO passage ranking task that reads the question and each candidate passage together. It re-scores the top 30 fused candidates only, which keeps the cost bounded. This is the single largest improvement in the project's ablation: Recall@10 rises from 91.50% to 96.25% and MRR from 71.70% to 85.25%.</w:t>
      </w:r>
    </w:p>
    <w:p>
      <w:pPr>
        <w:pStyle w:val="Heading1"/>
      </w:pPr>
      <w:r>
        <w:t xml:space="preserve">6. Extractive Reading Comprehension</w:t>
      </w:r>
    </w:p>
    <w:p>
      <w:pPr>
        <w:spacing w:after="140" w:line="300"/>
        <w:jc w:val="both"/>
      </w:pPr>
      <w:r>
        <w:rPr>
          <w:b/>
          <w:bCs/>
        </w:rPr>
        <w:t xml:space="preserve">Benchmark.</w:t>
      </w:r>
      <w:r>
        <w:t xml:space="preserve"> Rajpurkar et al. [16] released SQuAD, over 100,000 crowd-sourced questions on Wikipedia articles, where every answer is a span of the accompanying paragraph. A logistic-regression baseline reached 51.0% F1 against human performance of 86.8%. Because answers are spans, output can be scored by Exact Match and token F1, and it always consists of text present in the source.</w:t>
      </w:r>
    </w:p>
    <w:p>
      <w:pPr>
        <w:spacing w:after="140" w:line="300"/>
        <w:jc w:val="both"/>
      </w:pPr>
      <w:r>
        <w:rPr>
          <w:b/>
          <w:bCs/>
        </w:rPr>
        <w:t xml:space="preserve">Pre-trained readers.</w:t>
      </w:r>
      <w:r>
        <w:t xml:space="preserve"> BERT [17] introduced deep bidirectional pre-training followed by fine-tuning, reaching 93.2 F1 on the SQuAD v1.1 test set. RoBERTa [18] found that BERT was significantly under-trained and, by changing the pre-training recipe, achieved state-of-the-art results on GLUE, RACE and SQuAD. DistilBERT [19] used knowledge distillation during pre-training to obtain a model 40% smaller and 60% faster that retains 97% of BERT's language-understanding capability.</w:t>
      </w:r>
    </w:p>
    <w:p>
      <w:pPr>
        <w:spacing w:after="140" w:line="300"/>
        <w:jc w:val="both"/>
      </w:pPr>
      <w:r>
        <w:rPr>
          <w:b/>
          <w:bCs/>
        </w:rPr>
        <w:t xml:space="preserve">Reading behind a retriever.</w:t>
      </w:r>
      <w:r>
        <w:t xml:space="preserve"> Liu et al. [20] note that pipelines which first retrieve paragraphs or sentences and then extract a span suffer from error propagation, since mistakes in retrieval cannot be recovered by the reader. Their end-to-end multigranularity model jointly handles paragraph identification, sentence selection and answer extraction, and outperformed vanilla BERT and multistage approaches on SQuAD-open, NewsQA, SQuAD 2.0 and SQuAD Adversarial.</w:t>
      </w:r>
    </w:p>
    <w:p>
      <w:pPr>
        <w:spacing w:after="140" w:line="300"/>
        <w:jc w:val="both"/>
      </w:pPr>
      <w:r>
        <w:rPr>
          <w:b/>
          <w:bCs/>
        </w:rPr>
        <w:t xml:space="preserve">Comparing readers and compressing them.</w:t>
      </w:r>
      <w:r>
        <w:t xml:space="preserve"> Sinthusha et al. [21] compared multilingual DistilBERT, BERT, XLM-RoBERTa, MuRIL and RemBERT on a translated SQuAD for Tamil and found XLM-RoBERTa strongest, arguing that smaller task-specific transformers remain viable where large language models are costly. Huang et al. [22] show that uncertainty-driven knowledge distillation can retain more than 95% of BERT's accuracy on GLUE inference tasks with about 50% of the parameters, confirming that compact readers trade a small amount of accuracy for substantial savings.</w:t>
      </w:r>
    </w:p>
    <w:p>
      <w:pPr>
        <w:spacing w:after="140" w:line="300"/>
        <w:jc w:val="both"/>
      </w:pPr>
      <w:r>
        <w:rPr>
          <w:b/>
          <w:bCs/>
        </w:rPr>
        <w:t xml:space="preserve">Relevance to this project.</w:t>
      </w:r>
      <w:r>
        <w:t xml:space="preserve"> The project fine-tunes RoBERTa-base, BERT-base and DistilBERT for three epochs on the full SQuAD v1.1 training set. With the correct passage supplied, RoBERTa-base reaches 85.38 EM / 91.74 F1, BERT-base 80.18 / 87.85 and DistilBERT 76.98 / 85.52 on the 10,570-question development set — the ordering [18], [19], [21] and [22] lead one to expect. It also measures each reader end-to-end behind the retriever, which exposes the error propagation described in [20].</w:t>
      </w:r>
    </w:p>
    <w:p>
      <w:pPr>
        <w:pStyle w:val="Heading1"/>
      </w:pPr>
      <w:r>
        <w:t xml:space="preserve">7. Grounding and Faithfulness</w:t>
      </w:r>
    </w:p>
    <w:p>
      <w:pPr>
        <w:spacing w:after="140" w:line="300"/>
        <w:jc w:val="both"/>
      </w:pPr>
      <w:r>
        <w:rPr>
          <w:b/>
          <w:bCs/>
        </w:rPr>
        <w:t xml:space="preserve">Chunk-level retrieval for grounded answers.</w:t>
      </w:r>
      <w:r>
        <w:t xml:space="preserve"> Vake et al. [23] address the style gap between user questions and document text in retrieval-augmented systems. Their Hypothetical Prompt Embeddings (HyPE) precompute hypothetical questions for each data chunk at indexing time, turning retrieval into question-to-question matching; across six datasets this improved retrieval context precision by up to 42 percentage points and claim recall by up to 45 points, while remaining compatible with re-ranking and query decomposition.</w:t>
      </w:r>
    </w:p>
    <w:p>
      <w:pPr>
        <w:spacing w:after="140" w:line="300"/>
        <w:jc w:val="both"/>
      </w:pPr>
      <w:r>
        <w:rPr>
          <w:b/>
          <w:bCs/>
        </w:rPr>
        <w:t xml:space="preserve">Faithfulness.</w:t>
      </w:r>
      <w:r>
        <w:t xml:space="preserve"> Malin et al. [24] review how faithfulness has been evaluated in summarisation, question answering and machine translation. They find that retrieval-augmented generation and prompting frameworks are linked with superior faithfulness, and stress that unfaithful responses pose major risks wherever language models would otherwise be useful.</w:t>
      </w:r>
    </w:p>
    <w:p>
      <w:pPr>
        <w:spacing w:after="140" w:line="300"/>
        <w:jc w:val="both"/>
      </w:pPr>
      <w:r>
        <w:rPr>
          <w:b/>
          <w:bCs/>
        </w:rPr>
        <w:t xml:space="preserve">Relevance to this project.</w:t>
      </w:r>
      <w:r>
        <w:t xml:space="preserve"> The system keeps its reader extractive: every answer is a span copied from a retrieved chunk and returned together with that chunk and its retrieval score. An answer therefore cannot contain text absent from the evidence, which addresses the faithfulness risk discussed in [24] by construction. An extractive reader can still select the wrong span, and it always returns an answer even when none exists — limitations the project acknowledges.</w:t>
      </w:r>
    </w:p>
    <w:p>
      <w:pPr>
        <w:pStyle w:val="Heading1"/>
      </w:pPr>
      <w:r>
        <w:t xml:space="preserve">8. Research Gap and Positioning</w:t>
      </w:r>
    </w:p>
    <w:p>
      <w:pPr>
        <w:spacing w:after="140" w:line="300"/>
        <w:jc w:val="both"/>
      </w:pPr>
      <w:r>
        <w:t xml:space="preserve">The surveyed work establishes each component: lexical retrieval over passages [3], [4]; dense bi-encoders [6]–[8]; rank fusion and hybrid retrieval [10]–[12]; query expansion [13], [14]; neural re-ranking [2], [15]; and pre-trained extractive readers [16]–[22]. Three gaps motivate this project:</w:t>
      </w:r>
    </w:p>
    <w:p>
      <w:pPr>
        <w:pStyle w:val="ListParagraph"/>
        <w:numPr>
          <w:ilvl w:val="0"/>
          <w:numId w:val="2"/>
        </w:numPr>
        <w:spacing w:after="80" w:line="290"/>
        <w:jc w:val="both"/>
      </w:pPr>
      <w:r>
        <w:rPr>
          <w:b/>
          <w:bCs/>
        </w:rPr>
        <w:t xml:space="preserve">Stage-by-stage evidence.</w:t>
      </w:r>
      <w:r>
        <w:t xml:space="preserve"> Recent IEEE hybrid systems [11], [12], [14] report end results, often with generation-oriented metrics such as BERTScore or BLEU inside larger LLM pipelines. Few isolate the contribution of each retrieval stage with standard retrieval metrics on a public benchmark. This project reports a progressive ablation — sparse, dense, hybrid, re-ranked, chunked, multi-query — using Recall@K, MRR and NDCG on SQuAD.</w:t>
      </w:r>
    </w:p>
    <w:p>
      <w:pPr>
        <w:pStyle w:val="ListParagraph"/>
        <w:numPr>
          <w:ilvl w:val="0"/>
          <w:numId w:val="2"/>
        </w:numPr>
        <w:spacing w:after="80" w:line="290"/>
        <w:jc w:val="both"/>
      </w:pPr>
      <w:r>
        <w:rPr>
          <w:b/>
          <w:bCs/>
        </w:rPr>
        <w:t xml:space="preserve">Adaptive retrieval.</w:t>
      </w:r>
      <w:r>
        <w:t xml:space="preserve"> Bindle et al. [11] adjust ranking weights by query features and Mageshwari and Shrijith [14] expand queries dynamically. This project explores lightweight, rule-based alternatives that need no additional model: estimating query complexity to set retrieval depth, and generating paraphrase variants for multi-query fusion.</w:t>
      </w:r>
    </w:p>
    <w:p>
      <w:pPr>
        <w:pStyle w:val="ListParagraph"/>
        <w:numPr>
          <w:ilvl w:val="0"/>
          <w:numId w:val="2"/>
        </w:numPr>
        <w:spacing w:after="80" w:line="290"/>
        <w:jc w:val="both"/>
      </w:pPr>
      <w:r>
        <w:rPr>
          <w:b/>
          <w:bCs/>
        </w:rPr>
        <w:t xml:space="preserve">Locating the bottleneck.</w:t>
      </w:r>
      <w:r>
        <w:t xml:space="preserve"> Error propagation between retriever and reader is recognised [20], but reader comparisons such as [21] evaluate models on given passages. By evaluating three readers both with the gold passage and end-to-end behind the same retriever, the project separates errors caused by retrieval from errors caused by reading.</w:t>
      </w:r>
    </w:p>
    <w:p>
      <w:pPr>
        <w:spacing w:after="140" w:line="300"/>
        <w:jc w:val="both"/>
      </w:pPr>
      <w:r>
        <w:t xml:space="preserve">The contribution is therefore not a new model but a transparent, reproducible integration: a grounded extractive QA assistant whose every stage is justified by prior work and whose every stage's contribution is measured.</w:t>
      </w:r>
    </w:p>
    <w:p>
      <w:pPr>
        <w:sectPr>
          <w:footerReference w:type="default" r:id="rId7"/>
          <w:pgSz w:w="11906" w:h="16838" w:orient="portrait"/>
          <w:pgMar w:top="1300" w:right="1300" w:bottom="1300" w:left="1300" w:header="708" w:footer="708" w:gutter="0"/>
          <w:pgNumType/>
          <w:docGrid w:linePitch="360"/>
        </w:sectPr>
      </w:pPr>
    </w:p>
    <w:p>
      <w:pPr>
        <w:pStyle w:val="Heading1"/>
      </w:pPr>
      <w:r>
        <w:t xml:space="preserve">9. Summary of Surveyed Work</w:t>
      </w:r>
    </w:p>
    <w:p>
      <w:pPr>
        <w:spacing w:after="140"/>
      </w:pPr>
      <w:r>
        <w:t xml:space="preserve">Numbers match the reference list, and each work title links to the paper. Shaded rows are the 17 IEEE publications; unshaded rows are the 7 original method papers. Findings are those reported by the authors.</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2330"/>
        <w:gridCol w:w="2330"/>
        <w:gridCol w:w="1950"/>
        <w:gridCol w:w="3020"/>
        <w:gridCol w:w="2328"/>
        <w:gridCol w:w="2300"/>
      </w:tblGrid>
      <w:tr>
        <w:trPr>
          <w:tblHeader/>
        </w:trPr>
        <w:tc>
          <w:tcPr>
            <w:tcW w:type="dxa" w:w="420"/>
            <w:tcBorders>
              <w:top w:val="single" w:color="C9D3DD" w:sz="4"/>
              <w:left w:val="single" w:color="C9D3DD" w:sz="4"/>
              <w:bottom w:val="single" w:color="C9D3DD" w:sz="4"/>
              <w:right w:val="single" w:color="C9D3DD" w:sz="4"/>
            </w:tcBorders>
            <w:shd w:fill="2B3A4A" w:color="auto" w:val="clear"/>
            <w:tcMar>
              <w:top w:type="dxa" w:w="50"/>
              <w:left w:type="dxa" w:w="80"/>
              <w:bottom w:type="dxa" w:w="50"/>
              <w:right w:type="dxa" w:w="80"/>
            </w:tcMar>
          </w:tcPr>
          <w:p>
            <w:r>
              <w:rPr>
                <w:b/>
                <w:bCs/>
                <w:color w:val="FFFFFF"/>
                <w:sz w:val="17"/>
                <w:szCs w:val="17"/>
              </w:rPr>
              <w:t xml:space="preserve">#</w:t>
            </w:r>
          </w:p>
        </w:tc>
        <w:tc>
          <w:tcPr>
            <w:tcW w:type="dxa" w:w="2330"/>
            <w:tcBorders>
              <w:top w:val="single" w:color="C9D3DD" w:sz="4"/>
              <w:left w:val="single" w:color="C9D3DD" w:sz="4"/>
              <w:bottom w:val="single" w:color="C9D3DD" w:sz="4"/>
              <w:right w:val="single" w:color="C9D3DD" w:sz="4"/>
            </w:tcBorders>
            <w:shd w:fill="2B3A4A" w:color="auto" w:val="clear"/>
            <w:tcMar>
              <w:top w:type="dxa" w:w="50"/>
              <w:left w:type="dxa" w:w="80"/>
              <w:bottom w:type="dxa" w:w="50"/>
              <w:right w:type="dxa" w:w="80"/>
            </w:tcMar>
          </w:tcPr>
          <w:p>
            <w:r>
              <w:rPr>
                <w:b/>
                <w:bCs/>
                <w:color w:val="FFFFFF"/>
                <w:sz w:val="17"/>
                <w:szCs w:val="17"/>
              </w:rPr>
              <w:t xml:space="preserve">Work</w:t>
            </w:r>
          </w:p>
        </w:tc>
        <w:tc>
          <w:tcPr>
            <w:tcW w:type="dxa" w:w="2330"/>
            <w:tcBorders>
              <w:top w:val="single" w:color="C9D3DD" w:sz="4"/>
              <w:left w:val="single" w:color="C9D3DD" w:sz="4"/>
              <w:bottom w:val="single" w:color="C9D3DD" w:sz="4"/>
              <w:right w:val="single" w:color="C9D3DD" w:sz="4"/>
            </w:tcBorders>
            <w:shd w:fill="2B3A4A" w:color="auto" w:val="clear"/>
            <w:tcMar>
              <w:top w:type="dxa" w:w="50"/>
              <w:left w:type="dxa" w:w="80"/>
              <w:bottom w:type="dxa" w:w="50"/>
              <w:right w:type="dxa" w:w="80"/>
            </w:tcMar>
          </w:tcPr>
          <w:p>
            <w:r>
              <w:rPr>
                <w:b/>
                <w:bCs/>
                <w:color w:val="FFFFFF"/>
                <w:sz w:val="17"/>
                <w:szCs w:val="17"/>
              </w:rPr>
              <w:t xml:space="preserve">Method</w:t>
            </w:r>
          </w:p>
        </w:tc>
        <w:tc>
          <w:tcPr>
            <w:tcW w:type="dxa" w:w="1950"/>
            <w:tcBorders>
              <w:top w:val="single" w:color="C9D3DD" w:sz="4"/>
              <w:left w:val="single" w:color="C9D3DD" w:sz="4"/>
              <w:bottom w:val="single" w:color="C9D3DD" w:sz="4"/>
              <w:right w:val="single" w:color="C9D3DD" w:sz="4"/>
            </w:tcBorders>
            <w:shd w:fill="2B3A4A" w:color="auto" w:val="clear"/>
            <w:tcMar>
              <w:top w:type="dxa" w:w="50"/>
              <w:left w:type="dxa" w:w="80"/>
              <w:bottom w:type="dxa" w:w="50"/>
              <w:right w:type="dxa" w:w="80"/>
            </w:tcMar>
          </w:tcPr>
          <w:p>
            <w:r>
              <w:rPr>
                <w:b/>
                <w:bCs/>
                <w:color w:val="FFFFFF"/>
                <w:sz w:val="17"/>
                <w:szCs w:val="17"/>
              </w:rPr>
              <w:t xml:space="preserve">Data / setting</w:t>
            </w:r>
          </w:p>
        </w:tc>
        <w:tc>
          <w:tcPr>
            <w:tcW w:type="dxa" w:w="3020"/>
            <w:tcBorders>
              <w:top w:val="single" w:color="C9D3DD" w:sz="4"/>
              <w:left w:val="single" w:color="C9D3DD" w:sz="4"/>
              <w:bottom w:val="single" w:color="C9D3DD" w:sz="4"/>
              <w:right w:val="single" w:color="C9D3DD" w:sz="4"/>
            </w:tcBorders>
            <w:shd w:fill="2B3A4A" w:color="auto" w:val="clear"/>
            <w:tcMar>
              <w:top w:type="dxa" w:w="50"/>
              <w:left w:type="dxa" w:w="80"/>
              <w:bottom w:type="dxa" w:w="50"/>
              <w:right w:type="dxa" w:w="80"/>
            </w:tcMar>
          </w:tcPr>
          <w:p>
            <w:r>
              <w:rPr>
                <w:b/>
                <w:bCs/>
                <w:color w:val="FFFFFF"/>
                <w:sz w:val="17"/>
                <w:szCs w:val="17"/>
              </w:rPr>
              <w:t xml:space="preserve">Key finding</w:t>
            </w:r>
          </w:p>
        </w:tc>
        <w:tc>
          <w:tcPr>
            <w:tcW w:type="dxa" w:w="2328"/>
            <w:tcBorders>
              <w:top w:val="single" w:color="C9D3DD" w:sz="4"/>
              <w:left w:val="single" w:color="C9D3DD" w:sz="4"/>
              <w:bottom w:val="single" w:color="C9D3DD" w:sz="4"/>
              <w:right w:val="single" w:color="C9D3DD" w:sz="4"/>
            </w:tcBorders>
            <w:shd w:fill="2B3A4A" w:color="auto" w:val="clear"/>
            <w:tcMar>
              <w:top w:type="dxa" w:w="50"/>
              <w:left w:type="dxa" w:w="80"/>
              <w:bottom w:type="dxa" w:w="50"/>
              <w:right w:type="dxa" w:w="80"/>
            </w:tcMar>
          </w:tcPr>
          <w:p>
            <w:r>
              <w:rPr>
                <w:b/>
                <w:bCs/>
                <w:color w:val="FFFFFF"/>
                <w:sz w:val="17"/>
                <w:szCs w:val="17"/>
              </w:rPr>
              <w:t xml:space="preserve">Limitation</w:t>
            </w:r>
          </w:p>
        </w:tc>
        <w:tc>
          <w:tcPr>
            <w:tcW w:type="dxa" w:w="2300"/>
            <w:tcBorders>
              <w:top w:val="single" w:color="C9D3DD" w:sz="4"/>
              <w:left w:val="single" w:color="C9D3DD" w:sz="4"/>
              <w:bottom w:val="single" w:color="C9D3DD" w:sz="4"/>
              <w:right w:val="single" w:color="C9D3DD" w:sz="4"/>
            </w:tcBorders>
            <w:shd w:fill="2B3A4A" w:color="auto" w:val="clear"/>
            <w:tcMar>
              <w:top w:type="dxa" w:w="50"/>
              <w:left w:type="dxa" w:w="80"/>
              <w:bottom w:type="dxa" w:w="50"/>
              <w:right w:type="dxa" w:w="80"/>
            </w:tcMar>
          </w:tcPr>
          <w:p>
            <w:r>
              <w:rPr>
                <w:b/>
                <w:bCs/>
                <w:color w:val="FFFFFF"/>
                <w:sz w:val="17"/>
                <w:szCs w:val="17"/>
              </w:rPr>
              <w:t xml:space="preserve">Use in this project</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1</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a-xvdnennn_zclb7t9ibx">
              <w:r>
                <w:rPr>
                  <w:color w:val="0563C1"/>
                  <w:sz w:val="17"/>
                  <w:szCs w:val="17"/>
                  <w:u w:val="single"/>
                </w:rPr>
                <w:t xml:space="preserve">Huang et al., 2020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Survey of deep-learning open-domain textual QA</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Wikipedia / web QA datasets and metrics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Progress driven by reading comprehension and neural IR</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Predates recent LLM-based systems</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Retrieve-then-read framing</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2</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yuodbh1zkhmyslsoynoua">
              <w:r>
                <w:rPr>
                  <w:color w:val="0563C1"/>
                  <w:sz w:val="17"/>
                  <w:szCs w:val="17"/>
                  <w:u w:val="single"/>
                </w:rPr>
                <w:t xml:space="preserve">Hambarde &amp; Proença, 2023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Survey of first- and second-stage retrieval models</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IR literature</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Organises retrieval into candidate generation and re-scoring</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Survey; no new experiments</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Two-stage retrieve / re-rank design</w:t>
            </w:r>
          </w:p>
        </w:tc>
      </w:tr>
      <w:tr>
        <w:trPr>
          <w:cantSplit/>
        </w:trPr>
        <w:tc>
          <w:tcPr>
            <w:tcW w:type="dxa" w:w="4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3</w:t>
            </w:r>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hyperlink w:history="1" r:id="rIdxg9u_x6nbph23rkfeu60s">
              <w:r>
                <w:rPr>
                  <w:color w:val="0563C1"/>
                  <w:sz w:val="17"/>
                  <w:szCs w:val="17"/>
                  <w:u w:val="single"/>
                </w:rPr>
                <w:t xml:space="preserve">Robertson &amp; Zaragoza, 2009 — FnTIR</w:t>
              </w:r>
            </w:hyperlink>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BM25: IDF × saturated term frequency with length normalisation</w:t>
            </w:r>
          </w:p>
        </w:tc>
        <w:tc>
          <w:tcPr>
            <w:tcW w:type="dxa" w:w="195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General ad-hoc text retrieval</w:t>
            </w:r>
          </w:p>
        </w:tc>
        <w:tc>
          <w:tcPr>
            <w:tcW w:type="dxa" w:w="30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Training-free ranking that rewards distinctive exact matches</w:t>
            </w:r>
          </w:p>
        </w:tc>
        <w:tc>
          <w:tcPr>
            <w:tcW w:type="dxa" w:w="2328"/>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No credit for synonyms or paraphrases</w:t>
            </w:r>
          </w:p>
        </w:tc>
        <w:tc>
          <w:tcPr>
            <w:tcW w:type="dxa" w:w="230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Sparse retriever (BM25Okapi, k1 = 1.5, b = 0.75)</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4</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0nypfcn9_jxcpb-1w-ebu">
              <w:r>
                <w:rPr>
                  <w:color w:val="0563C1"/>
                  <w:sz w:val="17"/>
                  <w:szCs w:val="17"/>
                  <w:u w:val="single"/>
                </w:rPr>
                <w:t xml:space="preserve">Dang, Luk &amp; Allan, 2021 — IEEE TFS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Passage-based retrieval via fuzzy aggregation</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TREC collections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Passage-based beats document-based retrieval</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Classical models; no neural retrieval</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Retrieve chunks, map to parent passage</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5</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r25gooj0mo-ghpugvybus">
              <w:r>
                <w:rPr>
                  <w:color w:val="0563C1"/>
                  <w:sz w:val="17"/>
                  <w:szCs w:val="17"/>
                  <w:u w:val="single"/>
                </w:rPr>
                <w:t xml:space="preserve">Patil et al., 2023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Survey of text representations and embeddings</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NLP representation methods since the 1970s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Evolution from rule-based to contextual learned embeddings</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Descriptive survey</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Background for dense representations</w:t>
            </w:r>
          </w:p>
        </w:tc>
      </w:tr>
      <w:tr>
        <w:trPr>
          <w:cantSplit/>
        </w:trPr>
        <w:tc>
          <w:tcPr>
            <w:tcW w:type="dxa" w:w="4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6</w:t>
            </w:r>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hyperlink w:history="1" r:id="rIdaxpwetvu0h-to54t_pjb7">
              <w:r>
                <w:rPr>
                  <w:color w:val="0563C1"/>
                  <w:sz w:val="17"/>
                  <w:szCs w:val="17"/>
                  <w:u w:val="single"/>
                </w:rPr>
                <w:t xml:space="preserve">Reimers &amp; Gurevych, 2019 — EMNLP (SBERT)</w:t>
              </w:r>
            </w:hyperlink>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Siamese BERT sentence embeddings compared by cosine</w:t>
            </w:r>
          </w:p>
        </w:tc>
        <w:tc>
          <w:tcPr>
            <w:tcW w:type="dxa" w:w="195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STS and transfer tasks</w:t>
            </w:r>
          </w:p>
        </w:tc>
        <w:tc>
          <w:tcPr>
            <w:tcW w:type="dxa" w:w="30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Similar-pair search over 10,000 sentences: ~65 h → ~5 s</w:t>
            </w:r>
          </w:p>
        </w:tc>
        <w:tc>
          <w:tcPr>
            <w:tcW w:type="dxa" w:w="2328"/>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No token-level query–passage interaction</w:t>
            </w:r>
          </w:p>
        </w:tc>
        <w:tc>
          <w:tcPr>
            <w:tcW w:type="dxa" w:w="230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Bi-encoder family of the dense retriever</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7</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lf_b611c8mtwkjvagrs5f">
              <w:r>
                <w:rPr>
                  <w:color w:val="0563C1"/>
                  <w:sz w:val="17"/>
                  <w:szCs w:val="17"/>
                  <w:u w:val="single"/>
                </w:rPr>
                <w:t xml:space="preserve">Choi et al., 2021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Adaptive batch scheduling for dual-encoder training</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MS MARCO, Natural Questions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Harder in-batch negatives significantly improve dense retrieval</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Requires training the retriever</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Context for dual-encoder dense retrieval</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8</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m9swv6rphx5ibne6ks37m">
              <w:r>
                <w:rPr>
                  <w:color w:val="0563C1"/>
                  <w:sz w:val="17"/>
                  <w:szCs w:val="17"/>
                  <w:u w:val="single"/>
                </w:rPr>
                <w:t xml:space="preserve">Tan et al., 2025 — IEEE TKDE</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LLM text augmentation (QA pairs, events) for dense retrieval</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Dense retrieval benchmarks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One vector per long text loses information; augmentation helps</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Costly LLM generation at indexing</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Motivates chunking before encoding</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9</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xt61wthkvgwfuhmpal10k">
              <w:r>
                <w:rPr>
                  <w:color w:val="0563C1"/>
                  <w:sz w:val="17"/>
                  <w:szCs w:val="17"/>
                  <w:u w:val="single"/>
                </w:rPr>
                <w:t xml:space="preserve">Johnson, Douze &amp; Jégou, 2021 — IEEE TBD</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GPU k-selection; exact, approximate and quantized search</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Billion-scale vector collections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Nearest-neighbour search 8.5× faster than prior GPU work</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Exact flat search scales linearly</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FAISS IndexFlatIP exact cosine search</w:t>
            </w:r>
          </w:p>
        </w:tc>
      </w:tr>
      <w:tr>
        <w:trPr>
          <w:cantSplit/>
        </w:trPr>
        <w:tc>
          <w:tcPr>
            <w:tcW w:type="dxa" w:w="4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10</w:t>
            </w:r>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hyperlink w:history="1" r:id="rIdxe7yopvywttx16mzzbsys">
              <w:r>
                <w:rPr>
                  <w:color w:val="0563C1"/>
                  <w:sz w:val="17"/>
                  <w:szCs w:val="17"/>
                  <w:u w:val="single"/>
                </w:rPr>
                <w:t xml:space="preserve">Cormack, Clarke &amp; Büttcher, 2009 — SIGIR</w:t>
              </w:r>
            </w:hyperlink>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Reciprocal Rank Fusion: Σ 1 / (k + rank), k = 60</w:t>
            </w:r>
          </w:p>
        </w:tc>
        <w:tc>
          <w:tcPr>
            <w:tcW w:type="dxa" w:w="195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TREC rankings</w:t>
            </w:r>
          </w:p>
        </w:tc>
        <w:tc>
          <w:tcPr>
            <w:tcW w:type="dxa" w:w="30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Beats Condorcet fusion and individual learning-to-rank</w:t>
            </w:r>
          </w:p>
        </w:tc>
        <w:tc>
          <w:tcPr>
            <w:tcW w:type="dxa" w:w="2328"/>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Ignores score magnitudes; k fixed</w:t>
            </w:r>
          </w:p>
        </w:tc>
        <w:tc>
          <w:tcPr>
            <w:tcW w:type="dxa" w:w="230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Fuses BM25, dense and multi-query rankings</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11</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mauvsde_oitoe0buhg9sd">
              <w:r>
                <w:rPr>
                  <w:color w:val="0563C1"/>
                  <w:sz w:val="17"/>
                  <w:szCs w:val="17"/>
                  <w:u w:val="single"/>
                </w:rPr>
                <w:t xml:space="preserve">Bindle et al., 2025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Multi-stage hybrid of TF-IDF/BM25 with SBERT/Word2Vec, query-adaptive weights</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Telecommunication documents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Hybrid outperforms conventional retrieval baselines</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Evaluated with BLEU/ROUGE rather than IR metrics</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Supports hybrid design; related adaptive idea</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12</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vwifyghudalbae3dgatvn">
              <w:r>
                <w:rPr>
                  <w:color w:val="0563C1"/>
                  <w:sz w:val="17"/>
                  <w:szCs w:val="17"/>
                  <w:u w:val="single"/>
                </w:rPr>
                <w:t xml:space="preserve">Khan et al., 2026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BM25 + dense embeddings fused with RRF inside RAG</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Urdu multi-domain QA (UNQA)</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BERTScore F1 93.15%, +16.55 over mBERT baseline</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Best setup uses proprietary GPT-4o and OpenAI embeddings</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Direct precedent for BM25 + dense + RRF</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13</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cyvevtwepb2sx1bav5njg">
              <w:r>
                <w:rPr>
                  <w:color w:val="0563C1"/>
                  <w:sz w:val="17"/>
                  <w:szCs w:val="17"/>
                  <w:u w:val="single"/>
                </w:rPr>
                <w:t xml:space="preserve">Raza et al., 2019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Taxonomy of semantic query expansion</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Query expansion literature</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Linguistic, ontology-based and mixed methods compared</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Pre-dates neural expansion</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Background for multi-query variants</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14</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7mo4sd5zxabbysibc4tk1">
              <w:r>
                <w:rPr>
                  <w:color w:val="0563C1"/>
                  <w:sz w:val="17"/>
                  <w:szCs w:val="17"/>
                  <w:u w:val="single"/>
                </w:rPr>
                <w:t xml:space="preserve">Mageshwari &amp; Shrijith, 2026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POS filtering + LLM query expansion + RRF</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Semantic search task</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Recall@100 83.4%, nDCG@10 0.462; POS filter +5.7% recall</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Extra language model at query time</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Multi-query expansion fused with RRF</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15</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xlsxrxkv0fkjds89mlmqd">
              <w:r>
                <w:rPr>
                  <w:color w:val="0563C1"/>
                  <w:sz w:val="17"/>
                  <w:szCs w:val="17"/>
                  <w:u w:val="single"/>
                </w:rPr>
                <w:t xml:space="preserve">Kim &amp; Ko, 2022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BERT re-ranker with multitask ranking + BM25/PRF-weighted MLM</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MS MARCO passage re-ranking</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Best MRR@10 on leaderboard excluding ensembles</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Needs labelled data and fine-tuning</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Justifies neural second-stage re-ranking</w:t>
            </w:r>
          </w:p>
        </w:tc>
      </w:tr>
      <w:tr>
        <w:trPr>
          <w:cantSplit/>
        </w:trPr>
        <w:tc>
          <w:tcPr>
            <w:tcW w:type="dxa" w:w="4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16</w:t>
            </w:r>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hyperlink w:history="1" r:id="rIds6hbkpkjd3ya23hcxjgdk">
              <w:r>
                <w:rPr>
                  <w:color w:val="0563C1"/>
                  <w:sz w:val="17"/>
                  <w:szCs w:val="17"/>
                  <w:u w:val="single"/>
                </w:rPr>
                <w:t xml:space="preserve">Rajpurkar et al., 2016 — EMNLP (SQuAD)</w:t>
              </w:r>
            </w:hyperlink>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Span-extraction reading-comprehension dataset</w:t>
            </w:r>
          </w:p>
        </w:tc>
        <w:tc>
          <w:tcPr>
            <w:tcW w:type="dxa" w:w="195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100,000+ questions on Wikipedia</w:t>
            </w:r>
          </w:p>
        </w:tc>
        <w:tc>
          <w:tcPr>
            <w:tcW w:type="dxa" w:w="30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Logistic regression 51.0% F1 vs human 86.8%</w:t>
            </w:r>
          </w:p>
        </w:tc>
        <w:tc>
          <w:tcPr>
            <w:tcW w:type="dxa" w:w="2328"/>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Answer always present in the paragraph</w:t>
            </w:r>
          </w:p>
        </w:tc>
        <w:tc>
          <w:tcPr>
            <w:tcW w:type="dxa" w:w="230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Corpus, training data and evaluation set</w:t>
            </w:r>
          </w:p>
        </w:tc>
      </w:tr>
      <w:tr>
        <w:trPr>
          <w:cantSplit/>
        </w:trPr>
        <w:tc>
          <w:tcPr>
            <w:tcW w:type="dxa" w:w="4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17</w:t>
            </w:r>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hyperlink w:history="1" r:id="rIdhej29j7yuo5asdx_5xzjp">
              <w:r>
                <w:rPr>
                  <w:color w:val="0563C1"/>
                  <w:sz w:val="17"/>
                  <w:szCs w:val="17"/>
                  <w:u w:val="single"/>
                </w:rPr>
                <w:t xml:space="preserve">Devlin et al., 2019 — NAACL (BERT)</w:t>
              </w:r>
            </w:hyperlink>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Bidirectional masked-LM pre-training + fine-tuning</w:t>
            </w:r>
          </w:p>
        </w:tc>
        <w:tc>
          <w:tcPr>
            <w:tcW w:type="dxa" w:w="195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GLUE, MultiNLI, SQuAD</w:t>
            </w:r>
          </w:p>
        </w:tc>
        <w:tc>
          <w:tcPr>
            <w:tcW w:type="dxa" w:w="30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SQuAD v1.1 test F1 93.2</w:t>
            </w:r>
          </w:p>
        </w:tc>
        <w:tc>
          <w:tcPr>
            <w:tcW w:type="dxa" w:w="2328"/>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Limited input length; costly pre-training</w:t>
            </w:r>
          </w:p>
        </w:tc>
        <w:tc>
          <w:tcPr>
            <w:tcW w:type="dxa" w:w="230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Reader baseline (BERT-base-uncased)</w:t>
            </w:r>
          </w:p>
        </w:tc>
      </w:tr>
      <w:tr>
        <w:trPr>
          <w:cantSplit/>
        </w:trPr>
        <w:tc>
          <w:tcPr>
            <w:tcW w:type="dxa" w:w="4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18</w:t>
            </w:r>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hyperlink w:history="1" r:id="rIduhomqbjzscerad-5dfkio">
              <w:r>
                <w:rPr>
                  <w:color w:val="0563C1"/>
                  <w:sz w:val="17"/>
                  <w:szCs w:val="17"/>
                  <w:u w:val="single"/>
                </w:rPr>
                <w:t xml:space="preserve">Liu et al., 2019 — arXiv (RoBERTa)</w:t>
              </w:r>
            </w:hyperlink>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Re-tuned BERT pre-training recipe</w:t>
            </w:r>
          </w:p>
        </w:tc>
        <w:tc>
          <w:tcPr>
            <w:tcW w:type="dxa" w:w="195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GLUE, RACE, SQuAD</w:t>
            </w:r>
          </w:p>
        </w:tc>
        <w:tc>
          <w:tcPr>
            <w:tcW w:type="dxa" w:w="30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BERT was under-trained; state of the art on GLUE, RACE, SQuAD</w:t>
            </w:r>
          </w:p>
        </w:tc>
        <w:tc>
          <w:tcPr>
            <w:tcW w:type="dxa" w:w="2328"/>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Higher pre-training compute</w:t>
            </w:r>
          </w:p>
        </w:tc>
        <w:tc>
          <w:tcPr>
            <w:tcW w:type="dxa" w:w="230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Primary reader (best EM / F1)</w:t>
            </w:r>
          </w:p>
        </w:tc>
      </w:tr>
      <w:tr>
        <w:trPr>
          <w:cantSplit/>
        </w:trPr>
        <w:tc>
          <w:tcPr>
            <w:tcW w:type="dxa" w:w="4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19</w:t>
            </w:r>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hyperlink w:history="1" r:id="rIdcfvq608xg2xumsv7spsu1">
              <w:r>
                <w:rPr>
                  <w:color w:val="0563C1"/>
                  <w:sz w:val="17"/>
                  <w:szCs w:val="17"/>
                  <w:u w:val="single"/>
                </w:rPr>
                <w:t xml:space="preserve">Sanh et al., 2019 — NeurIPS workshop (DistilBERT)</w:t>
              </w:r>
            </w:hyperlink>
          </w:p>
        </w:tc>
        <w:tc>
          <w:tcPr>
            <w:tcW w:type="dxa" w:w="233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Knowledge distillation during pre-training</w:t>
            </w:r>
          </w:p>
        </w:tc>
        <w:tc>
          <w:tcPr>
            <w:tcW w:type="dxa" w:w="195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GLUE, SQuAD</w:t>
            </w:r>
          </w:p>
        </w:tc>
        <w:tc>
          <w:tcPr>
            <w:tcW w:type="dxa" w:w="302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40% smaller, 60% faster, retains 97% of capability</w:t>
            </w:r>
          </w:p>
        </w:tc>
        <w:tc>
          <w:tcPr>
            <w:tcW w:type="dxa" w:w="2328"/>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Some accuracy loss relative to BERT</w:t>
            </w:r>
          </w:p>
        </w:tc>
        <w:tc>
          <w:tcPr>
            <w:tcW w:type="dxa" w:w="2300"/>
            <w:tcBorders>
              <w:top w:val="single" w:color="C9D3DD" w:sz="4"/>
              <w:left w:val="single" w:color="C9D3DD" w:sz="4"/>
              <w:bottom w:val="single" w:color="C9D3DD" w:sz="4"/>
              <w:right w:val="single" w:color="C9D3DD" w:sz="4"/>
            </w:tcBorders>
            <w:tcMar>
              <w:top w:type="dxa" w:w="50"/>
              <w:left w:type="dxa" w:w="80"/>
              <w:bottom w:type="dxa" w:w="50"/>
              <w:right w:type="dxa" w:w="80"/>
            </w:tcMar>
          </w:tcPr>
          <w:p>
            <w:r>
              <w:rPr>
                <w:b w:val="false"/>
                <w:bCs w:val="false"/>
                <w:color w:val="1F2A37"/>
                <w:sz w:val="17"/>
                <w:szCs w:val="17"/>
              </w:rPr>
              <w:t xml:space="preserve">Fast reader for accuracy / latency trade-off</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20</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jhzjxdskttqsc-1t1qswl">
              <w:r>
                <w:rPr>
                  <w:color w:val="0563C1"/>
                  <w:sz w:val="17"/>
                  <w:szCs w:val="17"/>
                  <w:u w:val="single"/>
                </w:rPr>
                <w:t xml:space="preserve">Liu et al., 2023 — IEEE TNNLS (MGRC)</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End-to-end paragraph, sentence and span extraction</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SQuAD-open, NewsQA, SQuAD 2.0, SQuAD Adversarial</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Beats vanilla BERT and multistage pipelines; reduces error propagation</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More complex joint model</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Explains retrieval-to-reader error propagation</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21</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ktey5cwaww1ybd6o22aok">
              <w:r>
                <w:rPr>
                  <w:color w:val="0563C1"/>
                  <w:sz w:val="17"/>
                  <w:szCs w:val="17"/>
                  <w:u w:val="single"/>
                </w:rPr>
                <w:t xml:space="preserve">Sinthusha et al., 2025 — IEEE Access</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Compares DistilBERT, BERT, XLM-RoBERTa and others for MRC</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Tamil-translated SQuAD</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XLM-RoBERTa strongest; small task-specific models viable</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Low-resource language setting</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Precedent for comparing reader sizes</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22</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8z4tlaluxi2_9lrb8howx">
              <w:r>
                <w:rPr>
                  <w:color w:val="0563C1"/>
                  <w:sz w:val="17"/>
                  <w:szCs w:val="17"/>
                  <w:u w:val="single"/>
                </w:rPr>
                <w:t xml:space="preserve">Huang et al., 2023 — IEEE/ACM TASLP</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Uncertainty-driven knowledge distillation</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GLUE inference tasks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&gt;95% of BERT accuracy with ~50% of parameters</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Evaluated on inference, not QA</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Supports compact-reader trade-off</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23</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nnao2x0au8gecjyano3zq">
              <w:r>
                <w:rPr>
                  <w:color w:val="0563C1"/>
                  <w:sz w:val="17"/>
                  <w:szCs w:val="17"/>
                  <w:u w:val="single"/>
                </w:rPr>
                <w:t xml:space="preserve">Vake et al., 2025 — IEEE Access (HyPE)</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Precomputed hypothetical questions per chunk at indexing</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Six RAG datasets</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Context precision up to +42 points, claim recall up to +45</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Extra generation cost at indexing</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Chunk-level retrieval for grounded answers</w:t>
            </w:r>
          </w:p>
        </w:tc>
      </w:tr>
      <w:tr>
        <w:trPr>
          <w:cantSplit/>
        </w:trPr>
        <w:tc>
          <w:tcPr>
            <w:tcW w:type="dxa" w:w="4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24</w:t>
            </w:r>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hyperlink w:history="1" r:id="rIdjvyj5lfoh5pqv8lq-lli6">
              <w:r>
                <w:rPr>
                  <w:color w:val="0563C1"/>
                  <w:sz w:val="17"/>
                  <w:szCs w:val="17"/>
                  <w:u w:val="single"/>
                </w:rPr>
                <w:t xml:space="preserve">Malin et al., 2025 — IEEE JSTSP</w:t>
              </w:r>
            </w:hyperlink>
          </w:p>
        </w:tc>
        <w:tc>
          <w:tcPr>
            <w:tcW w:type="dxa" w:w="233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Review of faithfulness and hallucination metrics</w:t>
            </w:r>
          </w:p>
        </w:tc>
        <w:tc>
          <w:tcPr>
            <w:tcW w:type="dxa" w:w="195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Summarisation, QA, translation</w:t>
            </w:r>
          </w:p>
        </w:tc>
        <w:tc>
          <w:tcPr>
            <w:tcW w:type="dxa" w:w="302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RAG and prompting frameworks linked to higher faithfulness</w:t>
            </w:r>
          </w:p>
        </w:tc>
        <w:tc>
          <w:tcPr>
            <w:tcW w:type="dxa" w:w="2328"/>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Metrics still maturing</w:t>
            </w:r>
          </w:p>
        </w:tc>
        <w:tc>
          <w:tcPr>
            <w:tcW w:type="dxa" w:w="2300"/>
            <w:tcBorders>
              <w:top w:val="single" w:color="C9D3DD" w:sz="4"/>
              <w:left w:val="single" w:color="C9D3DD" w:sz="4"/>
              <w:bottom w:val="single" w:color="C9D3DD" w:sz="4"/>
              <w:right w:val="single" w:color="C9D3DD" w:sz="4"/>
            </w:tcBorders>
            <w:shd w:fill="EAF1FA" w:color="auto" w:val="clear"/>
            <w:tcMar>
              <w:top w:type="dxa" w:w="50"/>
              <w:left w:type="dxa" w:w="80"/>
              <w:bottom w:type="dxa" w:w="50"/>
              <w:right w:type="dxa" w:w="80"/>
            </w:tcMar>
          </w:tcPr>
          <w:p>
            <w:r>
              <w:rPr>
                <w:b w:val="false"/>
                <w:bCs w:val="false"/>
                <w:color w:val="1F2A37"/>
                <w:sz w:val="17"/>
                <w:szCs w:val="17"/>
              </w:rPr>
              <w:t xml:space="preserve">Motivates grounded extractive answers</w:t>
            </w:r>
          </w:p>
        </w:tc>
      </w:tr>
    </w:tbl>
    <w:p>
      <w:pPr>
        <w:sectPr>
          <w:footerReference w:type="default" r:id="rId8"/>
          <w:pgSz w:w="16838" w:h="11906" w:orient="landscape"/>
          <w:pgMar w:top="1000" w:right="1080" w:bottom="1000" w:left="1080" w:header="708" w:footer="708" w:gutter="0"/>
          <w:pgNumType/>
          <w:docGrid w:linePitch="360"/>
        </w:sectPr>
      </w:pPr>
    </w:p>
    <w:p>
      <w:pPr>
        <w:pStyle w:val="Heading1"/>
      </w:pPr>
      <w:r>
        <w:t xml:space="preserve">References</w:t>
      </w:r>
    </w:p>
    <w:p>
      <w:pPr>
        <w:tabs>
          <w:tab w:val="left" w:pos="560"/>
        </w:tabs>
        <w:spacing w:after="90" w:line="276"/>
        <w:ind w:left="560" w:hanging="560"/>
      </w:pPr>
      <w:r>
        <w:t xml:space="preserve">[1]	</w:t>
      </w:r>
      <w:r>
        <w:t xml:space="preserve">Z. Huang </w:t>
      </w:r>
      <w:r>
        <w:rPr>
          <w:i/>
          <w:iCs/>
        </w:rPr>
        <w:t xml:space="preserve">et al.</w:t>
      </w:r>
      <w:r>
        <w:t xml:space="preserve">, “Recent trends in deep learning based open-domain textual question answering systems,” </w:t>
      </w:r>
      <w:r>
        <w:rPr>
          <w:i/>
          <w:iCs/>
        </w:rPr>
        <w:t xml:space="preserve">IEEE Access</w:t>
      </w:r>
      <w:r>
        <w:t xml:space="preserve">, vol. 8, pp. 94341–94356, 2020, doi: 10.1109/ACCESS.2020.2988903.</w:t>
      </w:r>
      <w:r>
        <w:t xml:space="preserve"> [Online]. Available: </w:t>
      </w:r>
      <w:hyperlink w:history="1" r:id="rIdelkjtc2lkkvwcnbao_uuw">
        <w:r>
          <w:rPr>
            <w:color w:val="0563C1"/>
            <w:u w:val="single"/>
          </w:rPr>
          <w:t xml:space="preserve">https://doi.org/10.1109/ACCESS.2020.2988903</w:t>
        </w:r>
      </w:hyperlink>
    </w:p>
    <w:p>
      <w:pPr>
        <w:tabs>
          <w:tab w:val="left" w:pos="560"/>
        </w:tabs>
        <w:spacing w:after="90" w:line="276"/>
        <w:ind w:left="560" w:hanging="560"/>
      </w:pPr>
      <w:r>
        <w:t xml:space="preserve">[2]	</w:t>
      </w:r>
      <w:r>
        <w:t xml:space="preserve">K. A. Hambarde and H. Proença, “Information retrieval: Recent advances and beyond,” </w:t>
      </w:r>
      <w:r>
        <w:rPr>
          <w:i/>
          <w:iCs/>
        </w:rPr>
        <w:t xml:space="preserve">IEEE Access</w:t>
      </w:r>
      <w:r>
        <w:t xml:space="preserve">, vol. 11, pp. 76581–76604, 2023, doi: 10.1109/ACCESS.2023.3295776.</w:t>
      </w:r>
      <w:r>
        <w:t xml:space="preserve"> [Online]. Available: </w:t>
      </w:r>
      <w:hyperlink w:history="1" r:id="rIdz4zhxp7z9zqdqczmdak9n">
        <w:r>
          <w:rPr>
            <w:color w:val="0563C1"/>
            <w:u w:val="single"/>
          </w:rPr>
          <w:t xml:space="preserve">https://doi.org/10.1109/ACCESS.2023.3295776</w:t>
        </w:r>
      </w:hyperlink>
    </w:p>
    <w:p>
      <w:pPr>
        <w:tabs>
          <w:tab w:val="left" w:pos="560"/>
        </w:tabs>
        <w:spacing w:after="90" w:line="276"/>
        <w:ind w:left="560" w:hanging="560"/>
      </w:pPr>
      <w:r>
        <w:t xml:space="preserve">[3]	</w:t>
      </w:r>
      <w:r>
        <w:t xml:space="preserve">S. Robertson and H. Zaragoza, “The probabilistic relevance framework: BM25 and beyond,” </w:t>
      </w:r>
      <w:r>
        <w:rPr>
          <w:i/>
          <w:iCs/>
        </w:rPr>
        <w:t xml:space="preserve">Foundations and Trends in Information Retrieval</w:t>
      </w:r>
      <w:r>
        <w:t xml:space="preserve">, vol. 3, no. 4, pp. 333–389, 2009, doi: 10.1561/1500000019.</w:t>
      </w:r>
      <w:r>
        <w:t xml:space="preserve"> [Online]. Available: </w:t>
      </w:r>
      <w:hyperlink w:history="1" r:id="rIdvbkzfjm69pt4hdxdxrioq">
        <w:r>
          <w:rPr>
            <w:color w:val="0563C1"/>
            <w:u w:val="single"/>
          </w:rPr>
          <w:t xml:space="preserve">https://doi.org/10.1561/1500000019</w:t>
        </w:r>
      </w:hyperlink>
    </w:p>
    <w:p>
      <w:pPr>
        <w:tabs>
          <w:tab w:val="left" w:pos="560"/>
        </w:tabs>
        <w:spacing w:after="90" w:line="276"/>
        <w:ind w:left="560" w:hanging="560"/>
      </w:pPr>
      <w:r>
        <w:t xml:space="preserve">[4]	</w:t>
      </w:r>
      <w:r>
        <w:t xml:space="preserve">E. K. F. Dang, R. W. P. Luk, and J. Allan, “A principled approach using fuzzy set theory for passage-based document retrieval,” </w:t>
      </w:r>
      <w:r>
        <w:rPr>
          <w:i/>
          <w:iCs/>
        </w:rPr>
        <w:t xml:space="preserve">IEEE Transactions on Fuzzy Systems</w:t>
      </w:r>
      <w:r>
        <w:t xml:space="preserve">, vol. 29, no. 7, pp. 1967–1977, 2021, doi: 10.1109/TFUZZ.2020.2990110.</w:t>
      </w:r>
      <w:r>
        <w:t xml:space="preserve"> [Online]. Available: </w:t>
      </w:r>
      <w:hyperlink w:history="1" r:id="rIdmmgrmvm9wqfdxej7v0jzj">
        <w:r>
          <w:rPr>
            <w:color w:val="0563C1"/>
            <w:u w:val="single"/>
          </w:rPr>
          <w:t xml:space="preserve">https://doi.org/10.1109/TFUZZ.2020.2990110</w:t>
        </w:r>
      </w:hyperlink>
    </w:p>
    <w:p>
      <w:pPr>
        <w:tabs>
          <w:tab w:val="left" w:pos="560"/>
        </w:tabs>
        <w:spacing w:after="90" w:line="276"/>
        <w:ind w:left="560" w:hanging="560"/>
      </w:pPr>
      <w:r>
        <w:t xml:space="preserve">[5]	</w:t>
      </w:r>
      <w:r>
        <w:t xml:space="preserve">R. Patil, S. Boit, V. Gudivada, and J. Nandigam, “A survey of text representation and embedding techniques in NLP,” </w:t>
      </w:r>
      <w:r>
        <w:rPr>
          <w:i/>
          <w:iCs/>
        </w:rPr>
        <w:t xml:space="preserve">IEEE Access</w:t>
      </w:r>
      <w:r>
        <w:t xml:space="preserve">, vol. 11, pp. 36120–36146, 2023, doi: 10.1109/ACCESS.2023.3266377.</w:t>
      </w:r>
      <w:r>
        <w:t xml:space="preserve"> [Online]. Available: </w:t>
      </w:r>
      <w:hyperlink w:history="1" r:id="rIdfgcilzauo-4i87dhkwdgn">
        <w:r>
          <w:rPr>
            <w:color w:val="0563C1"/>
            <w:u w:val="single"/>
          </w:rPr>
          <w:t xml:space="preserve">https://doi.org/10.1109/ACCESS.2023.3266377</w:t>
        </w:r>
      </w:hyperlink>
    </w:p>
    <w:p>
      <w:pPr>
        <w:tabs>
          <w:tab w:val="left" w:pos="560"/>
        </w:tabs>
        <w:spacing w:after="90" w:line="276"/>
        <w:ind w:left="560" w:hanging="560"/>
      </w:pPr>
      <w:r>
        <w:t xml:space="preserve">[6]	</w:t>
      </w:r>
      <w:r>
        <w:t xml:space="preserve">N. Reimers and I. Gurevych, “Sentence-BERT: Sentence embeddings using siamese BERT-networks,” in </w:t>
      </w:r>
      <w:r>
        <w:rPr>
          <w:i/>
          <w:iCs/>
        </w:rPr>
        <w:t xml:space="preserve">Proc. EMNLP-IJCNLP</w:t>
      </w:r>
      <w:r>
        <w:t xml:space="preserve">, 2019, arXiv:1908.10084.</w:t>
      </w:r>
      <w:r>
        <w:t xml:space="preserve"> [Online]. Available: </w:t>
      </w:r>
      <w:hyperlink w:history="1" r:id="rIdrf80egfma2cttr2l7maq7">
        <w:r>
          <w:rPr>
            <w:color w:val="0563C1"/>
            <w:u w:val="single"/>
          </w:rPr>
          <w:t xml:space="preserve">https://arxiv.org/abs/1908.10084</w:t>
        </w:r>
      </w:hyperlink>
    </w:p>
    <w:p>
      <w:pPr>
        <w:tabs>
          <w:tab w:val="left" w:pos="560"/>
        </w:tabs>
        <w:spacing w:after="90" w:line="276"/>
        <w:ind w:left="560" w:hanging="560"/>
      </w:pPr>
      <w:r>
        <w:t xml:space="preserve">[7]	</w:t>
      </w:r>
      <w:r>
        <w:t xml:space="preserve">D. Choi, M. Shin, E. Kim, and D. R. Shin, “Adaptive batch scheduling for open-domain question answering,” </w:t>
      </w:r>
      <w:r>
        <w:rPr>
          <w:i/>
          <w:iCs/>
        </w:rPr>
        <w:t xml:space="preserve">IEEE Access</w:t>
      </w:r>
      <w:r>
        <w:t xml:space="preserve">, vol. 9, pp. 112097–112103, 2021, doi: 10.1109/ACCESS.2021.3103963.</w:t>
      </w:r>
      <w:r>
        <w:t xml:space="preserve"> [Online]. Available: </w:t>
      </w:r>
      <w:hyperlink w:history="1" r:id="rIdk-ue44r02rtffpy2lnk6q">
        <w:r>
          <w:rPr>
            <w:color w:val="0563C1"/>
            <w:u w:val="single"/>
          </w:rPr>
          <w:t xml:space="preserve">https://doi.org/10.1109/ACCESS.2021.3103963</w:t>
        </w:r>
      </w:hyperlink>
    </w:p>
    <w:p>
      <w:pPr>
        <w:tabs>
          <w:tab w:val="left" w:pos="560"/>
        </w:tabs>
        <w:spacing w:after="90" w:line="276"/>
        <w:ind w:left="560" w:hanging="560"/>
      </w:pPr>
      <w:r>
        <w:t xml:space="preserve">[8]	</w:t>
      </w:r>
      <w:r>
        <w:t xml:space="preserve">H. Tan, S. Zhan, H. Lin, H.-T. Zheng, and W. K. Chan, “QAEA-DR: A unified text augmentation framework for dense retrieval,” </w:t>
      </w:r>
      <w:r>
        <w:rPr>
          <w:i/>
          <w:iCs/>
        </w:rPr>
        <w:t xml:space="preserve">IEEE Transactions on Knowledge and Data Engineering</w:t>
      </w:r>
      <w:r>
        <w:t xml:space="preserve">, vol. 37, no. 6, pp. 3669–3683, 2025, doi: 10.1109/TKDE.2025.3543203.</w:t>
      </w:r>
      <w:r>
        <w:t xml:space="preserve"> [Online]. Available: </w:t>
      </w:r>
      <w:hyperlink w:history="1" r:id="rIdjbtrdxmn9ywooeshmahfl">
        <w:r>
          <w:rPr>
            <w:color w:val="0563C1"/>
            <w:u w:val="single"/>
          </w:rPr>
          <w:t xml:space="preserve">https://doi.org/10.1109/TKDE.2025.3543203</w:t>
        </w:r>
      </w:hyperlink>
    </w:p>
    <w:p>
      <w:pPr>
        <w:tabs>
          <w:tab w:val="left" w:pos="560"/>
        </w:tabs>
        <w:spacing w:after="90" w:line="276"/>
        <w:ind w:left="560" w:hanging="560"/>
      </w:pPr>
      <w:r>
        <w:t xml:space="preserve">[9]	</w:t>
      </w:r>
      <w:r>
        <w:t xml:space="preserve">J. Johnson, M. Douze, and H. Jégou, “Billion-scale similarity search with GPUs,” </w:t>
      </w:r>
      <w:r>
        <w:rPr>
          <w:i/>
          <w:iCs/>
        </w:rPr>
        <w:t xml:space="preserve">IEEE Transactions on Big Data</w:t>
      </w:r>
      <w:r>
        <w:t xml:space="preserve">, vol. 7, no. 3, pp. 535–547, 2021, doi: 10.1109/TBDATA.2019.2921572.</w:t>
      </w:r>
      <w:r>
        <w:t xml:space="preserve"> [Online]. Available: </w:t>
      </w:r>
      <w:hyperlink w:history="1" r:id="rId_r8gkfx2worqxfnqx9hkb">
        <w:r>
          <w:rPr>
            <w:color w:val="0563C1"/>
            <w:u w:val="single"/>
          </w:rPr>
          <w:t xml:space="preserve">https://doi.org/10.1109/TBDATA.2019.2921572</w:t>
        </w:r>
      </w:hyperlink>
      <w:r>
        <w:t xml:space="preserve"> · </w:t>
      </w:r>
      <w:hyperlink w:history="1" r:id="rId1y9nb1xepvg4v-gqwvkqn">
        <w:r>
          <w:rPr>
            <w:color w:val="0563C1"/>
            <w:u w:val="single"/>
          </w:rPr>
          <w:t xml:space="preserve">https://arxiv.org/abs/1702.08734</w:t>
        </w:r>
      </w:hyperlink>
    </w:p>
    <w:p>
      <w:pPr>
        <w:tabs>
          <w:tab w:val="left" w:pos="560"/>
        </w:tabs>
        <w:spacing w:after="90" w:line="276"/>
        <w:ind w:left="560" w:hanging="560"/>
      </w:pPr>
      <w:r>
        <w:t xml:space="preserve">[10]	</w:t>
      </w:r>
      <w:r>
        <w:t xml:space="preserve">G. V. Cormack, C. L. A. Clarke, and S. Büttcher, “Reciprocal rank fusion outperforms Condorcet and individual rank learning methods,” in </w:t>
      </w:r>
      <w:r>
        <w:rPr>
          <w:i/>
          <w:iCs/>
        </w:rPr>
        <w:t xml:space="preserve">Proc. ACM SIGIR</w:t>
      </w:r>
      <w:r>
        <w:t xml:space="preserve">, 2009, pp. 758–759, doi: 10.1145/1571941.1572114.</w:t>
      </w:r>
      <w:r>
        <w:t xml:space="preserve"> [Online]. Available: </w:t>
      </w:r>
      <w:hyperlink w:history="1" r:id="rIdyj9nrlwpnek4nz94imt-y">
        <w:r>
          <w:rPr>
            <w:color w:val="0563C1"/>
            <w:u w:val="single"/>
          </w:rPr>
          <w:t xml:space="preserve">https://doi.org/10.1145/1571941.1572114</w:t>
        </w:r>
      </w:hyperlink>
    </w:p>
    <w:p>
      <w:pPr>
        <w:tabs>
          <w:tab w:val="left" w:pos="560"/>
        </w:tabs>
        <w:spacing w:after="90" w:line="276"/>
        <w:ind w:left="560" w:hanging="560"/>
      </w:pPr>
      <w:r>
        <w:t xml:space="preserve">[11]	</w:t>
      </w:r>
      <w:r>
        <w:t xml:space="preserve">A. Bindle, P. Singla, S. Sharma, A. Khakimov, R. I. Alkanhel, and A. Muthanna, “A hybrid large language model for context-aware document ranking in telecommunication data,” </w:t>
      </w:r>
      <w:r>
        <w:rPr>
          <w:i/>
          <w:iCs/>
        </w:rPr>
        <w:t xml:space="preserve">IEEE Access</w:t>
      </w:r>
      <w:r>
        <w:t xml:space="preserve">, vol. 13, pp. 120345–120359, 2025, doi: 10.1109/ACCESS.2025.3585637.</w:t>
      </w:r>
      <w:r>
        <w:t xml:space="preserve"> [Online]. Available: </w:t>
      </w:r>
      <w:hyperlink w:history="1" r:id="rId1nwjv10yllvihhlasiyzx">
        <w:r>
          <w:rPr>
            <w:color w:val="0563C1"/>
            <w:u w:val="single"/>
          </w:rPr>
          <w:t xml:space="preserve">https://doi.org/10.1109/ACCESS.2025.3585637</w:t>
        </w:r>
      </w:hyperlink>
    </w:p>
    <w:p>
      <w:pPr>
        <w:tabs>
          <w:tab w:val="left" w:pos="560"/>
        </w:tabs>
        <w:spacing w:after="90" w:line="276"/>
        <w:ind w:left="560" w:hanging="560"/>
      </w:pPr>
      <w:r>
        <w:t xml:space="preserve">[12]	</w:t>
      </w:r>
      <w:r>
        <w:t xml:space="preserve">T. F. Khan, M. Arslan, F. Alturise, A. H. Almutairi, and M. T. Raza, “UQA-RAG: Enhancing Urdu question-answer retrieval with semantic similarity and LLMs,” </w:t>
      </w:r>
      <w:r>
        <w:rPr>
          <w:i/>
          <w:iCs/>
        </w:rPr>
        <w:t xml:space="preserve">IEEE Access</w:t>
      </w:r>
      <w:r>
        <w:t xml:space="preserve">, vol. 14, pp. 2868–2882, 2026, doi: 10.1109/ACCESS.2025.3649743.</w:t>
      </w:r>
      <w:r>
        <w:t xml:space="preserve"> [Online]. Available: </w:t>
      </w:r>
      <w:hyperlink w:history="1" r:id="rIdkaq1g-tuelsozz2epyhai">
        <w:r>
          <w:rPr>
            <w:color w:val="0563C1"/>
            <w:u w:val="single"/>
          </w:rPr>
          <w:t xml:space="preserve">https://doi.org/10.1109/ACCESS.2025.3649743</w:t>
        </w:r>
      </w:hyperlink>
    </w:p>
    <w:p>
      <w:pPr>
        <w:tabs>
          <w:tab w:val="left" w:pos="560"/>
        </w:tabs>
        <w:spacing w:after="90" w:line="276"/>
        <w:ind w:left="560" w:hanging="560"/>
      </w:pPr>
      <w:r>
        <w:t xml:space="preserve">[13]	</w:t>
      </w:r>
      <w:r>
        <w:t xml:space="preserve">M. A. Raza, R. Mokhtar, N. Ahmad, M. Pasha, and U. Pasha, “A taxonomy and survey of semantic approaches for query expansion,” </w:t>
      </w:r>
      <w:r>
        <w:rPr>
          <w:i/>
          <w:iCs/>
        </w:rPr>
        <w:t xml:space="preserve">IEEE Access</w:t>
      </w:r>
      <w:r>
        <w:t xml:space="preserve">, vol. 7, pp. 17823–17833, 2019, doi: 10.1109/ACCESS.2019.2894679.</w:t>
      </w:r>
      <w:r>
        <w:t xml:space="preserve"> [Online]. Available: </w:t>
      </w:r>
      <w:hyperlink w:history="1" r:id="rIdp940pmmkw4rvaljywbziu">
        <w:r>
          <w:rPr>
            <w:color w:val="0563C1"/>
            <w:u w:val="single"/>
          </w:rPr>
          <w:t xml:space="preserve">https://doi.org/10.1109/ACCESS.2019.2894679</w:t>
        </w:r>
      </w:hyperlink>
    </w:p>
    <w:p>
      <w:pPr>
        <w:tabs>
          <w:tab w:val="left" w:pos="560"/>
        </w:tabs>
        <w:spacing w:after="90" w:line="276"/>
        <w:ind w:left="560" w:hanging="560"/>
      </w:pPr>
      <w:r>
        <w:t xml:space="preserve">[14]	</w:t>
      </w:r>
      <w:r>
        <w:t xml:space="preserve">V. Mageshwari and J. Shrijith, “Linguistic-neural hybrid architectures for semantic search: Optimizing recall with POS filtering and query expansion,” </w:t>
      </w:r>
      <w:r>
        <w:rPr>
          <w:i/>
          <w:iCs/>
        </w:rPr>
        <w:t xml:space="preserve">IEEE Access</w:t>
      </w:r>
      <w:r>
        <w:t xml:space="preserve">, vol. 14, pp. 28564–28572, 2026, doi: 10.1109/ACCESS.2026.3663716.</w:t>
      </w:r>
      <w:r>
        <w:t xml:space="preserve"> [Online]. Available: </w:t>
      </w:r>
      <w:hyperlink w:history="1" r:id="rIdzsi3ljcbrz6cjqhtrebvl">
        <w:r>
          <w:rPr>
            <w:color w:val="0563C1"/>
            <w:u w:val="single"/>
          </w:rPr>
          <w:t xml:space="preserve">https://doi.org/10.1109/ACCESS.2026.3663716</w:t>
        </w:r>
      </w:hyperlink>
    </w:p>
    <w:p>
      <w:pPr>
        <w:tabs>
          <w:tab w:val="left" w:pos="560"/>
        </w:tabs>
        <w:spacing w:after="90" w:line="276"/>
        <w:ind w:left="560" w:hanging="560"/>
      </w:pPr>
      <w:r>
        <w:t xml:space="preserve">[15]	</w:t>
      </w:r>
      <w:r>
        <w:t xml:space="preserve">M. Kim and Y. Ko, “Multitask fine-tuning for passage re-ranking using BM25 and pseudo relevance feedback,” </w:t>
      </w:r>
      <w:r>
        <w:rPr>
          <w:i/>
          <w:iCs/>
        </w:rPr>
        <w:t xml:space="preserve">IEEE Access</w:t>
      </w:r>
      <w:r>
        <w:t xml:space="preserve">, vol. 10, pp. 54254–54262, 2022, doi: 10.1109/ACCESS.2022.3176894.</w:t>
      </w:r>
      <w:r>
        <w:t xml:space="preserve"> [Online]. Available: </w:t>
      </w:r>
      <w:hyperlink w:history="1" r:id="rIdwnwojzjj3xh20wl8pimjr">
        <w:r>
          <w:rPr>
            <w:color w:val="0563C1"/>
            <w:u w:val="single"/>
          </w:rPr>
          <w:t xml:space="preserve">https://doi.org/10.1109/ACCESS.2022.3176894</w:t>
        </w:r>
      </w:hyperlink>
    </w:p>
    <w:p>
      <w:pPr>
        <w:tabs>
          <w:tab w:val="left" w:pos="560"/>
        </w:tabs>
        <w:spacing w:after="90" w:line="276"/>
        <w:ind w:left="560" w:hanging="560"/>
      </w:pPr>
      <w:r>
        <w:t xml:space="preserve">[16]	</w:t>
      </w:r>
      <w:r>
        <w:t xml:space="preserve">P. Rajpurkar, J. Zhang, K. Lopyrev, and P. Liang, “SQuAD: 100,000+ questions for machine comprehension of text,” in </w:t>
      </w:r>
      <w:r>
        <w:rPr>
          <w:i/>
          <w:iCs/>
        </w:rPr>
        <w:t xml:space="preserve">Proc. EMNLP</w:t>
      </w:r>
      <w:r>
        <w:t xml:space="preserve">, 2016, arXiv:1606.05250.</w:t>
      </w:r>
      <w:r>
        <w:t xml:space="preserve"> [Online]. Available: </w:t>
      </w:r>
      <w:hyperlink w:history="1" r:id="rIdmi39qqlsd6tiibzcbmjpf">
        <w:r>
          <w:rPr>
            <w:color w:val="0563C1"/>
            <w:u w:val="single"/>
          </w:rPr>
          <w:t xml:space="preserve">https://arxiv.org/abs/1606.05250</w:t>
        </w:r>
      </w:hyperlink>
    </w:p>
    <w:p>
      <w:pPr>
        <w:tabs>
          <w:tab w:val="left" w:pos="560"/>
        </w:tabs>
        <w:spacing w:after="90" w:line="276"/>
        <w:ind w:left="560" w:hanging="560"/>
      </w:pPr>
      <w:r>
        <w:t xml:space="preserve">[17]	</w:t>
      </w:r>
      <w:r>
        <w:t xml:space="preserve">J. Devlin, M.-W. Chang, K. Lee, and K. Toutanova, “BERT: Pre-training of deep bidirectional transformers for language understanding,” in </w:t>
      </w:r>
      <w:r>
        <w:rPr>
          <w:i/>
          <w:iCs/>
        </w:rPr>
        <w:t xml:space="preserve">Proc. NAACL-HLT</w:t>
      </w:r>
      <w:r>
        <w:t xml:space="preserve">, 2019, arXiv:1810.04805.</w:t>
      </w:r>
      <w:r>
        <w:t xml:space="preserve"> [Online]. Available: </w:t>
      </w:r>
      <w:hyperlink w:history="1" r:id="rId4hj-avzmf_eecwyn_mupg">
        <w:r>
          <w:rPr>
            <w:color w:val="0563C1"/>
            <w:u w:val="single"/>
          </w:rPr>
          <w:t xml:space="preserve">https://arxiv.org/abs/1810.04805</w:t>
        </w:r>
      </w:hyperlink>
    </w:p>
    <w:p>
      <w:pPr>
        <w:tabs>
          <w:tab w:val="left" w:pos="560"/>
        </w:tabs>
        <w:spacing w:after="90" w:line="276"/>
        <w:ind w:left="560" w:hanging="560"/>
      </w:pPr>
      <w:r>
        <w:t xml:space="preserve">[18]	</w:t>
      </w:r>
      <w:r>
        <w:t xml:space="preserve">Y. Liu </w:t>
      </w:r>
      <w:r>
        <w:rPr>
          <w:i/>
          <w:iCs/>
        </w:rPr>
        <w:t xml:space="preserve">et al.</w:t>
      </w:r>
      <w:r>
        <w:t xml:space="preserve">, “RoBERTa: A robustly optimized BERT pretraining approach,” arXiv:1907.11692, 2019.</w:t>
      </w:r>
      <w:r>
        <w:t xml:space="preserve"> [Online]. Available: </w:t>
      </w:r>
      <w:hyperlink w:history="1" r:id="rIdbqv0st4hlbi8kwcahqydp">
        <w:r>
          <w:rPr>
            <w:color w:val="0563C1"/>
            <w:u w:val="single"/>
          </w:rPr>
          <w:t xml:space="preserve">https://arxiv.org/abs/1907.11692</w:t>
        </w:r>
      </w:hyperlink>
    </w:p>
    <w:p>
      <w:pPr>
        <w:tabs>
          <w:tab w:val="left" w:pos="560"/>
        </w:tabs>
        <w:spacing w:after="90" w:line="276"/>
        <w:ind w:left="560" w:hanging="560"/>
      </w:pPr>
      <w:r>
        <w:t xml:space="preserve">[19]	</w:t>
      </w:r>
      <w:r>
        <w:t xml:space="preserve">V. Sanh, L. Debut, J. Chaumond, and T. Wolf, “DistilBERT, a distilled version of BERT: smaller, faster, cheaper and lighter,” in </w:t>
      </w:r>
      <w:r>
        <w:rPr>
          <w:i/>
          <w:iCs/>
        </w:rPr>
        <w:t xml:space="preserve">5th Workshop on Energy Efficient Machine Learning and Cognitive Computing, NeurIPS</w:t>
      </w:r>
      <w:r>
        <w:t xml:space="preserve">, 2019, arXiv:1910.01108.</w:t>
      </w:r>
      <w:r>
        <w:t xml:space="preserve"> [Online]. Available: </w:t>
      </w:r>
      <w:hyperlink w:history="1" r:id="rIdyrk_1tbwxmq1o-arfywwe">
        <w:r>
          <w:rPr>
            <w:color w:val="0563C1"/>
            <w:u w:val="single"/>
          </w:rPr>
          <w:t xml:space="preserve">https://arxiv.org/abs/1910.01108</w:t>
        </w:r>
      </w:hyperlink>
    </w:p>
    <w:p>
      <w:pPr>
        <w:tabs>
          <w:tab w:val="left" w:pos="560"/>
        </w:tabs>
        <w:spacing w:after="90" w:line="276"/>
        <w:ind w:left="560" w:hanging="560"/>
      </w:pPr>
      <w:r>
        <w:t xml:space="preserve">[20]	</w:t>
      </w:r>
      <w:r>
        <w:t xml:space="preserve">Q. Liu, X. Geng, H. Huang, T. Qin, J. Lu, and D. Jiang, “MGRC: An end-to-end multigranularity reading comprehension model for question answering,” </w:t>
      </w:r>
      <w:r>
        <w:rPr>
          <w:i/>
          <w:iCs/>
        </w:rPr>
        <w:t xml:space="preserve">IEEE Transactions on Neural Networks and Learning Systems</w:t>
      </w:r>
      <w:r>
        <w:t xml:space="preserve">, vol. 34, no. 5, pp. 2594–2605, 2023, doi: 10.1109/TNNLS.2021.3107029.</w:t>
      </w:r>
      <w:r>
        <w:t xml:space="preserve"> [Online]. Available: </w:t>
      </w:r>
      <w:hyperlink w:history="1" r:id="rIdjnjgaykk4dbwqjjgavp5x">
        <w:r>
          <w:rPr>
            <w:color w:val="0563C1"/>
            <w:u w:val="single"/>
          </w:rPr>
          <w:t xml:space="preserve">https://doi.org/10.1109/TNNLS.2021.3107029</w:t>
        </w:r>
      </w:hyperlink>
    </w:p>
    <w:p>
      <w:pPr>
        <w:tabs>
          <w:tab w:val="left" w:pos="560"/>
        </w:tabs>
        <w:spacing w:after="90" w:line="276"/>
        <w:ind w:left="560" w:hanging="560"/>
      </w:pPr>
      <w:r>
        <w:t xml:space="preserve">[21]	</w:t>
      </w:r>
      <w:r>
        <w:t xml:space="preserve">A. V. A. Sinthusha, E. Y. A. Charles, and R. Weerasinghe, “Machine reading comprehension for the Tamil language with translated SQuAD,” </w:t>
      </w:r>
      <w:r>
        <w:rPr>
          <w:i/>
          <w:iCs/>
        </w:rPr>
        <w:t xml:space="preserve">IEEE Access</w:t>
      </w:r>
      <w:r>
        <w:t xml:space="preserve">, vol. 13, pp. 13312–13328, 2025, doi: 10.1109/ACCESS.2025.3530949.</w:t>
      </w:r>
      <w:r>
        <w:t xml:space="preserve"> [Online]. Available: </w:t>
      </w:r>
      <w:hyperlink w:history="1" r:id="rId5mmh2u2mutwau1mz7yzwk">
        <w:r>
          <w:rPr>
            <w:color w:val="0563C1"/>
            <w:u w:val="single"/>
          </w:rPr>
          <w:t xml:space="preserve">https://doi.org/10.1109/ACCESS.2025.3530949</w:t>
        </w:r>
      </w:hyperlink>
    </w:p>
    <w:p>
      <w:pPr>
        <w:tabs>
          <w:tab w:val="left" w:pos="560"/>
        </w:tabs>
        <w:spacing w:after="90" w:line="276"/>
        <w:ind w:left="560" w:hanging="560"/>
      </w:pPr>
      <w:r>
        <w:t xml:space="preserve">[22]	</w:t>
      </w:r>
      <w:r>
        <w:t xml:space="preserve">T. Huang, W. Dong, F. Wu, X. Li, and G. Shi, “Uncertainty-driven knowledge distillation for language model compression,” </w:t>
      </w:r>
      <w:r>
        <w:rPr>
          <w:i/>
          <w:iCs/>
        </w:rPr>
        <w:t xml:space="preserve">IEEE/ACM Transactions on Audio, Speech, and Language Processing</w:t>
      </w:r>
      <w:r>
        <w:t xml:space="preserve">, vol. 31, pp. 2850–2858, 2023, doi: 10.1109/TASLP.2023.3289303.</w:t>
      </w:r>
      <w:r>
        <w:t xml:space="preserve"> [Online]. Available: </w:t>
      </w:r>
      <w:hyperlink w:history="1" r:id="rIds1pk-kov2fiyj--5mmaiw">
        <w:r>
          <w:rPr>
            <w:color w:val="0563C1"/>
            <w:u w:val="single"/>
          </w:rPr>
          <w:t xml:space="preserve">https://doi.org/10.1109/TASLP.2023.3289303</w:t>
        </w:r>
      </w:hyperlink>
    </w:p>
    <w:p>
      <w:pPr>
        <w:tabs>
          <w:tab w:val="left" w:pos="560"/>
        </w:tabs>
        <w:spacing w:after="90" w:line="276"/>
        <w:ind w:left="560" w:hanging="560"/>
      </w:pPr>
      <w:r>
        <w:t xml:space="preserve">[23]	</w:t>
      </w:r>
      <w:r>
        <w:t xml:space="preserve">D. Vake, J. Vičič, and A. Tošić, “Bridging the question–answer gap in retrieval-augmented generation: Hypothetical prompt embeddings,” </w:t>
      </w:r>
      <w:r>
        <w:rPr>
          <w:i/>
          <w:iCs/>
        </w:rPr>
        <w:t xml:space="preserve">IEEE Access</w:t>
      </w:r>
      <w:r>
        <w:t xml:space="preserve">, vol. 13, pp. 129952–129961, 2025, doi: 10.1109/ACCESS.2025.3589499.</w:t>
      </w:r>
      <w:r>
        <w:t xml:space="preserve"> [Online]. Available: </w:t>
      </w:r>
      <w:hyperlink w:history="1" r:id="rIdwkbeftzjog80cdqjgkzxa">
        <w:r>
          <w:rPr>
            <w:color w:val="0563C1"/>
            <w:u w:val="single"/>
          </w:rPr>
          <w:t xml:space="preserve">https://doi.org/10.1109/ACCESS.2025.3589499</w:t>
        </w:r>
      </w:hyperlink>
    </w:p>
    <w:p>
      <w:pPr>
        <w:tabs>
          <w:tab w:val="left" w:pos="560"/>
        </w:tabs>
        <w:spacing w:after="90" w:line="276"/>
        <w:ind w:left="560" w:hanging="560"/>
      </w:pPr>
      <w:r>
        <w:t xml:space="preserve">[24]	</w:t>
      </w:r>
      <w:r>
        <w:t xml:space="preserve">B. Malin, T. Kalganova, and N. Boulgouris, “A review of faithfulness metrics for hallucination assessment in large language models,” </w:t>
      </w:r>
      <w:r>
        <w:rPr>
          <w:i/>
          <w:iCs/>
        </w:rPr>
        <w:t xml:space="preserve">IEEE Journal of Selected Topics in Signal Processing</w:t>
      </w:r>
      <w:r>
        <w:t xml:space="preserve">, vol. 19, no. 7, pp. 1362–1375, 2025, doi: 10.1109/JSTSP.2025.3579203.</w:t>
      </w:r>
      <w:r>
        <w:t xml:space="preserve"> [Online]. Available: </w:t>
      </w:r>
      <w:hyperlink w:history="1" r:id="rIdmx50um4ddmvbatkwhqdh5">
        <w:r>
          <w:rPr>
            <w:color w:val="0563C1"/>
            <w:u w:val="single"/>
          </w:rPr>
          <w:t xml:space="preserve">https://doi.org/10.1109/JSTSP.2025.3579203</w:t>
        </w:r>
      </w:hyperlink>
    </w:p>
    <w:p>
      <w:pPr>
        <w:tabs>
          <w:tab w:val="left" w:pos="560"/>
        </w:tabs>
        <w:spacing w:after="90" w:line="276"/>
        <w:ind w:left="560" w:hanging="560"/>
      </w:pPr>
      <w:r>
        <w:t xml:space="preserve">[25]	</w:t>
      </w:r>
      <w:r>
        <w:t xml:space="preserve">Sentence-Transformers, “all-MiniLM-L6-v2” model card, Hugging Face.</w:t>
      </w:r>
      <w:r>
        <w:t xml:space="preserve"> [Online]. Available: </w:t>
      </w:r>
      <w:hyperlink w:history="1" r:id="rIdhw9iouqjuydd3ldh2vzlh">
        <w:r>
          <w:rPr>
            <w:color w:val="0563C1"/>
            <w:u w:val="single"/>
          </w:rPr>
          <w:t xml:space="preserve">https://huggingface.co/sentence-transformers/all-MiniLM-L6-v2</w:t>
        </w:r>
      </w:hyperlink>
    </w:p>
    <w:p>
      <w:pPr>
        <w:tabs>
          <w:tab w:val="left" w:pos="560"/>
        </w:tabs>
        <w:spacing w:after="90" w:line="276"/>
        <w:ind w:left="560" w:hanging="560"/>
      </w:pPr>
      <w:r>
        <w:t xml:space="preserve">[26]	</w:t>
      </w:r>
      <w:r>
        <w:t xml:space="preserve">Sentence-Transformers, “cross-encoder/ms-marco-MiniLM-L6-v2” model card, Hugging Face.</w:t>
      </w:r>
      <w:r>
        <w:t xml:space="preserve"> [Online]. Available: </w:t>
      </w:r>
      <w:hyperlink w:history="1" r:id="rIdhoomyoyqicojtfh7nxror">
        <w:r>
          <w:rPr>
            <w:color w:val="0563C1"/>
            <w:u w:val="single"/>
          </w:rPr>
          <w:t xml:space="preserve">https://huggingface.co/cross-encoder/ms-marco-MiniLM-L6-v2</w:t>
        </w:r>
      </w:hyperlink>
    </w:p>
    <w:sectPr>
      <w:footerReference w:type="default" r:id="rId9"/>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8"/>
        <w:szCs w:val="18"/>
      </w:rPr>
      <w:t xml:space="preserve">Literature Survey · </w:t>
    </w:r>
    <w:r>
      <w:rPr>
        <w:color w:val="5B6B7C"/>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8"/>
        <w:szCs w:val="18"/>
      </w:rPr>
      <w:t xml:space="preserve">Literature Survey · </w:t>
    </w:r>
    <w:r>
      <w:rPr>
        <w:color w:val="5B6B7C"/>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8"/>
        <w:szCs w:val="18"/>
      </w:rPr>
      <w:t xml:space="preserve">Literature Survey · </w:t>
    </w:r>
    <w:r>
      <w:rPr>
        <w:color w:val="5B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2B3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a-xvdnennn_zclb7t9ibx" Type="http://schemas.openxmlformats.org/officeDocument/2006/relationships/hyperlink" Target="https://doi.org/10.1109/ACCESS.2020.2988903" TargetMode="External"/><Relationship Id="rIdyuodbh1zkhmyslsoynoua" Type="http://schemas.openxmlformats.org/officeDocument/2006/relationships/hyperlink" Target="https://doi.org/10.1109/ACCESS.2023.3295776" TargetMode="External"/><Relationship Id="rIdxg9u_x6nbph23rkfeu60s" Type="http://schemas.openxmlformats.org/officeDocument/2006/relationships/hyperlink" Target="https://doi.org/10.1561/1500000019" TargetMode="External"/><Relationship Id="rId0nypfcn9_jxcpb-1w-ebu" Type="http://schemas.openxmlformats.org/officeDocument/2006/relationships/hyperlink" Target="https://doi.org/10.1109/TFUZZ.2020.2990110" TargetMode="External"/><Relationship Id="rIdr25gooj0mo-ghpugvybus" Type="http://schemas.openxmlformats.org/officeDocument/2006/relationships/hyperlink" Target="https://doi.org/10.1109/ACCESS.2023.3266377" TargetMode="External"/><Relationship Id="rIdaxpwetvu0h-to54t_pjb7" Type="http://schemas.openxmlformats.org/officeDocument/2006/relationships/hyperlink" Target="https://arxiv.org/abs/1908.10084" TargetMode="External"/><Relationship Id="rIdlf_b611c8mtwkjvagrs5f" Type="http://schemas.openxmlformats.org/officeDocument/2006/relationships/hyperlink" Target="https://doi.org/10.1109/ACCESS.2021.3103963" TargetMode="External"/><Relationship Id="rIdm9swv6rphx5ibne6ks37m" Type="http://schemas.openxmlformats.org/officeDocument/2006/relationships/hyperlink" Target="https://doi.org/10.1109/TKDE.2025.3543203" TargetMode="External"/><Relationship Id="rIdxt61wthkvgwfuhmpal10k" Type="http://schemas.openxmlformats.org/officeDocument/2006/relationships/hyperlink" Target="https://doi.org/10.1109/TBDATA.2019.2921572" TargetMode="External"/><Relationship Id="rIdxe7yopvywttx16mzzbsys" Type="http://schemas.openxmlformats.org/officeDocument/2006/relationships/hyperlink" Target="https://doi.org/10.1145/1571941.1572114" TargetMode="External"/><Relationship Id="rIdmauvsde_oitoe0buhg9sd" Type="http://schemas.openxmlformats.org/officeDocument/2006/relationships/hyperlink" Target="https://doi.org/10.1109/ACCESS.2025.3585637" TargetMode="External"/><Relationship Id="rIdvwifyghudalbae3dgatvn" Type="http://schemas.openxmlformats.org/officeDocument/2006/relationships/hyperlink" Target="https://doi.org/10.1109/ACCESS.2025.3649743" TargetMode="External"/><Relationship Id="rIdcyvevtwepb2sx1bav5njg" Type="http://schemas.openxmlformats.org/officeDocument/2006/relationships/hyperlink" Target="https://doi.org/10.1109/ACCESS.2019.2894679" TargetMode="External"/><Relationship Id="rId7mo4sd5zxabbysibc4tk1" Type="http://schemas.openxmlformats.org/officeDocument/2006/relationships/hyperlink" Target="https://doi.org/10.1109/ACCESS.2026.3663716" TargetMode="External"/><Relationship Id="rIdxlsxrxkv0fkjds89mlmqd" Type="http://schemas.openxmlformats.org/officeDocument/2006/relationships/hyperlink" Target="https://doi.org/10.1109/ACCESS.2022.3176894" TargetMode="External"/><Relationship Id="rIds6hbkpkjd3ya23hcxjgdk" Type="http://schemas.openxmlformats.org/officeDocument/2006/relationships/hyperlink" Target="https://arxiv.org/abs/1606.05250" TargetMode="External"/><Relationship Id="rIdhej29j7yuo5asdx_5xzjp" Type="http://schemas.openxmlformats.org/officeDocument/2006/relationships/hyperlink" Target="https://arxiv.org/abs/1810.04805" TargetMode="External"/><Relationship Id="rIduhomqbjzscerad-5dfkio" Type="http://schemas.openxmlformats.org/officeDocument/2006/relationships/hyperlink" Target="https://arxiv.org/abs/1907.11692" TargetMode="External"/><Relationship Id="rIdcfvq608xg2xumsv7spsu1" Type="http://schemas.openxmlformats.org/officeDocument/2006/relationships/hyperlink" Target="https://arxiv.org/abs/1910.01108" TargetMode="External"/><Relationship Id="rIdjhzjxdskttqsc-1t1qswl" Type="http://schemas.openxmlformats.org/officeDocument/2006/relationships/hyperlink" Target="https://doi.org/10.1109/TNNLS.2021.3107029" TargetMode="External"/><Relationship Id="rIdktey5cwaww1ybd6o22aok" Type="http://schemas.openxmlformats.org/officeDocument/2006/relationships/hyperlink" Target="https://doi.org/10.1109/ACCESS.2025.3530949" TargetMode="External"/><Relationship Id="rId8z4tlaluxi2_9lrb8howx" Type="http://schemas.openxmlformats.org/officeDocument/2006/relationships/hyperlink" Target="https://doi.org/10.1109/TASLP.2023.3289303" TargetMode="External"/><Relationship Id="rIdnnao2x0au8gecjyano3zq" Type="http://schemas.openxmlformats.org/officeDocument/2006/relationships/hyperlink" Target="https://doi.org/10.1109/ACCESS.2025.3589499" TargetMode="External"/><Relationship Id="rIdjvyj5lfoh5pqv8lq-lli6" Type="http://schemas.openxmlformats.org/officeDocument/2006/relationships/hyperlink" Target="https://doi.org/10.1109/JSTSP.2025.3579203" TargetMode="External"/><Relationship Id="rIdelkjtc2lkkvwcnbao_uuw" Type="http://schemas.openxmlformats.org/officeDocument/2006/relationships/hyperlink" Target="https://doi.org/10.1109/ACCESS.2020.2988903" TargetMode="External"/><Relationship Id="rIdz4zhxp7z9zqdqczmdak9n" Type="http://schemas.openxmlformats.org/officeDocument/2006/relationships/hyperlink" Target="https://doi.org/10.1109/ACCESS.2023.3295776" TargetMode="External"/><Relationship Id="rIdvbkzfjm69pt4hdxdxrioq" Type="http://schemas.openxmlformats.org/officeDocument/2006/relationships/hyperlink" Target="https://doi.org/10.1561/1500000019" TargetMode="External"/><Relationship Id="rIdmmgrmvm9wqfdxej7v0jzj" Type="http://schemas.openxmlformats.org/officeDocument/2006/relationships/hyperlink" Target="https://doi.org/10.1109/TFUZZ.2020.2990110" TargetMode="External"/><Relationship Id="rIdfgcilzauo-4i87dhkwdgn" Type="http://schemas.openxmlformats.org/officeDocument/2006/relationships/hyperlink" Target="https://doi.org/10.1109/ACCESS.2023.3266377" TargetMode="External"/><Relationship Id="rIdrf80egfma2cttr2l7maq7" Type="http://schemas.openxmlformats.org/officeDocument/2006/relationships/hyperlink" Target="https://arxiv.org/abs/1908.10084" TargetMode="External"/><Relationship Id="rIdk-ue44r02rtffpy2lnk6q" Type="http://schemas.openxmlformats.org/officeDocument/2006/relationships/hyperlink" Target="https://doi.org/10.1109/ACCESS.2021.3103963" TargetMode="External"/><Relationship Id="rIdjbtrdxmn9ywooeshmahfl" Type="http://schemas.openxmlformats.org/officeDocument/2006/relationships/hyperlink" Target="https://doi.org/10.1109/TKDE.2025.3543203" TargetMode="External"/><Relationship Id="rId_r8gkfx2worqxfnqx9hkb" Type="http://schemas.openxmlformats.org/officeDocument/2006/relationships/hyperlink" Target="https://doi.org/10.1109/TBDATA.2019.2921572" TargetMode="External"/><Relationship Id="rId1y9nb1xepvg4v-gqwvkqn" Type="http://schemas.openxmlformats.org/officeDocument/2006/relationships/hyperlink" Target="https://arxiv.org/abs/1702.08734" TargetMode="External"/><Relationship Id="rIdyj9nrlwpnek4nz94imt-y" Type="http://schemas.openxmlformats.org/officeDocument/2006/relationships/hyperlink" Target="https://doi.org/10.1145/1571941.1572114" TargetMode="External"/><Relationship Id="rId1nwjv10yllvihhlasiyzx" Type="http://schemas.openxmlformats.org/officeDocument/2006/relationships/hyperlink" Target="https://doi.org/10.1109/ACCESS.2025.3585637" TargetMode="External"/><Relationship Id="rIdkaq1g-tuelsozz2epyhai" Type="http://schemas.openxmlformats.org/officeDocument/2006/relationships/hyperlink" Target="https://doi.org/10.1109/ACCESS.2025.3649743" TargetMode="External"/><Relationship Id="rIdp940pmmkw4rvaljywbziu" Type="http://schemas.openxmlformats.org/officeDocument/2006/relationships/hyperlink" Target="https://doi.org/10.1109/ACCESS.2019.2894679" TargetMode="External"/><Relationship Id="rIdzsi3ljcbrz6cjqhtrebvl" Type="http://schemas.openxmlformats.org/officeDocument/2006/relationships/hyperlink" Target="https://doi.org/10.1109/ACCESS.2026.3663716" TargetMode="External"/><Relationship Id="rIdwnwojzjj3xh20wl8pimjr" Type="http://schemas.openxmlformats.org/officeDocument/2006/relationships/hyperlink" Target="https://doi.org/10.1109/ACCESS.2022.3176894" TargetMode="External"/><Relationship Id="rIdmi39qqlsd6tiibzcbmjpf" Type="http://schemas.openxmlformats.org/officeDocument/2006/relationships/hyperlink" Target="https://arxiv.org/abs/1606.05250" TargetMode="External"/><Relationship Id="rId4hj-avzmf_eecwyn_mupg" Type="http://schemas.openxmlformats.org/officeDocument/2006/relationships/hyperlink" Target="https://arxiv.org/abs/1810.04805" TargetMode="External"/><Relationship Id="rIdbqv0st4hlbi8kwcahqydp" Type="http://schemas.openxmlformats.org/officeDocument/2006/relationships/hyperlink" Target="https://arxiv.org/abs/1907.11692" TargetMode="External"/><Relationship Id="rIdyrk_1tbwxmq1o-arfywwe" Type="http://schemas.openxmlformats.org/officeDocument/2006/relationships/hyperlink" Target="https://arxiv.org/abs/1910.01108" TargetMode="External"/><Relationship Id="rIdjnjgaykk4dbwqjjgavp5x" Type="http://schemas.openxmlformats.org/officeDocument/2006/relationships/hyperlink" Target="https://doi.org/10.1109/TNNLS.2021.3107029" TargetMode="External"/><Relationship Id="rId5mmh2u2mutwau1mz7yzwk" Type="http://schemas.openxmlformats.org/officeDocument/2006/relationships/hyperlink" Target="https://doi.org/10.1109/ACCESS.2025.3530949" TargetMode="External"/><Relationship Id="rIds1pk-kov2fiyj--5mmaiw" Type="http://schemas.openxmlformats.org/officeDocument/2006/relationships/hyperlink" Target="https://doi.org/10.1109/TASLP.2023.3289303" TargetMode="External"/><Relationship Id="rIdwkbeftzjog80cdqjgkzxa" Type="http://schemas.openxmlformats.org/officeDocument/2006/relationships/hyperlink" Target="https://doi.org/10.1109/ACCESS.2025.3589499" TargetMode="External"/><Relationship Id="rIdmx50um4ddmvbatkwhqdh5" Type="http://schemas.openxmlformats.org/officeDocument/2006/relationships/hyperlink" Target="https://doi.org/10.1109/JSTSP.2025.3579203" TargetMode="External"/><Relationship Id="rIdhw9iouqjuydd3ldh2vzlh" Type="http://schemas.openxmlformats.org/officeDocument/2006/relationships/hyperlink" Target="https://huggingface.co/sentence-transformers/all-MiniLM-L6-v2" TargetMode="External"/><Relationship Id="rIdhoomyoyqicojtfh7nxror" Type="http://schemas.openxmlformats.org/officeDocument/2006/relationships/hyperlink" Target="https://huggingface.co/cross-encoder/ms-marco-MiniLM-L6-v2" TargetMode="External"/><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Survey — Adaptive Hybrid Semantic Research Assistant</dc:title>
  <dc:creator>Batch A-17</dc:creator>
  <cp:lastModifiedBy>Un-named</cp:lastModifiedBy>
  <cp:revision>1</cp:revision>
  <dcterms:created xsi:type="dcterms:W3CDTF">2026-09-17T15:06:42.926Z</dcterms:created>
  <dcterms:modified xsi:type="dcterms:W3CDTF">2026-09-17T15:06:42.928Z</dcterms:modified>
</cp:coreProperties>
</file>

<file path=docProps/custom.xml><?xml version="1.0" encoding="utf-8"?>
<Properties xmlns="http://schemas.openxmlformats.org/officeDocument/2006/custom-properties" xmlns:vt="http://schemas.openxmlformats.org/officeDocument/2006/docPropsVTypes"/>
</file>