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Your Smart Budget &amp; Recommendation Assistant</w:t>
      </w:r>
    </w:p>
    <w:p>
      <w:pPr>
        <w:pStyle w:val="Heading1"/>
      </w:pPr>
      <w:r>
        <w:t>5. Project Development Phase</w:t>
      </w:r>
    </w:p>
    <w:p>
      <w:pPr>
        <w:pStyle w:val="Heading2"/>
      </w:pPr>
      <w:r>
        <w:t>Backend Development</w:t>
      </w:r>
    </w:p>
    <w:p>
      <w:r>
        <w:t>FastAPI is used to define application routes and connect the user interface with the recommendation logic. Separate endpoints handle the Home, Party, and Jewelry planners. Authentication and session routes support user access and personalization where configured.</w:t>
      </w:r>
    </w:p>
    <w:p>
      <w:pPr>
        <w:pStyle w:val="Heading2"/>
      </w:pPr>
      <w:r>
        <w:t>AI Integration</w:t>
      </w:r>
    </w:p>
    <w:p>
      <w:r>
        <w:t>The Gemini API receives prompts containing the user's budget, preferences, and planner-specific context. For jewelry requests, an image may also be included when the feature is available. The response is processed and presented as readable recommendations.</w:t>
      </w:r>
    </w:p>
    <w:p>
      <w:pPr>
        <w:pStyle w:val="Heading2"/>
      </w:pPr>
      <w:r>
        <w:t>Frontend Development</w:t>
      </w:r>
    </w:p>
    <w:p>
      <w:r>
        <w:t>HTML, CSS, JavaScript, and Jinja2 templates are used to create the application pages. Forms collect the required details, and the results are displayed in organized sections or cards.</w:t>
      </w:r>
    </w:p>
    <w:p>
      <w:pPr>
        <w:pStyle w:val="Heading2"/>
      </w:pPr>
      <w:r>
        <w:t>Security and Configuration</w:t>
      </w:r>
    </w:p>
    <w:p>
      <w:r>
        <w:t>API keys and other sensitive settings should be loaded from environment variables. User inputs should be validated, and protected routes should enforce the application's authentication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