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480" w:lineRule="auto"/>
        <w:rPr>
          <w:rFonts w:ascii="Calibri" w:cs="Calibri" w:eastAsia="Calibri" w:hAnsi="Calibri"/>
          <w:b w:val="1"/>
          <w:color w:val="05192d"/>
          <w:sz w:val="24"/>
          <w:szCs w:val="24"/>
          <w:shd w:fill="03ef6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3" w:sz="0" w:val="none"/>
        </w:pBdr>
        <w:shd w:fill="ffffff" w:val="clear"/>
        <w:spacing w:after="240" w:before="120" w:line="300" w:lineRule="auto"/>
        <w:rPr>
          <w:rFonts w:ascii="Calibri" w:cs="Calibri" w:eastAsia="Calibri" w:hAnsi="Calibri"/>
          <w:b w:val="1"/>
          <w:color w:val="05192d"/>
          <w:sz w:val="24"/>
          <w:szCs w:val="24"/>
        </w:rPr>
      </w:pPr>
      <w:bookmarkStart w:colFirst="0" w:colLast="0" w:name="_601gf2o6jh6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5192d"/>
          <w:sz w:val="24"/>
          <w:szCs w:val="24"/>
          <w:rtl w:val="0"/>
        </w:rPr>
        <w:t xml:space="preserve">Box plot - standardised chart for distribution of data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Standardised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way of displaying distribution of data based on a five-number summary.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Whisker -  minimum, maximum, median, first quartile, third quartile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distribution, variance, symmetry or skewness, outliers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3" w:sz="0" w:val="none"/>
        </w:pBdr>
        <w:shd w:fill="ffffff" w:val="clear"/>
        <w:spacing w:after="240" w:before="120" w:line="300" w:lineRule="auto"/>
        <w:rPr>
          <w:rFonts w:ascii="Calibri" w:cs="Calibri" w:eastAsia="Calibri" w:hAnsi="Calibri"/>
          <w:b w:val="1"/>
          <w:color w:val="05192d"/>
          <w:sz w:val="24"/>
          <w:szCs w:val="24"/>
        </w:rPr>
      </w:pPr>
      <w:bookmarkStart w:colFirst="0" w:colLast="0" w:name="_4m5d75kh5bj0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5192d"/>
          <w:sz w:val="24"/>
          <w:szCs w:val="24"/>
          <w:rtl w:val="0"/>
        </w:rPr>
        <w:t xml:space="preserve">Waterfall (bridge) chart - contribution and change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xplains the net change in value between two points, split over categories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Typically starts at a baseline of zero; then, there are a series of bars that present category contribution to the total.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Positive values can easily be distinguished from the negative ones by the use of a categorical or graded color palette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Exposes the complexity hidden behind an aggregated number.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Downside is that it works well with only a limited number of categories.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3" w:sz="0" w:val="none"/>
        </w:pBdr>
        <w:shd w:fill="f7f7fc" w:val="clear"/>
        <w:spacing w:after="240" w:before="120" w:line="300" w:lineRule="auto"/>
        <w:rPr>
          <w:rFonts w:ascii="Calibri" w:cs="Calibri" w:eastAsia="Calibri" w:hAnsi="Calibri"/>
          <w:b w:val="1"/>
          <w:color w:val="05192d"/>
          <w:sz w:val="24"/>
          <w:szCs w:val="24"/>
        </w:rPr>
      </w:pPr>
      <w:bookmarkStart w:colFirst="0" w:colLast="0" w:name="_di92ear3x5sc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5192d"/>
          <w:sz w:val="24"/>
          <w:szCs w:val="24"/>
          <w:rtl w:val="0"/>
        </w:rPr>
        <w:t xml:space="preserve">Heat map - density and matrix comparisons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7f7fc" w:val="clear"/>
        <w:spacing w:after="0" w:afterAutospacing="0" w:before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sed for presenting density and comparisons, often in a matrix form, relying on the use of colors to communicate the values.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7f7fc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Heat maps have various forms and types. The most frequently used are colored geo-maps, for example, to illustrate the density of the population, but they also are often used in web analytics to analyze where on the screen visitors click the most.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7f7fc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use case is a matrix comparison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7f7fc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Advantage of heat maps is that it gives almost an instant high-level picture through their use of easy-to-understand color gradations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7f7fc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without appropriate labels, it might be challenging to interpret when a high level of detail is required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3" w:sz="0" w:val="none"/>
        </w:pBdr>
        <w:shd w:fill="ffffff" w:val="clear"/>
        <w:spacing w:after="240" w:before="120" w:line="300" w:lineRule="auto"/>
        <w:rPr>
          <w:rFonts w:ascii="Calibri" w:cs="Calibri" w:eastAsia="Calibri" w:hAnsi="Calibri"/>
          <w:b w:val="1"/>
          <w:color w:val="05192d"/>
          <w:sz w:val="24"/>
          <w:szCs w:val="24"/>
        </w:rPr>
      </w:pPr>
      <w:bookmarkStart w:colFirst="0" w:colLast="0" w:name="_7ejmjadgnqid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5192d"/>
          <w:sz w:val="24"/>
          <w:szCs w:val="24"/>
          <w:rtl w:val="0"/>
        </w:rPr>
        <w:t xml:space="preserve">Scatter plot - relationship and correlation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120" w:lin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1snovxq6yzpd" w:id="4"/>
      <w:bookmarkEnd w:id="4"/>
      <w:r w:rsidDel="00000000" w:rsidR="00000000" w:rsidRPr="00000000">
        <w:rPr>
          <w:rFonts w:ascii="Calibri" w:cs="Calibri" w:eastAsia="Calibri" w:hAnsi="Calibri"/>
          <w:color w:val="05192d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the relationship between two numerical variables plotted simultaneously along both the X and Y axis. 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73ap3wked16x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Often used in exploratory data analysis or when we need to plot the data on a quadrant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oxilj47gg0ur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be multidimensional, with the use of color, size, and shape, and easily store quite some data, with a high number of data marks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v3abta94xh0m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Powerful to present a correlation between two measures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1"/>
        </w:numPr>
        <w:pBdr>
          <w:top w:color="auto" w:space="3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jyaajtwpc0gr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 many cases, scatter plots can be tricky to communicate the data insights with, especially when data marks are plentiful and when there is no immediate correlation legible from the chart.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MARKS - Drag order for Treemaps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