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4: Comprehensive Data Science Report and Insights Presentation Plan</w:t>
      </w:r>
    </w:p>
    <w:p>
      <w:r>
        <w:t>YuvaIntern – Virtual Data Science Explorer Intern</w:t>
      </w:r>
    </w:p>
    <w:p>
      <w:r>
        <w:t>Project: Customer Churn Prediction and Retention Analytics</w:t>
      </w:r>
    </w:p>
    <w:p>
      <w:pPr>
        <w:pStyle w:val="Heading1"/>
      </w:pPr>
      <w:r>
        <w:t>1. Executive Summary</w:t>
      </w:r>
    </w:p>
    <w:p>
      <w:r>
        <w:t>This report presents a comprehensive plan for communicating a hypothetical data science project focused on customer churn prediction and retention analytics. The objective is to translate a structured analytical process into clear business insights that can support customer-retention decisions. Because no real customer dataset was supplied for this internship task, all proposed findings and visualizations are explicitly illustrative and are not presented as actual business results.</w:t>
      </w:r>
    </w:p>
    <w:p>
      <w:pPr>
        <w:pStyle w:val="Heading1"/>
      </w:pPr>
      <w:r>
        <w:t>2. Methodology Overview</w:t>
      </w:r>
    </w:p>
    <w:p>
      <w:r>
        <w:t>The proposed analysis follows a complete data science workflow: define the business problem, collect and validate relevant customer data, clean and prepare the data, explore distributions and relationships, engineer useful features, develop and evaluate predictive models, interpret outputs, and translate results into actionable recommendations. The methodology emphasizes reproducibility, data quality, appropriate evaluation and communication for non-technical stakeholders.</w:t>
      </w:r>
    </w:p>
    <w:p>
      <w:pPr>
        <w:pStyle w:val="Heading1"/>
      </w:pPr>
      <w:r>
        <w:t>3. Illustrative Findings and Analysis</w:t>
      </w:r>
    </w:p>
    <w:p>
      <w:r>
        <w:t>The report uses hypothetical insight themes to demonstrate how findings could be communicated. Potential patterns to investigate include differences in churn across contract types, customer tenure, service usage, support interactions and monthly charges. These are proposed analytical questions rather than claims about a real dataset. Any numerical mock-up used in presentation materials is clearly labelled illustrative.</w:t>
      </w:r>
    </w:p>
    <w:p>
      <w:pPr>
        <w:pStyle w:val="Heading1"/>
      </w:pPr>
      <w:r>
        <w:t>4. Planned Visualizations and Rationale</w:t>
      </w:r>
    </w:p>
    <w:p>
      <w:r>
        <w:t>The presentation should use a small number of decision-focused visuals. A churn-rate comparison chart can show differences between customer segments. A tenure-versus-churn visualization can help explain whether risk varies with relationship length. A feature-importance chart can communicate which factors the model considers useful. A summary table can connect each insight to a recommended business action. Visuals should use clear titles, units, annotations and accessible formatting.</w:t>
      </w:r>
    </w:p>
    <w:p>
      <w:pPr>
        <w:pStyle w:val="Heading1"/>
      </w:pPr>
      <w:r>
        <w:t>5. Presentation Strategy and Storytelling</w:t>
      </w:r>
    </w:p>
    <w:p>
      <w:r>
        <w:t>The presentation should follow a simple narrative: business challenge → analytical approach → key insight → business implication → recommended action → measurement plan. Technical details should be translated into plain language. For example, instead of discussing classification thresholds only as a statistical concept, explain that the threshold determines how many customers are flagged for possible retention outreach.</w:t>
      </w:r>
    </w:p>
    <w:p>
      <w:pPr>
        <w:pStyle w:val="Heading1"/>
      </w:pPr>
      <w:r>
        <w:t>6. Actionable Recommendations</w:t>
      </w:r>
    </w:p>
    <w:p>
      <w:r>
        <w:t>Potential recommendations include prioritizing retention outreach for high-risk customer segments, reviewing contract and service experience for segments with elevated risk, improving support journeys where repeated contacts are associated with risk, and designing targeted offers rather than applying the same intervention to every customer. These recommendations should only be finalized after validating them against real data.</w:t>
      </w:r>
    </w:p>
    <w:p>
      <w:pPr>
        <w:pStyle w:val="Heading1"/>
      </w:pPr>
      <w:r>
        <w:t>7. Future Work</w:t>
      </w:r>
    </w:p>
    <w:p>
      <w:r>
        <w:t>Future work should validate the proposed findings on an approved dataset, test alternative segmentation strategies, evaluate intervention effectiveness, monitor model performance over time and conduct controlled experiments where appropriate. The project can be extended into a production decision-support workflow with governance, monitoring and periodic model review.</w:t>
      </w:r>
    </w:p>
    <w:p>
      <w:pPr>
        <w:pStyle w:val="Heading1"/>
      </w:pPr>
      <w:r>
        <w:t>8. Conclusion</w:t>
      </w:r>
    </w:p>
    <w:p>
      <w:r>
        <w:t>A strong data science project is valuable only when its analytical results can be understood and acted upon. This report provides a communication and presentation plan that connects methodology, illustrative insights, visual evidence and business recommendations while clearly distinguishing hypothetical examples from real findings.</w:t>
      </w:r>
    </w:p>
    <w:p>
      <w:pPr>
        <w:pStyle w:val="Heading1"/>
      </w:pPr>
      <w:r>
        <w:t>Illustrative Insight-to-Action Table</w:t>
      </w:r>
    </w:p>
    <w:tbl>
      <w:tblPr>
        <w:tblW w:type="auto" w:w="0"/>
        <w:tblLook w:firstColumn="1" w:firstRow="1" w:lastColumn="0" w:lastRow="0" w:noHBand="0" w:noVBand="1" w:val="04A0"/>
      </w:tblPr>
      <w:tblGrid>
        <w:gridCol w:w="2880"/>
        <w:gridCol w:w="2880"/>
        <w:gridCol w:w="2880"/>
      </w:tblGrid>
      <w:tr>
        <w:tc>
          <w:tcPr>
            <w:tcW w:type="dxa" w:w="2880"/>
          </w:tcPr>
          <w:p>
            <w:r>
              <w:t>Illustrative analytical question</w:t>
            </w:r>
          </w:p>
        </w:tc>
        <w:tc>
          <w:tcPr>
            <w:tcW w:type="dxa" w:w="2880"/>
          </w:tcPr>
          <w:p>
            <w:r>
              <w:t>Possible business interpretation</w:t>
            </w:r>
          </w:p>
        </w:tc>
        <w:tc>
          <w:tcPr>
            <w:tcW w:type="dxa" w:w="2880"/>
          </w:tcPr>
          <w:p>
            <w:r>
              <w:t>Potential action</w:t>
            </w:r>
          </w:p>
        </w:tc>
      </w:tr>
      <w:tr>
        <w:tc>
          <w:tcPr>
            <w:tcW w:type="dxa" w:w="2880"/>
          </w:tcPr>
          <w:p>
            <w:r>
              <w:t>Do churn rates differ by contract type?</w:t>
            </w:r>
          </w:p>
        </w:tc>
        <w:tc>
          <w:tcPr>
            <w:tcW w:type="dxa" w:w="2880"/>
          </w:tcPr>
          <w:p>
            <w:r>
              <w:t>Some contract segments may show higher risk.</w:t>
            </w:r>
          </w:p>
        </w:tc>
        <w:tc>
          <w:tcPr>
            <w:tcW w:type="dxa" w:w="2880"/>
          </w:tcPr>
          <w:p>
            <w:r>
              <w:t>Review retention offers and contract experience for higher-risk segments.</w:t>
            </w:r>
          </w:p>
        </w:tc>
      </w:tr>
      <w:tr>
        <w:tc>
          <w:tcPr>
            <w:tcW w:type="dxa" w:w="2880"/>
          </w:tcPr>
          <w:p>
            <w:r>
              <w:t>Does churn risk vary with tenure?</w:t>
            </w:r>
          </w:p>
        </w:tc>
        <w:tc>
          <w:tcPr>
            <w:tcW w:type="dxa" w:w="2880"/>
          </w:tcPr>
          <w:p>
            <w:r>
              <w:t>Early-stage customers may require different onboarding support.</w:t>
            </w:r>
          </w:p>
        </w:tc>
        <w:tc>
          <w:tcPr>
            <w:tcW w:type="dxa" w:w="2880"/>
          </w:tcPr>
          <w:p>
            <w:r>
              <w:t>Create targeted onboarding and early-life retention journeys.</w:t>
            </w:r>
          </w:p>
        </w:tc>
      </w:tr>
      <w:tr>
        <w:tc>
          <w:tcPr>
            <w:tcW w:type="dxa" w:w="2880"/>
          </w:tcPr>
          <w:p>
            <w:r>
              <w:t>Are repeated support contacts associated with risk?</w:t>
            </w:r>
          </w:p>
        </w:tc>
        <w:tc>
          <w:tcPr>
            <w:tcW w:type="dxa" w:w="2880"/>
          </w:tcPr>
          <w:p>
            <w:r>
              <w:t>Service friction may be a warning signal.</w:t>
            </w:r>
          </w:p>
        </w:tc>
        <w:tc>
          <w:tcPr>
            <w:tcW w:type="dxa" w:w="2880"/>
          </w:tcPr>
          <w:p>
            <w:r>
              <w:t>Review recurring issues and proactive support opportunities.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