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1DB0" w14:textId="77777777" w:rsidR="00FA1111" w:rsidRDefault="00FA1111">
      <w:pPr>
        <w:pBdr>
          <w:bottom w:val="single" w:sz="4" w:space="1" w:color="auto"/>
        </w:pBdr>
        <w:tabs>
          <w:tab w:val="left" w:pos="3465"/>
          <w:tab w:val="center" w:pos="4932"/>
        </w:tabs>
        <w:rPr>
          <w:b/>
          <w:lang w:val="en-US"/>
        </w:rPr>
      </w:pPr>
    </w:p>
    <w:p w14:paraId="2067B764" w14:textId="77777777" w:rsidR="00FA1111" w:rsidRDefault="00E32790">
      <w:pPr>
        <w:pBdr>
          <w:bottom w:val="single" w:sz="4" w:space="1" w:color="auto"/>
        </w:pBdr>
        <w:tabs>
          <w:tab w:val="left" w:pos="3465"/>
          <w:tab w:val="center" w:pos="4932"/>
        </w:tabs>
        <w:rPr>
          <w:rFonts w:ascii="Calibri" w:hAnsi="Calibri"/>
          <w:b/>
          <w:lang w:val="en-US"/>
        </w:rPr>
      </w:pPr>
      <w:r>
        <w:rPr>
          <w:rFonts w:ascii="Calibri" w:hAnsi="Calibri"/>
          <w:b/>
          <w:lang w:val="en-US"/>
        </w:rPr>
        <w:t>Mallika Gogula</w:t>
      </w:r>
    </w:p>
    <w:p w14:paraId="45F33D20" w14:textId="6F1667D7" w:rsidR="00FA1111" w:rsidRDefault="00E32790">
      <w:pPr>
        <w:pBdr>
          <w:bottom w:val="single" w:sz="4" w:space="1" w:color="auto"/>
        </w:pBdr>
        <w:tabs>
          <w:tab w:val="left" w:pos="3465"/>
          <w:tab w:val="center" w:pos="4932"/>
        </w:tabs>
        <w:rPr>
          <w:rFonts w:ascii="Calibri" w:hAnsi="Calibri"/>
          <w:b/>
          <w:lang w:val="en-US"/>
        </w:rPr>
      </w:pPr>
      <w:r>
        <w:rPr>
          <w:rFonts w:ascii="Calibri" w:hAnsi="Calibri"/>
          <w:lang w:val="de-DE"/>
        </w:rPr>
        <w:t>A3602, Vaikund Sundaram Apart</w:t>
      </w:r>
      <w:r w:rsidR="006F0C72">
        <w:rPr>
          <w:rFonts w:ascii="Calibri" w:hAnsi="Calibri"/>
          <w:lang w:val="de-DE"/>
        </w:rPr>
        <w:t>ment,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 xml:space="preserve">      </w:t>
      </w:r>
      <w:r>
        <w:rPr>
          <w:rFonts w:ascii="Calibri" w:hAnsi="Calibri"/>
        </w:rPr>
        <w:sym w:font="Wingdings 2" w:char="0027"/>
      </w:r>
      <w:r>
        <w:rPr>
          <w:rFonts w:ascii="Calibri" w:hAnsi="Calibri"/>
        </w:rPr>
        <w:t xml:space="preserve"> +91 8722220427</w:t>
      </w:r>
    </w:p>
    <w:p w14:paraId="1F7CC2E4" w14:textId="77777777" w:rsidR="00FA1111" w:rsidRDefault="00E32790">
      <w:pPr>
        <w:pBdr>
          <w:bottom w:val="single" w:sz="4" w:space="1" w:color="auto"/>
        </w:pBdr>
        <w:tabs>
          <w:tab w:val="left" w:pos="900"/>
          <w:tab w:val="left" w:pos="3465"/>
          <w:tab w:val="center" w:pos="4932"/>
        </w:tabs>
        <w:rPr>
          <w:rFonts w:ascii="Calibri" w:hAnsi="Calibri"/>
        </w:rPr>
      </w:pPr>
      <w:r>
        <w:rPr>
          <w:rFonts w:ascii="Calibri" w:hAnsi="Calibri"/>
          <w:lang w:val="pt-BR"/>
        </w:rPr>
        <w:t>Karapakkam,</w:t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  <w:t xml:space="preserve">      </w:t>
      </w:r>
      <w:r>
        <w:rPr>
          <w:rFonts w:ascii="Calibri" w:hAnsi="Calibri"/>
        </w:rPr>
        <w:sym w:font="Wingdings" w:char="002F"/>
      </w:r>
      <w:r>
        <w:rPr>
          <w:rFonts w:ascii="Calibri" w:hAnsi="Calibri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3F3F3"/>
        </w:rPr>
        <w:t>mallikagogula04@gmail.com</w:t>
      </w:r>
    </w:p>
    <w:p w14:paraId="104D60ED" w14:textId="77777777" w:rsidR="00FA1111" w:rsidRDefault="00E32790">
      <w:pPr>
        <w:pBdr>
          <w:bottom w:val="single" w:sz="4" w:space="1" w:color="auto"/>
        </w:pBdr>
        <w:tabs>
          <w:tab w:val="left" w:pos="900"/>
          <w:tab w:val="left" w:pos="3465"/>
          <w:tab w:val="center" w:pos="4932"/>
        </w:tabs>
        <w:rPr>
          <w:rFonts w:ascii="Calibri" w:hAnsi="Calibri"/>
          <w:lang w:val="fr-FR"/>
        </w:rPr>
      </w:pPr>
      <w:r>
        <w:rPr>
          <w:rFonts w:ascii="Calibri" w:hAnsi="Calibri"/>
          <w:lang w:val="fr-FR"/>
        </w:rPr>
        <w:t>Chennai-600097.</w:t>
      </w:r>
    </w:p>
    <w:p w14:paraId="038C0B24" w14:textId="77777777" w:rsidR="00FA1111" w:rsidRDefault="00FA1111">
      <w:pPr>
        <w:ind w:left="-142" w:right="-81"/>
        <w:rPr>
          <w:rFonts w:ascii="Calibri" w:hAnsi="Calibri"/>
          <w:b/>
          <w:color w:val="000000"/>
          <w:szCs w:val="20"/>
          <w:u w:val="single"/>
        </w:rPr>
      </w:pPr>
    </w:p>
    <w:p w14:paraId="2E94098B" w14:textId="77777777" w:rsidR="00FA1111" w:rsidRDefault="00E32790">
      <w:pPr>
        <w:ind w:left="-142" w:right="-81"/>
        <w:rPr>
          <w:rFonts w:ascii="Calibri" w:hAnsi="Calibri"/>
          <w:b/>
          <w:color w:val="000000"/>
          <w:szCs w:val="20"/>
          <w:u w:val="single"/>
        </w:rPr>
      </w:pPr>
      <w:r>
        <w:rPr>
          <w:rFonts w:ascii="Calibri" w:hAnsi="Calibri"/>
          <w:b/>
          <w:color w:val="000000"/>
          <w:szCs w:val="20"/>
          <w:u w:val="single"/>
        </w:rPr>
        <w:t>CAREER OBJECTIVE</w:t>
      </w:r>
    </w:p>
    <w:p w14:paraId="003EEC72" w14:textId="77777777" w:rsidR="00FA1111" w:rsidRDefault="00FA1111">
      <w:pPr>
        <w:rPr>
          <w:color w:val="000000"/>
          <w:sz w:val="22"/>
          <w:szCs w:val="20"/>
        </w:rPr>
      </w:pPr>
    </w:p>
    <w:p w14:paraId="090187D1" w14:textId="77777777" w:rsidR="00FA1111" w:rsidRDefault="00E32790">
      <w:pPr>
        <w:rPr>
          <w:color w:val="000000"/>
          <w:sz w:val="22"/>
          <w:szCs w:val="20"/>
        </w:rPr>
      </w:pPr>
      <w:r>
        <w:rPr>
          <w:color w:val="000000"/>
          <w:sz w:val="22"/>
          <w:szCs w:val="20"/>
        </w:rPr>
        <w:t xml:space="preserve">To work in a globally competitive environment on challenging assignments that would yield the benefits of the job satisfaction, professional and organization growth. </w:t>
      </w:r>
    </w:p>
    <w:p w14:paraId="1AC40B76" w14:textId="77777777" w:rsidR="00FA1111" w:rsidRDefault="00FA1111">
      <w:pPr>
        <w:rPr>
          <w:lang w:val="fr-FR"/>
        </w:rPr>
      </w:pPr>
    </w:p>
    <w:p w14:paraId="6DF86800" w14:textId="77777777" w:rsidR="00FA1111" w:rsidRDefault="00E32790">
      <w:pPr>
        <w:ind w:left="-142" w:right="-81"/>
        <w:rPr>
          <w:rFonts w:ascii="Calibri" w:hAnsi="Calibri"/>
          <w:b/>
          <w:color w:val="000000"/>
          <w:sz w:val="20"/>
          <w:szCs w:val="20"/>
          <w:u w:val="single"/>
        </w:rPr>
      </w:pPr>
      <w:r>
        <w:rPr>
          <w:rFonts w:ascii="Calibri" w:hAnsi="Calibri"/>
          <w:b/>
          <w:color w:val="000000"/>
          <w:szCs w:val="20"/>
          <w:u w:val="single"/>
        </w:rPr>
        <w:t>SUMMARY</w:t>
      </w:r>
    </w:p>
    <w:p w14:paraId="6DBAB727" w14:textId="68DF2B95" w:rsidR="00FA1111" w:rsidRDefault="00E32790">
      <w:pPr>
        <w:pStyle w:val="Head1Bullet"/>
        <w:numPr>
          <w:ilvl w:val="0"/>
          <w:numId w:val="7"/>
        </w:numPr>
        <w:tabs>
          <w:tab w:val="left" w:pos="720"/>
        </w:tabs>
        <w:suppressAutoHyphens/>
        <w:spacing w:line="276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Has </w:t>
      </w:r>
      <w:r w:rsidR="006F0C72">
        <w:rPr>
          <w:rFonts w:ascii="Times New Roman" w:hAnsi="Times New Roman"/>
          <w:color w:val="000000"/>
          <w:sz w:val="22"/>
          <w:szCs w:val="22"/>
          <w:lang w:val="en-IN"/>
        </w:rPr>
        <w:t>6.8</w:t>
      </w:r>
      <w:r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>years of experience in mainframe programming working for Deutsche Bank related development and support activity.</w:t>
      </w:r>
    </w:p>
    <w:p w14:paraId="2F115206" w14:textId="77777777" w:rsidR="00FA1111" w:rsidRDefault="00E32790">
      <w:pPr>
        <w:numPr>
          <w:ilvl w:val="0"/>
          <w:numId w:val="7"/>
        </w:numPr>
        <w:tabs>
          <w:tab w:val="left" w:pos="720"/>
        </w:tabs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Received several appreciations/awards in recognition for my work rendered towards the projects on various key factors.</w:t>
      </w:r>
    </w:p>
    <w:p w14:paraId="46847796" w14:textId="77777777" w:rsidR="00FA1111" w:rsidRDefault="00E32790">
      <w:pPr>
        <w:numPr>
          <w:ilvl w:val="0"/>
          <w:numId w:val="7"/>
        </w:numPr>
        <w:tabs>
          <w:tab w:val="left" w:pos="720"/>
        </w:tabs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>Has good functional and technical knowledge about the process in the Bank.</w:t>
      </w:r>
    </w:p>
    <w:p w14:paraId="62EC934D" w14:textId="77777777" w:rsidR="00FA1111" w:rsidRDefault="00E3279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Design, Development, Implementation and support of projects.</w:t>
      </w:r>
    </w:p>
    <w:p w14:paraId="28DBDAB3" w14:textId="77777777" w:rsidR="00FA1111" w:rsidRDefault="00E3279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Experienced in Interaction with Business/Clients regarding requirement gathering.</w:t>
      </w:r>
    </w:p>
    <w:p w14:paraId="1561C3D2" w14:textId="77777777" w:rsidR="00FA1111" w:rsidRDefault="00E3279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been buddy for new joiners in our project providing functional knowledge and supporting them when required.</w:t>
      </w:r>
    </w:p>
    <w:p w14:paraId="62A20B01" w14:textId="77777777" w:rsidR="00FA1111" w:rsidRDefault="00E32790">
      <w:pPr>
        <w:numPr>
          <w:ilvl w:val="0"/>
          <w:numId w:val="7"/>
        </w:numPr>
        <w:tabs>
          <w:tab w:val="left" w:pos="720"/>
        </w:tabs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Been part of all cultural events and sports. </w:t>
      </w:r>
    </w:p>
    <w:p w14:paraId="7D8D1CA5" w14:textId="77777777" w:rsidR="00FA1111" w:rsidRDefault="00FA1111">
      <w:pPr>
        <w:spacing w:line="276" w:lineRule="auto"/>
        <w:ind w:left="720"/>
        <w:jc w:val="both"/>
        <w:rPr>
          <w:rFonts w:ascii="Calibri" w:hAnsi="Calibri"/>
          <w:sz w:val="20"/>
          <w:szCs w:val="20"/>
        </w:rPr>
      </w:pPr>
    </w:p>
    <w:p w14:paraId="2990ECBD" w14:textId="77777777" w:rsidR="00FA1111" w:rsidRDefault="00E32790">
      <w:pPr>
        <w:ind w:left="-142" w:right="-81"/>
        <w:rPr>
          <w:rFonts w:ascii="Calibri" w:hAnsi="Calibri"/>
          <w:b/>
          <w:color w:val="000000"/>
          <w:szCs w:val="20"/>
          <w:u w:val="single"/>
        </w:rPr>
      </w:pPr>
      <w:r>
        <w:rPr>
          <w:rFonts w:ascii="Calibri" w:hAnsi="Calibri"/>
          <w:b/>
          <w:color w:val="000000"/>
          <w:szCs w:val="20"/>
          <w:u w:val="single"/>
        </w:rPr>
        <w:t>PROFESSIONAL PROFILE</w:t>
      </w:r>
    </w:p>
    <w:p w14:paraId="37D6DFCF" w14:textId="77777777" w:rsidR="00FA1111" w:rsidRDefault="00FA1111">
      <w:pPr>
        <w:ind w:left="-142" w:right="-81"/>
        <w:rPr>
          <w:rFonts w:ascii="Calibri" w:hAnsi="Calibri"/>
          <w:b/>
          <w:color w:val="000000"/>
          <w:szCs w:val="20"/>
          <w:u w:val="single"/>
        </w:rPr>
      </w:pPr>
    </w:p>
    <w:p w14:paraId="4954D72C" w14:textId="77777777" w:rsidR="00FA1111" w:rsidRDefault="00E32790">
      <w:pPr>
        <w:tabs>
          <w:tab w:val="left" w:pos="2770"/>
        </w:tabs>
        <w:outlineLvl w:val="0"/>
        <w:rPr>
          <w:sz w:val="22"/>
          <w:szCs w:val="22"/>
        </w:rPr>
      </w:pPr>
      <w:r>
        <w:rPr>
          <w:b/>
          <w:color w:val="000000"/>
          <w:sz w:val="22"/>
          <w:szCs w:val="22"/>
        </w:rPr>
        <w:t>Current Employer          :</w:t>
      </w:r>
      <w:r>
        <w:rPr>
          <w:b/>
          <w:color w:val="000000"/>
          <w:sz w:val="22"/>
          <w:szCs w:val="22"/>
        </w:rPr>
        <w:tab/>
        <w:t xml:space="preserve">  </w:t>
      </w:r>
      <w:r>
        <w:rPr>
          <w:sz w:val="22"/>
          <w:szCs w:val="22"/>
        </w:rPr>
        <w:t>HCL technologies Private Limited - Chennai</w:t>
      </w:r>
    </w:p>
    <w:p w14:paraId="56CF9E0E" w14:textId="77777777" w:rsidR="00FA1111" w:rsidRDefault="00E32790">
      <w:pPr>
        <w:ind w:left="-142" w:right="-8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Designation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: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Senior Software Engineer</w:t>
      </w:r>
    </w:p>
    <w:p w14:paraId="75EF6E94" w14:textId="77777777" w:rsidR="00FA1111" w:rsidRDefault="00E32790">
      <w:pPr>
        <w:ind w:left="-142" w:right="-81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Job Duration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:</w:t>
      </w:r>
      <w:r>
        <w:rPr>
          <w:b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September 2017 to </w:t>
      </w:r>
      <w:r>
        <w:rPr>
          <w:color w:val="000000"/>
          <w:sz w:val="22"/>
          <w:szCs w:val="22"/>
          <w:lang w:val="en-IN"/>
        </w:rPr>
        <w:t>till date</w:t>
      </w:r>
      <w:r>
        <w:rPr>
          <w:color w:val="000000"/>
          <w:sz w:val="22"/>
          <w:szCs w:val="22"/>
        </w:rPr>
        <w:t>.</w:t>
      </w:r>
    </w:p>
    <w:p w14:paraId="7D720864" w14:textId="77777777" w:rsidR="00FA1111" w:rsidRDefault="00FA1111">
      <w:pPr>
        <w:pStyle w:val="ListStyle"/>
        <w:pBdr>
          <w:bottom w:val="none" w:sz="0" w:space="0" w:color="808080"/>
        </w:pBdr>
        <w:tabs>
          <w:tab w:val="num" w:pos="360"/>
        </w:tabs>
        <w:jc w:val="both"/>
        <w:rPr>
          <w:rFonts w:ascii="Verdana" w:eastAsia="Verdana" w:hAnsi="Verdana" w:cs="Verdana"/>
          <w:color w:val="000000"/>
        </w:rPr>
      </w:pPr>
    </w:p>
    <w:p w14:paraId="1AB8E26F" w14:textId="77777777" w:rsidR="00FA1111" w:rsidRDefault="00FA1111">
      <w:pPr>
        <w:pStyle w:val="ListStyle"/>
        <w:pBdr>
          <w:bottom w:val="none" w:sz="0" w:space="0" w:color="808080"/>
        </w:pBdr>
        <w:tabs>
          <w:tab w:val="num" w:pos="360"/>
        </w:tabs>
        <w:jc w:val="both"/>
        <w:rPr>
          <w:rFonts w:ascii="Verdana" w:eastAsia="Verdana" w:hAnsi="Verdana" w:cs="Verdana"/>
          <w:color w:val="000000"/>
        </w:rPr>
      </w:pPr>
    </w:p>
    <w:p w14:paraId="41D38AC6" w14:textId="77777777" w:rsidR="00FA1111" w:rsidRDefault="00E32790">
      <w:pPr>
        <w:pStyle w:val="ListStyle"/>
        <w:pBdr>
          <w:bottom w:val="none" w:sz="0" w:space="0" w:color="808080"/>
        </w:pBdr>
        <w:tabs>
          <w:tab w:val="num" w:pos="360"/>
        </w:tabs>
        <w:jc w:val="both"/>
        <w:rPr>
          <w:rFonts w:ascii="Verdana" w:eastAsia="Verdana" w:hAnsi="Verdana" w:cs="Verdana"/>
          <w:b/>
          <w:color w:val="000000"/>
          <w:u w:val="single"/>
        </w:rPr>
      </w:pPr>
      <w:r>
        <w:rPr>
          <w:rFonts w:ascii="Verdana" w:eastAsia="Verdana" w:hAnsi="Verdana" w:cs="Verdana"/>
          <w:b/>
          <w:color w:val="000000"/>
          <w:u w:val="single"/>
        </w:rPr>
        <w:t>Technical Skills</w:t>
      </w:r>
    </w:p>
    <w:p w14:paraId="6B7FAE96" w14:textId="77777777" w:rsidR="00FA1111" w:rsidRDefault="00FA1111">
      <w:pPr>
        <w:pStyle w:val="ListStyle"/>
        <w:pBdr>
          <w:bottom w:val="none" w:sz="0" w:space="0" w:color="808080"/>
        </w:pBdr>
        <w:tabs>
          <w:tab w:val="num" w:pos="360"/>
        </w:tabs>
        <w:jc w:val="both"/>
        <w:rPr>
          <w:rFonts w:ascii="Verdana" w:eastAsia="Verdana" w:hAnsi="Verdana" w:cs="Verdana"/>
          <w:color w:val="000000"/>
        </w:rPr>
      </w:pPr>
    </w:p>
    <w:tbl>
      <w:tblPr>
        <w:tblW w:w="10405" w:type="dxa"/>
        <w:tblInd w:w="18" w:type="dxa"/>
        <w:tblLayout w:type="fixed"/>
        <w:tblLook w:val="00A0" w:firstRow="1" w:lastRow="0" w:firstColumn="1" w:lastColumn="0" w:noHBand="0" w:noVBand="0"/>
      </w:tblPr>
      <w:tblGrid>
        <w:gridCol w:w="2379"/>
        <w:gridCol w:w="8026"/>
      </w:tblGrid>
      <w:tr w:rsidR="00FA1111" w14:paraId="5A3FCCC5" w14:textId="77777777">
        <w:tc>
          <w:tcPr>
            <w:tcW w:w="2379" w:type="dxa"/>
          </w:tcPr>
          <w:p w14:paraId="1C599679" w14:textId="77777777" w:rsidR="00FA1111" w:rsidRDefault="00E32790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Operating system     :</w:t>
            </w:r>
          </w:p>
        </w:tc>
        <w:tc>
          <w:tcPr>
            <w:tcW w:w="8026" w:type="dxa"/>
          </w:tcPr>
          <w:p w14:paraId="33EE5BAD" w14:textId="1E204692" w:rsidR="00FA1111" w:rsidRDefault="00E32790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Z/OS </w:t>
            </w:r>
            <w:r w:rsidR="006F0C72">
              <w:rPr>
                <w:sz w:val="22"/>
                <w:szCs w:val="22"/>
              </w:rPr>
              <w:t xml:space="preserve">&amp; </w:t>
            </w:r>
            <w:r>
              <w:rPr>
                <w:sz w:val="22"/>
                <w:szCs w:val="22"/>
              </w:rPr>
              <w:t xml:space="preserve">Windows  </w:t>
            </w:r>
          </w:p>
        </w:tc>
      </w:tr>
      <w:tr w:rsidR="00FA1111" w14:paraId="4FF49FE8" w14:textId="77777777">
        <w:tc>
          <w:tcPr>
            <w:tcW w:w="2379" w:type="dxa"/>
          </w:tcPr>
          <w:p w14:paraId="5C9F81FF" w14:textId="77777777" w:rsidR="00FA1111" w:rsidRDefault="00FA1111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8026" w:type="dxa"/>
          </w:tcPr>
          <w:p w14:paraId="6E4B0B12" w14:textId="77777777" w:rsidR="00FA1111" w:rsidRDefault="00FA1111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rPr>
                <w:sz w:val="22"/>
                <w:szCs w:val="22"/>
              </w:rPr>
            </w:pPr>
          </w:p>
        </w:tc>
      </w:tr>
      <w:tr w:rsidR="00FA1111" w14:paraId="55BEFDF1" w14:textId="77777777">
        <w:tc>
          <w:tcPr>
            <w:tcW w:w="2379" w:type="dxa"/>
          </w:tcPr>
          <w:p w14:paraId="76A7768C" w14:textId="77777777" w:rsidR="00FA1111" w:rsidRDefault="00E32790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Databases                  :</w:t>
            </w:r>
          </w:p>
        </w:tc>
        <w:tc>
          <w:tcPr>
            <w:tcW w:w="8026" w:type="dxa"/>
          </w:tcPr>
          <w:p w14:paraId="117BCEF3" w14:textId="77777777" w:rsidR="00FA1111" w:rsidRDefault="00E32790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DB2 </w:t>
            </w:r>
          </w:p>
        </w:tc>
      </w:tr>
      <w:tr w:rsidR="00FA1111" w14:paraId="65F461F2" w14:textId="77777777">
        <w:tc>
          <w:tcPr>
            <w:tcW w:w="2379" w:type="dxa"/>
          </w:tcPr>
          <w:p w14:paraId="1B20F333" w14:textId="77777777" w:rsidR="00FA1111" w:rsidRDefault="00E32790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Programming            :</w:t>
            </w:r>
          </w:p>
        </w:tc>
        <w:tc>
          <w:tcPr>
            <w:tcW w:w="8026" w:type="dxa"/>
          </w:tcPr>
          <w:p w14:paraId="5A1EAD8A" w14:textId="77777777" w:rsidR="00FA1111" w:rsidRDefault="00E32790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Mainframe (JCL,COBOL,DB2,CICS)  </w:t>
            </w:r>
          </w:p>
        </w:tc>
      </w:tr>
      <w:tr w:rsidR="00FA1111" w14:paraId="03D0BB41" w14:textId="77777777">
        <w:tc>
          <w:tcPr>
            <w:tcW w:w="2379" w:type="dxa"/>
          </w:tcPr>
          <w:p w14:paraId="6B5E6072" w14:textId="77777777" w:rsidR="00FA1111" w:rsidRDefault="00E32790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Scheduling                :</w:t>
            </w:r>
          </w:p>
        </w:tc>
        <w:tc>
          <w:tcPr>
            <w:tcW w:w="8026" w:type="dxa"/>
          </w:tcPr>
          <w:p w14:paraId="1EA6E5F5" w14:textId="77777777" w:rsidR="00FA1111" w:rsidRDefault="00E32790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TWS (Tivoli Work Scheduler)</w:t>
            </w:r>
          </w:p>
        </w:tc>
      </w:tr>
      <w:tr w:rsidR="00FA1111" w14:paraId="5B794F70" w14:textId="77777777">
        <w:tc>
          <w:tcPr>
            <w:tcW w:w="2379" w:type="dxa"/>
          </w:tcPr>
          <w:p w14:paraId="79AC5885" w14:textId="77777777" w:rsidR="00FA1111" w:rsidRDefault="00E32790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Tools                         :</w:t>
            </w:r>
          </w:p>
        </w:tc>
        <w:tc>
          <w:tcPr>
            <w:tcW w:w="8026" w:type="dxa"/>
          </w:tcPr>
          <w:p w14:paraId="63CCD116" w14:textId="77777777" w:rsidR="00FA1111" w:rsidRDefault="00E32790">
            <w:pPr>
              <w:ind w:left="-142" w:right="-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SCLM , IBM Debug Tool, File Manager,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ISPF, IDCAMS, </w:t>
            </w:r>
          </w:p>
          <w:p w14:paraId="437E330D" w14:textId="025642F8" w:rsidR="00FA1111" w:rsidRDefault="00E32790">
            <w:pPr>
              <w:widowControl w:val="0"/>
              <w:tabs>
                <w:tab w:val="right" w:pos="1980"/>
              </w:tabs>
              <w:autoSpaceDE w:val="0"/>
              <w:autoSpaceDN w:val="0"/>
              <w:adjustRightInd w:val="0"/>
              <w:spacing w:before="60"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SPUFI, File AID, SCOUT, Endevor</w:t>
            </w:r>
            <w:r w:rsidR="006F0C72">
              <w:rPr>
                <w:sz w:val="22"/>
                <w:szCs w:val="22"/>
              </w:rPr>
              <w:t>, TSO, Xpeditor &amp;</w:t>
            </w:r>
            <w:r>
              <w:rPr>
                <w:sz w:val="22"/>
                <w:szCs w:val="22"/>
              </w:rPr>
              <w:t xml:space="preserve"> TWS.</w:t>
            </w:r>
          </w:p>
        </w:tc>
      </w:tr>
    </w:tbl>
    <w:p w14:paraId="57E97419" w14:textId="77777777" w:rsidR="00FA1111" w:rsidRDefault="00FA1111">
      <w:pPr>
        <w:ind w:right="-81"/>
        <w:jc w:val="both"/>
        <w:rPr>
          <w:rFonts w:ascii="Calibri" w:hAnsi="Calibri"/>
          <w:b/>
          <w:u w:val="single"/>
        </w:rPr>
      </w:pPr>
    </w:p>
    <w:p w14:paraId="3217B8F3" w14:textId="77777777" w:rsidR="00FA1111" w:rsidRDefault="00FA1111">
      <w:pPr>
        <w:ind w:right="-81"/>
        <w:jc w:val="both"/>
        <w:rPr>
          <w:rFonts w:ascii="Calibri" w:hAnsi="Calibri"/>
          <w:b/>
          <w:u w:val="single"/>
        </w:rPr>
      </w:pPr>
    </w:p>
    <w:p w14:paraId="531F2242" w14:textId="77777777" w:rsidR="00FA1111" w:rsidRDefault="00E32790">
      <w:pPr>
        <w:ind w:right="-81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PROJECT EXPERIENCE</w:t>
      </w:r>
    </w:p>
    <w:p w14:paraId="6C7231F7" w14:textId="77777777" w:rsidR="00FA1111" w:rsidRDefault="00FA1111"/>
    <w:p w14:paraId="73F3B176" w14:textId="77777777" w:rsidR="00FA1111" w:rsidRDefault="00E32790">
      <w:pPr>
        <w:rPr>
          <w:b/>
          <w:sz w:val="22"/>
          <w:szCs w:val="22"/>
        </w:rPr>
      </w:pPr>
      <w:r>
        <w:rPr>
          <w:b/>
          <w:sz w:val="22"/>
          <w:szCs w:val="22"/>
        </w:rPr>
        <w:t>Employer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:  </w:t>
      </w:r>
      <w:r>
        <w:rPr>
          <w:sz w:val="22"/>
          <w:szCs w:val="22"/>
        </w:rPr>
        <w:t>HCL Technologies</w:t>
      </w:r>
    </w:p>
    <w:p w14:paraId="66EBE8E3" w14:textId="77777777" w:rsidR="00FA1111" w:rsidRDefault="00E32790">
      <w:pPr>
        <w:pStyle w:val="Header"/>
        <w:ind w:right="-29"/>
        <w:rPr>
          <w:b/>
          <w:bCs/>
          <w:color w:val="000000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Application </w:t>
      </w:r>
      <w:r>
        <w:rPr>
          <w:b/>
          <w:sz w:val="22"/>
          <w:szCs w:val="22"/>
          <w:lang w:val="en-US"/>
        </w:rPr>
        <w:t>N</w:t>
      </w:r>
      <w:r>
        <w:rPr>
          <w:b/>
          <w:sz w:val="22"/>
          <w:szCs w:val="22"/>
        </w:rPr>
        <w:t>ame</w:t>
      </w:r>
      <w:r>
        <w:rPr>
          <w:b/>
          <w:sz w:val="22"/>
          <w:szCs w:val="22"/>
          <w:lang w:val="en-US"/>
        </w:rPr>
        <w:t xml:space="preserve">                       </w:t>
      </w:r>
      <w:r>
        <w:rPr>
          <w:b/>
          <w:sz w:val="22"/>
          <w:szCs w:val="22"/>
        </w:rPr>
        <w:t xml:space="preserve">: </w:t>
      </w:r>
      <w:r>
        <w:rPr>
          <w:color w:val="000000"/>
          <w:sz w:val="22"/>
          <w:szCs w:val="22"/>
          <w:lang w:val="en-US"/>
        </w:rPr>
        <w:t xml:space="preserve">Global Markets  </w:t>
      </w:r>
    </w:p>
    <w:p w14:paraId="03523166" w14:textId="77777777" w:rsidR="00FA1111" w:rsidRDefault="00E32790">
      <w:pPr>
        <w:pStyle w:val="Header"/>
        <w:tabs>
          <w:tab w:val="left" w:pos="2268"/>
          <w:tab w:val="left" w:pos="2977"/>
        </w:tabs>
        <w:ind w:right="-29"/>
        <w:rPr>
          <w:sz w:val="22"/>
          <w:szCs w:val="22"/>
          <w:lang w:val="en-US"/>
        </w:rPr>
      </w:pPr>
      <w:r>
        <w:rPr>
          <w:b/>
          <w:sz w:val="22"/>
          <w:szCs w:val="22"/>
        </w:rPr>
        <w:t>Client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Deutsche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Bank</w:t>
      </w:r>
    </w:p>
    <w:p w14:paraId="033DBCDF" w14:textId="77777777" w:rsidR="00FA1111" w:rsidRDefault="00E32790">
      <w:pPr>
        <w:pStyle w:val="Header"/>
        <w:tabs>
          <w:tab w:val="left" w:pos="2268"/>
          <w:tab w:val="left" w:pos="2977"/>
        </w:tabs>
        <w:ind w:right="-29"/>
        <w:rPr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Technology </w:t>
      </w:r>
      <w:r>
        <w:rPr>
          <w:b/>
          <w:sz w:val="22"/>
          <w:szCs w:val="22"/>
          <w:lang w:val="en-US"/>
        </w:rPr>
        <w:t>&amp;</w:t>
      </w:r>
      <w:r>
        <w:rPr>
          <w:b/>
          <w:sz w:val="22"/>
          <w:szCs w:val="22"/>
        </w:rPr>
        <w:t xml:space="preserve"> Tools     </w:t>
      </w:r>
      <w:r>
        <w:rPr>
          <w:b/>
          <w:sz w:val="22"/>
          <w:szCs w:val="22"/>
          <w:lang w:val="en-US"/>
        </w:rPr>
        <w:t xml:space="preserve">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COBOL, JCL, DB2, </w:t>
      </w:r>
      <w:r>
        <w:rPr>
          <w:sz w:val="22"/>
          <w:szCs w:val="22"/>
          <w:lang w:val="en-US"/>
        </w:rPr>
        <w:t xml:space="preserve">CICS, SCLM, Scout, </w:t>
      </w:r>
      <w:r>
        <w:rPr>
          <w:sz w:val="22"/>
          <w:szCs w:val="22"/>
        </w:rPr>
        <w:t>IBM Debug Tool</w:t>
      </w:r>
    </w:p>
    <w:p w14:paraId="72836DEF" w14:textId="77777777" w:rsidR="00FA1111" w:rsidRDefault="00FA1111">
      <w:pPr>
        <w:rPr>
          <w:lang w:eastAsia="x-none"/>
        </w:rPr>
      </w:pPr>
    </w:p>
    <w:p w14:paraId="371D6022" w14:textId="77777777" w:rsidR="00FA1111" w:rsidRDefault="00E32790">
      <w:pPr>
        <w:pStyle w:val="Header"/>
        <w:ind w:right="-29"/>
        <w:jc w:val="both"/>
        <w:rPr>
          <w:rFonts w:ascii="Calibri" w:hAnsi="Calibri"/>
          <w:b/>
          <w:u w:val="single"/>
          <w:lang w:val="en-US"/>
        </w:rPr>
      </w:pPr>
      <w:r>
        <w:rPr>
          <w:rFonts w:ascii="Calibri" w:hAnsi="Calibri"/>
          <w:b/>
          <w:u w:val="single"/>
        </w:rPr>
        <w:t>Description</w:t>
      </w:r>
    </w:p>
    <w:p w14:paraId="7CFDC35A" w14:textId="77777777" w:rsidR="00FA1111" w:rsidRDefault="00FA1111">
      <w:pPr>
        <w:rPr>
          <w:lang w:eastAsia="x-none"/>
        </w:rPr>
      </w:pPr>
    </w:p>
    <w:p w14:paraId="2E3C4D15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DB Trader MVS is a back-office system that provides straight through processing and real time</w:t>
      </w:r>
    </w:p>
    <w:p w14:paraId="5A65DBFE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securities settlements. DB trader is a matrix and tables driven by users that gives the system</w:t>
      </w:r>
    </w:p>
    <w:p w14:paraId="10B5966A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lastRenderedPageBreak/>
        <w:t>the necessary flexibility to run under different entities/locations. The architecture of DB</w:t>
      </w:r>
    </w:p>
    <w:p w14:paraId="21580CA5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trader MVS provides a high degree of automation and enables the integration of security</w:t>
      </w:r>
    </w:p>
    <w:p w14:paraId="49E9C8E4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transaction processing including interests, dividends &amp; corporate actions. DB trader MVS is</w:t>
      </w:r>
    </w:p>
    <w:p w14:paraId="28CCC073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entity related and currently implemented on two databases for five different entities</w:t>
      </w:r>
    </w:p>
    <w:p w14:paraId="51FFCBA6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(Germany, Italy, Russia, Poland &amp; France). The used code for the implementations is same for</w:t>
      </w:r>
    </w:p>
    <w:p w14:paraId="5D349145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all entities and databases. This guarantees the availability of all DB trader functionalities for</w:t>
      </w:r>
    </w:p>
    <w:p w14:paraId="44B5E878" w14:textId="77777777" w:rsidR="00FA1111" w:rsidRDefault="00E32790">
      <w:pPr>
        <w:rPr>
          <w:sz w:val="22"/>
          <w:szCs w:val="22"/>
          <w:lang w:val="en-US" w:eastAsia="x-none"/>
        </w:rPr>
      </w:pPr>
      <w:r>
        <w:rPr>
          <w:sz w:val="22"/>
          <w:szCs w:val="22"/>
          <w:lang w:val="en-US" w:eastAsia="x-none"/>
        </w:rPr>
        <w:t>overall entities and reduces the effort for system maintenance. The daily processing volume is</w:t>
      </w:r>
    </w:p>
    <w:p w14:paraId="11A42CB9" w14:textId="77777777" w:rsidR="00FA1111" w:rsidRDefault="00E32790">
      <w:pPr>
        <w:rPr>
          <w:sz w:val="22"/>
          <w:szCs w:val="22"/>
          <w:lang w:eastAsia="x-none"/>
        </w:rPr>
      </w:pPr>
      <w:r>
        <w:rPr>
          <w:sz w:val="22"/>
          <w:szCs w:val="22"/>
          <w:lang w:val="en-US" w:eastAsia="x-none"/>
        </w:rPr>
        <w:t>approximately 110,000 transactions with clearing volume of 110 billion DM.</w:t>
      </w:r>
    </w:p>
    <w:p w14:paraId="6254629D" w14:textId="77777777" w:rsidR="00FA1111" w:rsidRDefault="00FA1111">
      <w:pPr>
        <w:rPr>
          <w:lang w:eastAsia="x-none"/>
        </w:rPr>
      </w:pPr>
    </w:p>
    <w:p w14:paraId="5A57FDB8" w14:textId="77777777" w:rsidR="00FA1111" w:rsidRDefault="00E32790">
      <w:pPr>
        <w:pStyle w:val="Header"/>
        <w:ind w:right="-29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Roles Played :</w:t>
      </w:r>
    </w:p>
    <w:p w14:paraId="7CAD7021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lang w:val="en-US" w:eastAsia="en-US"/>
        </w:rPr>
        <w:t>Involved in translating IT requirements into detailed solutions, providing cost and effort estimates for the solutions identified, and documenting the solutions for use by development</w:t>
      </w:r>
      <w:r>
        <w:rPr>
          <w:sz w:val="22"/>
          <w:szCs w:val="22"/>
        </w:rPr>
        <w:t xml:space="preserve"> teams. </w:t>
      </w:r>
    </w:p>
    <w:p w14:paraId="24B39E99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preparing Functional, Technical, Program Specification and Test plan documents.</w:t>
      </w:r>
    </w:p>
    <w:p w14:paraId="19D809C2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executing testing which includes UIT &amp; UAT .</w:t>
      </w:r>
    </w:p>
    <w:p w14:paraId="0FFB1778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development and enhancement of mainframe modules.</w:t>
      </w:r>
    </w:p>
    <w:p w14:paraId="2EC00EB7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Involved in Implementation and Post Implementation support; troubleshooting failures.</w:t>
      </w:r>
    </w:p>
    <w:p w14:paraId="19015E32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Setting up the development &amp; production on-line regions. </w:t>
      </w:r>
    </w:p>
    <w:p w14:paraId="6487643A" w14:textId="77777777" w:rsidR="00FA1111" w:rsidRDefault="00E32790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Conducted knowledge sharing sessions.</w:t>
      </w:r>
    </w:p>
    <w:p w14:paraId="391CEA86" w14:textId="77777777" w:rsidR="00FA1111" w:rsidRDefault="00FA1111">
      <w:pPr>
        <w:rPr>
          <w:lang w:eastAsia="x-none"/>
        </w:rPr>
      </w:pPr>
    </w:p>
    <w:p w14:paraId="255DEE46" w14:textId="77777777" w:rsidR="00FA1111" w:rsidRDefault="00FA1111"/>
    <w:p w14:paraId="1F8AB3DF" w14:textId="77777777" w:rsidR="00FA1111" w:rsidRDefault="00E32790">
      <w:pPr>
        <w:rPr>
          <w:b/>
          <w:sz w:val="22"/>
          <w:szCs w:val="22"/>
        </w:rPr>
      </w:pPr>
      <w:r>
        <w:rPr>
          <w:b/>
          <w:sz w:val="22"/>
          <w:szCs w:val="22"/>
        </w:rPr>
        <w:t>Employer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:  </w:t>
      </w:r>
      <w:r>
        <w:rPr>
          <w:sz w:val="22"/>
          <w:szCs w:val="22"/>
        </w:rPr>
        <w:t>HSBC Software Development Private Limited.-Hyderabad</w:t>
      </w:r>
    </w:p>
    <w:p w14:paraId="27232D95" w14:textId="77777777" w:rsidR="00FA1111" w:rsidRDefault="00E32790">
      <w:pPr>
        <w:pStyle w:val="Header"/>
        <w:ind w:right="-29"/>
        <w:rPr>
          <w:b/>
          <w:bCs/>
          <w:color w:val="000000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Application </w:t>
      </w:r>
      <w:r>
        <w:rPr>
          <w:b/>
          <w:sz w:val="22"/>
          <w:szCs w:val="22"/>
          <w:lang w:val="en-US"/>
        </w:rPr>
        <w:t>N</w:t>
      </w:r>
      <w:r>
        <w:rPr>
          <w:b/>
          <w:sz w:val="22"/>
          <w:szCs w:val="22"/>
        </w:rPr>
        <w:t>ame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Finance Transformation Platform</w:t>
      </w:r>
      <w:r>
        <w:rPr>
          <w:color w:val="000000"/>
          <w:sz w:val="22"/>
          <w:szCs w:val="22"/>
          <w:lang w:val="en-US"/>
        </w:rPr>
        <w:t xml:space="preserve"> </w:t>
      </w:r>
    </w:p>
    <w:p w14:paraId="0B98701E" w14:textId="77777777" w:rsidR="00FA1111" w:rsidRDefault="00E32790">
      <w:pPr>
        <w:pStyle w:val="Header"/>
        <w:tabs>
          <w:tab w:val="left" w:pos="2268"/>
          <w:tab w:val="left" w:pos="2977"/>
        </w:tabs>
        <w:ind w:right="-29"/>
        <w:rPr>
          <w:sz w:val="22"/>
          <w:szCs w:val="22"/>
          <w:lang w:val="en-US"/>
        </w:rPr>
      </w:pPr>
      <w:r>
        <w:rPr>
          <w:b/>
          <w:sz w:val="22"/>
          <w:szCs w:val="22"/>
        </w:rPr>
        <w:t>Client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UK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HSBC Bank</w:t>
      </w:r>
    </w:p>
    <w:p w14:paraId="7211F135" w14:textId="77777777" w:rsidR="00FA1111" w:rsidRDefault="00E32790">
      <w:pPr>
        <w:pStyle w:val="Header"/>
        <w:tabs>
          <w:tab w:val="left" w:pos="2268"/>
          <w:tab w:val="left" w:pos="2977"/>
        </w:tabs>
        <w:ind w:right="-29"/>
        <w:rPr>
          <w:sz w:val="22"/>
          <w:szCs w:val="22"/>
        </w:rPr>
      </w:pPr>
      <w:r>
        <w:rPr>
          <w:b/>
          <w:sz w:val="22"/>
          <w:szCs w:val="22"/>
        </w:rPr>
        <w:t xml:space="preserve">Technology </w:t>
      </w:r>
      <w:r>
        <w:rPr>
          <w:b/>
          <w:sz w:val="22"/>
          <w:szCs w:val="22"/>
          <w:lang w:val="en-US"/>
        </w:rPr>
        <w:t>&amp;</w:t>
      </w:r>
      <w:r>
        <w:rPr>
          <w:b/>
          <w:sz w:val="22"/>
          <w:szCs w:val="22"/>
        </w:rPr>
        <w:t xml:space="preserve"> Tools     </w:t>
      </w:r>
      <w:r>
        <w:rPr>
          <w:b/>
          <w:sz w:val="22"/>
          <w:szCs w:val="22"/>
          <w:lang w:val="en-US"/>
        </w:rPr>
        <w:t xml:space="preserve">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OS 390/MVS, COBOL, JCL, DB2, IBM RDz</w:t>
      </w:r>
    </w:p>
    <w:p w14:paraId="355F74F1" w14:textId="77777777" w:rsidR="00FA1111" w:rsidRDefault="00FA1111">
      <w:pPr>
        <w:pStyle w:val="Header"/>
        <w:ind w:right="-29"/>
        <w:jc w:val="both"/>
        <w:rPr>
          <w:rFonts w:ascii="Calibri" w:hAnsi="Calibri"/>
          <w:b/>
          <w:u w:val="single"/>
        </w:rPr>
      </w:pPr>
    </w:p>
    <w:p w14:paraId="2A16109A" w14:textId="77777777" w:rsidR="00FA1111" w:rsidRDefault="00E32790">
      <w:pPr>
        <w:pStyle w:val="Header"/>
        <w:ind w:right="-29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Description</w:t>
      </w:r>
    </w:p>
    <w:p w14:paraId="2B87AFA0" w14:textId="77777777" w:rsidR="00FA1111" w:rsidRDefault="00E32790">
      <w:pPr>
        <w:pStyle w:val="Header"/>
        <w:ind w:right="-29"/>
        <w:rPr>
          <w:sz w:val="20"/>
          <w:szCs w:val="20"/>
          <w:lang w:bidi="en-US"/>
        </w:rPr>
      </w:pPr>
      <w:r>
        <w:rPr>
          <w:sz w:val="22"/>
        </w:rPr>
        <w:t>The Customer Data Management (CDM) delivers a suite of IT services around a master involved party database. It is designed to be the master data source for customer and other involved parties such as guarantors or beneficiaries. It is a source which provides single customer view across different business lines and delivery channels. It also provides a service which can post a message to remote systems in real-time to inform them of any changes to the data.</w:t>
      </w:r>
      <w:r>
        <w:rPr>
          <w:sz w:val="20"/>
          <w:szCs w:val="20"/>
          <w:lang w:bidi="en-US"/>
        </w:rPr>
        <w:t xml:space="preserve"> </w:t>
      </w:r>
    </w:p>
    <w:p w14:paraId="0F695223" w14:textId="77777777" w:rsidR="00FA1111" w:rsidRDefault="00FA1111">
      <w:pPr>
        <w:pStyle w:val="Header"/>
        <w:ind w:right="-29"/>
        <w:jc w:val="both"/>
        <w:rPr>
          <w:rFonts w:ascii="Calibri" w:hAnsi="Calibri" w:cs="Arial"/>
          <w:sz w:val="20"/>
          <w:szCs w:val="20"/>
          <w:lang w:bidi="en-US"/>
        </w:rPr>
      </w:pPr>
    </w:p>
    <w:p w14:paraId="5680C75B" w14:textId="77777777" w:rsidR="00FA1111" w:rsidRDefault="00E32790">
      <w:pPr>
        <w:pStyle w:val="Header"/>
        <w:ind w:right="-29"/>
        <w:jc w:val="both"/>
        <w:rPr>
          <w:rFonts w:ascii="Calibri" w:hAnsi="Calibri" w:cs="Arial"/>
          <w:b/>
          <w:szCs w:val="20"/>
          <w:u w:val="single"/>
          <w:lang w:bidi="en-US"/>
        </w:rPr>
      </w:pPr>
      <w:r>
        <w:rPr>
          <w:rFonts w:ascii="Calibri" w:hAnsi="Calibri" w:cs="Arial"/>
          <w:b/>
          <w:szCs w:val="20"/>
          <w:u w:val="single"/>
          <w:lang w:bidi="en-US"/>
        </w:rPr>
        <w:t>Major Projects</w:t>
      </w:r>
    </w:p>
    <w:p w14:paraId="256CC234" w14:textId="77777777" w:rsidR="00FA1111" w:rsidRDefault="00E32790">
      <w:pPr>
        <w:pStyle w:val="Header"/>
        <w:numPr>
          <w:ilvl w:val="0"/>
          <w:numId w:val="4"/>
        </w:numPr>
        <w:tabs>
          <w:tab w:val="clear" w:pos="4513"/>
          <w:tab w:val="center" w:pos="567"/>
        </w:tabs>
        <w:ind w:right="-29"/>
        <w:jc w:val="both"/>
        <w:rPr>
          <w:b/>
          <w:szCs w:val="20"/>
          <w:lang w:bidi="en-US"/>
        </w:rPr>
      </w:pPr>
      <w:r>
        <w:rPr>
          <w:sz w:val="22"/>
        </w:rPr>
        <w:t>Foreign Account Tax Compliance Act (FATCA)</w:t>
      </w:r>
    </w:p>
    <w:p w14:paraId="58631E0E" w14:textId="77777777" w:rsidR="00FA1111" w:rsidRDefault="00E32790">
      <w:pPr>
        <w:pStyle w:val="Header"/>
        <w:numPr>
          <w:ilvl w:val="0"/>
          <w:numId w:val="4"/>
        </w:numPr>
        <w:tabs>
          <w:tab w:val="left" w:pos="567"/>
        </w:tabs>
        <w:ind w:right="-29"/>
        <w:jc w:val="both"/>
        <w:rPr>
          <w:sz w:val="22"/>
        </w:rPr>
      </w:pPr>
      <w:r>
        <w:rPr>
          <w:sz w:val="22"/>
        </w:rPr>
        <w:t>UK Financial Services Compensation Scheme (FSCS)</w:t>
      </w:r>
    </w:p>
    <w:p w14:paraId="6D84DEC4" w14:textId="77777777" w:rsidR="00FA1111" w:rsidRDefault="00E32790">
      <w:pPr>
        <w:pStyle w:val="Header"/>
        <w:numPr>
          <w:ilvl w:val="0"/>
          <w:numId w:val="4"/>
        </w:numPr>
        <w:tabs>
          <w:tab w:val="left" w:pos="567"/>
        </w:tabs>
        <w:ind w:right="-29"/>
        <w:jc w:val="both"/>
        <w:rPr>
          <w:sz w:val="22"/>
        </w:rPr>
      </w:pPr>
      <w:r>
        <w:rPr>
          <w:sz w:val="22"/>
        </w:rPr>
        <w:t>Anti-Money Laundering (AML)</w:t>
      </w:r>
    </w:p>
    <w:p w14:paraId="1D6303AF" w14:textId="77777777" w:rsidR="00FA1111" w:rsidRDefault="00E32790">
      <w:pPr>
        <w:pStyle w:val="Header"/>
        <w:numPr>
          <w:ilvl w:val="0"/>
          <w:numId w:val="4"/>
        </w:numPr>
        <w:tabs>
          <w:tab w:val="left" w:pos="567"/>
        </w:tabs>
        <w:ind w:right="-29"/>
        <w:jc w:val="both"/>
        <w:rPr>
          <w:sz w:val="22"/>
        </w:rPr>
      </w:pPr>
      <w:r>
        <w:rPr>
          <w:sz w:val="22"/>
        </w:rPr>
        <w:t>Know Your Customer(KYC)</w:t>
      </w:r>
    </w:p>
    <w:p w14:paraId="7A911B6D" w14:textId="77777777" w:rsidR="00FA1111" w:rsidRDefault="00E32790">
      <w:pPr>
        <w:pStyle w:val="Header"/>
        <w:numPr>
          <w:ilvl w:val="0"/>
          <w:numId w:val="4"/>
        </w:numPr>
        <w:tabs>
          <w:tab w:val="left" w:pos="567"/>
        </w:tabs>
        <w:ind w:right="-29"/>
        <w:jc w:val="both"/>
        <w:rPr>
          <w:sz w:val="22"/>
        </w:rPr>
      </w:pPr>
      <w:r>
        <w:rPr>
          <w:sz w:val="22"/>
        </w:rPr>
        <w:t>Customer De-duplication and Merging</w:t>
      </w:r>
    </w:p>
    <w:p w14:paraId="2BD6100C" w14:textId="77777777" w:rsidR="00FA1111" w:rsidRDefault="00E32790">
      <w:pPr>
        <w:pStyle w:val="Header"/>
        <w:numPr>
          <w:ilvl w:val="0"/>
          <w:numId w:val="4"/>
        </w:numPr>
        <w:tabs>
          <w:tab w:val="left" w:pos="567"/>
        </w:tabs>
        <w:ind w:right="-29"/>
        <w:jc w:val="both"/>
        <w:rPr>
          <w:sz w:val="22"/>
        </w:rPr>
      </w:pPr>
      <w:r>
        <w:rPr>
          <w:sz w:val="22"/>
        </w:rPr>
        <w:t>Finance Transformation Platform (FTP)</w:t>
      </w:r>
    </w:p>
    <w:p w14:paraId="4E32621E" w14:textId="77777777" w:rsidR="00FA1111" w:rsidRDefault="00FA1111">
      <w:pPr>
        <w:pStyle w:val="Header"/>
        <w:ind w:right="-29"/>
        <w:jc w:val="both"/>
        <w:rPr>
          <w:rFonts w:ascii="Calibri" w:hAnsi="Calibri"/>
          <w:b/>
          <w:lang w:val="en-US"/>
        </w:rPr>
      </w:pPr>
    </w:p>
    <w:p w14:paraId="7DEAF6DB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rFonts w:ascii="Calibri" w:hAnsi="Calibri"/>
          <w:b/>
          <w:bCs/>
          <w:sz w:val="22"/>
          <w:szCs w:val="20"/>
          <w:u w:val="single"/>
        </w:rPr>
      </w:pPr>
      <w:r>
        <w:rPr>
          <w:rFonts w:ascii="Calibri" w:hAnsi="Calibri"/>
          <w:b/>
          <w:bCs/>
          <w:sz w:val="22"/>
          <w:szCs w:val="20"/>
          <w:u w:val="single"/>
        </w:rPr>
        <w:t>Project 1 : FOREIGN ACCOUNTS TAX COMPLIANCE ACT (FATCA)</w:t>
      </w:r>
    </w:p>
    <w:p w14:paraId="3A0D2738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>Client : HSBC  – UK</w:t>
      </w:r>
    </w:p>
    <w:p w14:paraId="25A66C55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Foreign Account Tax Compliance Act (FATCA) became law in March 2010. </w:t>
      </w:r>
    </w:p>
    <w:p w14:paraId="7C96BC50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>FATCA targets tax non-compliance by US taxpayers with foreign accounts</w:t>
      </w:r>
    </w:p>
    <w:p w14:paraId="3DC3352F" w14:textId="77777777" w:rsidR="00FA1111" w:rsidRDefault="00FA1111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</w:p>
    <w:p w14:paraId="04DC2A1D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FATCA focuses on reporting – </w:t>
      </w:r>
    </w:p>
    <w:p w14:paraId="0D484C71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>- By US taxpayers about certain foreign financial accounts and offshore assets</w:t>
      </w:r>
    </w:p>
    <w:p w14:paraId="29A93D7B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- By foreign financial institutions about financial accounts held by US taxpayers or foreign </w:t>
      </w:r>
    </w:p>
    <w:p w14:paraId="5CA85486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>entities in which US taxpayers hold a substantial ownership interest</w:t>
      </w:r>
    </w:p>
    <w:p w14:paraId="40BF8567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The objective of FATCA is the reporting of foreign financial assets; withholding is the cost of not </w:t>
      </w:r>
    </w:p>
    <w:p w14:paraId="0E6D8967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reporting. </w:t>
      </w:r>
    </w:p>
    <w:p w14:paraId="1B3CE4C0" w14:textId="77777777" w:rsidR="00FA1111" w:rsidRDefault="00FA1111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  <w:lang w:val="en-US"/>
        </w:rPr>
      </w:pPr>
    </w:p>
    <w:p w14:paraId="0A20534C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The HSBC internal applications that were involved to take care of this compliance act were </w:t>
      </w:r>
    </w:p>
    <w:p w14:paraId="15285145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Demand Deposit Accounting (DDA), Externalized General Compliance (EGC) and Common </w:t>
      </w:r>
    </w:p>
    <w:p w14:paraId="46C2828E" w14:textId="77777777" w:rsidR="00FA1111" w:rsidRDefault="00E32790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bCs/>
          <w:sz w:val="22"/>
          <w:szCs w:val="20"/>
        </w:rPr>
      </w:pPr>
      <w:r>
        <w:rPr>
          <w:bCs/>
          <w:sz w:val="22"/>
          <w:szCs w:val="20"/>
        </w:rPr>
        <w:t>Customer Instructions (CCI).</w:t>
      </w:r>
    </w:p>
    <w:p w14:paraId="2F176E29" w14:textId="77777777" w:rsidR="00FA1111" w:rsidRDefault="00FA1111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rFonts w:ascii="Calibri" w:hAnsi="Calibri"/>
          <w:bCs/>
          <w:sz w:val="22"/>
          <w:szCs w:val="20"/>
          <w:lang w:val="en-US"/>
        </w:rPr>
      </w:pPr>
    </w:p>
    <w:p w14:paraId="30E9D5F0" w14:textId="77777777" w:rsidR="00FA1111" w:rsidRDefault="00FA1111">
      <w:pPr>
        <w:pStyle w:val="Header"/>
        <w:tabs>
          <w:tab w:val="center" w:pos="709"/>
          <w:tab w:val="left" w:pos="1701"/>
          <w:tab w:val="left" w:pos="2552"/>
        </w:tabs>
        <w:ind w:right="-29"/>
        <w:rPr>
          <w:rFonts w:ascii="Calibri" w:hAnsi="Calibri"/>
          <w:bCs/>
          <w:sz w:val="22"/>
          <w:szCs w:val="20"/>
          <w:lang w:val="en-US"/>
        </w:rPr>
      </w:pPr>
    </w:p>
    <w:p w14:paraId="15C13720" w14:textId="77777777" w:rsidR="00FA1111" w:rsidRDefault="00E32790">
      <w:pPr>
        <w:pStyle w:val="ListStyle"/>
        <w:pBdr>
          <w:bottom w:val="none" w:sz="0" w:space="0" w:color="808080"/>
        </w:pBdr>
        <w:tabs>
          <w:tab w:val="num" w:pos="360"/>
        </w:tabs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Calibri" w:hAnsi="Calibri"/>
          <w:bCs/>
          <w:sz w:val="22"/>
        </w:rPr>
        <w:br/>
      </w:r>
    </w:p>
    <w:p w14:paraId="306C7F6C" w14:textId="77777777" w:rsidR="00FA1111" w:rsidRDefault="00FA1111">
      <w:pPr>
        <w:pStyle w:val="ListStyle"/>
        <w:pBdr>
          <w:bottom w:val="none" w:sz="0" w:space="0" w:color="808080"/>
        </w:pBdr>
        <w:tabs>
          <w:tab w:val="num" w:pos="360"/>
        </w:tabs>
        <w:ind w:left="360"/>
        <w:jc w:val="both"/>
        <w:rPr>
          <w:rFonts w:ascii="Verdana" w:eastAsia="Verdana" w:hAnsi="Verdana" w:cs="Verdana"/>
          <w:b/>
          <w:color w:val="000000"/>
        </w:rPr>
      </w:pPr>
    </w:p>
    <w:p w14:paraId="4D611FEF" w14:textId="77777777" w:rsidR="00FA1111" w:rsidRDefault="00FA1111">
      <w:pPr>
        <w:pStyle w:val="ListStyle"/>
        <w:pBdr>
          <w:bottom w:val="none" w:sz="0" w:space="0" w:color="808080"/>
        </w:pBdr>
        <w:ind w:left="1080"/>
        <w:jc w:val="both"/>
        <w:rPr>
          <w:rFonts w:ascii="Verdana" w:eastAsia="Verdana" w:hAnsi="Verdana" w:cs="Verdana"/>
          <w:color w:val="000000"/>
        </w:rPr>
      </w:pPr>
    </w:p>
    <w:p w14:paraId="2212FB87" w14:textId="77777777" w:rsidR="00FA1111" w:rsidRDefault="00E32790">
      <w:pPr>
        <w:pStyle w:val="Header"/>
        <w:ind w:right="-29"/>
        <w:rPr>
          <w:rFonts w:ascii="Calibri" w:hAnsi="Calibri"/>
          <w:b/>
          <w:bCs/>
          <w:sz w:val="22"/>
          <w:szCs w:val="20"/>
          <w:u w:val="single"/>
          <w:lang w:val="en-US"/>
        </w:rPr>
      </w:pPr>
      <w:r>
        <w:rPr>
          <w:rFonts w:ascii="Calibri" w:hAnsi="Calibri"/>
          <w:b/>
          <w:bCs/>
          <w:sz w:val="22"/>
          <w:szCs w:val="20"/>
          <w:u w:val="single"/>
        </w:rPr>
        <w:t>ACHIEVEMENTS &amp; OTHER ACTIVITIES</w:t>
      </w:r>
    </w:p>
    <w:p w14:paraId="4D482C81" w14:textId="77777777" w:rsidR="00FA1111" w:rsidRDefault="00FA1111">
      <w:pPr>
        <w:rPr>
          <w:lang w:eastAsia="x-none"/>
        </w:rPr>
      </w:pPr>
    </w:p>
    <w:p w14:paraId="64E02F1F" w14:textId="77777777" w:rsidR="00FA1111" w:rsidRDefault="00E32790">
      <w:pPr>
        <w:pStyle w:val="Header"/>
        <w:numPr>
          <w:ilvl w:val="0"/>
          <w:numId w:val="10"/>
        </w:numPr>
        <w:tabs>
          <w:tab w:val="clear" w:pos="4513"/>
          <w:tab w:val="center" w:pos="709"/>
        </w:tabs>
        <w:ind w:right="-29"/>
        <w:rPr>
          <w:bCs/>
          <w:sz w:val="22"/>
          <w:szCs w:val="20"/>
          <w:lang w:val="en-US"/>
        </w:rPr>
      </w:pPr>
      <w:r>
        <w:rPr>
          <w:bCs/>
          <w:sz w:val="22"/>
          <w:szCs w:val="20"/>
        </w:rPr>
        <w:t>Received spot award – BEST TEAM PLAYER from the Higher management @ HCL</w:t>
      </w:r>
    </w:p>
    <w:p w14:paraId="077CA570" w14:textId="77777777" w:rsidR="00FA1111" w:rsidRDefault="00E32790">
      <w:pPr>
        <w:pStyle w:val="Header"/>
        <w:numPr>
          <w:ilvl w:val="0"/>
          <w:numId w:val="10"/>
        </w:numPr>
        <w:tabs>
          <w:tab w:val="clear" w:pos="4513"/>
          <w:tab w:val="center" w:pos="709"/>
        </w:tabs>
        <w:ind w:right="-29"/>
        <w:rPr>
          <w:bCs/>
          <w:sz w:val="22"/>
          <w:szCs w:val="20"/>
          <w:lang w:val="en-US"/>
        </w:rPr>
      </w:pPr>
      <w:r>
        <w:rPr>
          <w:sz w:val="22"/>
          <w:szCs w:val="22"/>
          <w:lang w:val="en-US"/>
        </w:rPr>
        <w:t>Certification on Code of Business and Conduct (COBEC) from HCL Technologies.</w:t>
      </w:r>
    </w:p>
    <w:p w14:paraId="53E35FC0" w14:textId="77777777" w:rsidR="00FA1111" w:rsidRDefault="00E32790">
      <w:pPr>
        <w:pStyle w:val="Header"/>
        <w:numPr>
          <w:ilvl w:val="0"/>
          <w:numId w:val="10"/>
        </w:numPr>
        <w:tabs>
          <w:tab w:val="clear" w:pos="4513"/>
          <w:tab w:val="center" w:pos="709"/>
        </w:tabs>
        <w:ind w:right="-2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Certification on Anti-Bribery and Anti-corruption (ABAC) from HCL Technologies.</w:t>
      </w:r>
    </w:p>
    <w:p w14:paraId="54DD2D14" w14:textId="77777777" w:rsidR="00FA1111" w:rsidRDefault="00E32790">
      <w:pPr>
        <w:pStyle w:val="Header"/>
        <w:numPr>
          <w:ilvl w:val="0"/>
          <w:numId w:val="10"/>
        </w:numPr>
        <w:tabs>
          <w:tab w:val="clear" w:pos="4513"/>
          <w:tab w:val="center" w:pos="709"/>
        </w:tabs>
        <w:ind w:right="-29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Received various award and appreciation for </w:t>
      </w:r>
      <w:r>
        <w:rPr>
          <w:bCs/>
          <w:sz w:val="22"/>
          <w:szCs w:val="22"/>
          <w:lang w:val="en-US"/>
        </w:rPr>
        <w:t>excellence in the work.</w:t>
      </w:r>
    </w:p>
    <w:p w14:paraId="44173A6C" w14:textId="77777777" w:rsidR="00FA1111" w:rsidRDefault="00E32790">
      <w:pPr>
        <w:pStyle w:val="Header"/>
        <w:tabs>
          <w:tab w:val="clear" w:pos="4513"/>
          <w:tab w:val="center" w:pos="709"/>
        </w:tabs>
        <w:ind w:left="360" w:right="-29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</w:t>
      </w:r>
    </w:p>
    <w:p w14:paraId="4A291920" w14:textId="77777777" w:rsidR="00FA1111" w:rsidRDefault="00FA1111">
      <w:pPr>
        <w:pStyle w:val="Header"/>
        <w:tabs>
          <w:tab w:val="clear" w:pos="4513"/>
          <w:tab w:val="center" w:pos="709"/>
        </w:tabs>
        <w:ind w:right="-29"/>
        <w:rPr>
          <w:rFonts w:ascii="Calibri" w:hAnsi="Calibri"/>
          <w:bCs/>
          <w:sz w:val="22"/>
          <w:szCs w:val="22"/>
        </w:rPr>
      </w:pPr>
    </w:p>
    <w:sectPr w:rsidR="00FA1111">
      <w:pgSz w:w="11909" w:h="16834" w:code="9"/>
      <w:pgMar w:top="720" w:right="569" w:bottom="13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11A6150"/>
    <w:lvl w:ilvl="0" w:tplc="1DC21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BE572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BE8C96CC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76041742">
      <w:start w:val="1"/>
      <w:numFmt w:val="decimal"/>
      <w:lvlRestart w:val="0"/>
      <w:lvlText w:val="%4."/>
      <w:lvlJc w:val="left"/>
      <w:pPr>
        <w:ind w:left="2880" w:hanging="360"/>
      </w:pPr>
    </w:lvl>
    <w:lvl w:ilvl="4" w:tplc="A49C86F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AE02391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D1DA3532">
      <w:start w:val="1"/>
      <w:numFmt w:val="decimal"/>
      <w:lvlRestart w:val="0"/>
      <w:lvlText w:val="%7."/>
      <w:lvlJc w:val="left"/>
      <w:pPr>
        <w:ind w:left="5040" w:hanging="360"/>
      </w:pPr>
    </w:lvl>
    <w:lvl w:ilvl="7" w:tplc="4658ED5A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385435E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0066014"/>
    <w:lvl w:ilvl="0" w:tplc="7730EEB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E96DB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80AAC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B06FB2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D44936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E23100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8E23E0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2470D0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CA0BF70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E88278D0"/>
    <w:lvl w:ilvl="0" w:tplc="E46808A4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CBBC7A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CA9E9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B66BCC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4E9F92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C6780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A5702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638D8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0C177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2660C4E"/>
    <w:lvl w:ilvl="0" w:tplc="77686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F8D38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DA35BE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3039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632F5A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12CD50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D6DEE0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E00442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37A8F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44561C18"/>
    <w:lvl w:ilvl="0" w:tplc="5C26BB50">
      <w:start w:val="1"/>
      <w:numFmt w:val="decimal"/>
      <w:lvlText w:val="%1."/>
      <w:lvlJc w:val="left"/>
      <w:pPr>
        <w:ind w:left="720" w:hanging="360"/>
      </w:pPr>
    </w:lvl>
    <w:lvl w:ilvl="1" w:tplc="6750E3D6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32C2956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BCAE020">
      <w:start w:val="1"/>
      <w:numFmt w:val="decimal"/>
      <w:lvlRestart w:val="0"/>
      <w:lvlText w:val="%4."/>
      <w:lvlJc w:val="left"/>
      <w:pPr>
        <w:ind w:left="2880" w:hanging="360"/>
      </w:pPr>
    </w:lvl>
    <w:lvl w:ilvl="4" w:tplc="D4CAED1A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AC70EBFA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84369CC0">
      <w:start w:val="1"/>
      <w:numFmt w:val="decimal"/>
      <w:lvlRestart w:val="0"/>
      <w:lvlText w:val="%7."/>
      <w:lvlJc w:val="left"/>
      <w:pPr>
        <w:ind w:left="5040" w:hanging="360"/>
      </w:pPr>
    </w:lvl>
    <w:lvl w:ilvl="7" w:tplc="1E0C1AD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522B9EE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B68C4F6"/>
    <w:lvl w:ilvl="0" w:tplc="13A88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0904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A4E2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0C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CC7F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F6838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A2F1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4FCB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229DD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396444E"/>
    <w:lvl w:ilvl="0" w:tplc="C946F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43D22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D3E5740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8CF4D954">
      <w:start w:val="1"/>
      <w:numFmt w:val="decimal"/>
      <w:lvlRestart w:val="0"/>
      <w:lvlText w:val="%4."/>
      <w:lvlJc w:val="left"/>
      <w:pPr>
        <w:ind w:left="2880" w:hanging="360"/>
      </w:pPr>
    </w:lvl>
    <w:lvl w:ilvl="4" w:tplc="EC2AA942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E7B46A22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3392AE70">
      <w:start w:val="1"/>
      <w:numFmt w:val="decimal"/>
      <w:lvlRestart w:val="0"/>
      <w:lvlText w:val="%7."/>
      <w:lvlJc w:val="left"/>
      <w:pPr>
        <w:ind w:left="5040" w:hanging="360"/>
      </w:pPr>
    </w:lvl>
    <w:lvl w:ilvl="7" w:tplc="84D8FC74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BC48B60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F984C0E0"/>
    <w:lvl w:ilvl="0" w:tplc="73309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CEFA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E56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983DC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EAE3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E64B7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6D4C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AF08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A43F9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89E844C"/>
    <w:lvl w:ilvl="0" w:tplc="E12A9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BAF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C65C60F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EC31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F86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E98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8CA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AE4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E75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0"/>
    <w:rsid w:val="00063D53"/>
    <w:rsid w:val="00171724"/>
    <w:rsid w:val="006F0C72"/>
    <w:rsid w:val="00E32790"/>
    <w:rsid w:val="00FA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1E14A2"/>
  <w15:chartTrackingRefBased/>
  <w15:docId w15:val="{29756E69-057D-3B40-8D35-FF86E6DF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shd w:val="clear" w:color="auto" w:fill="FFCC99"/>
      <w:outlineLvl w:val="0"/>
    </w:pPr>
    <w:rPr>
      <w:rFonts w:ascii="Verdana" w:hAnsi="Verdana"/>
      <w:b/>
      <w:bCs/>
      <w:caps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Bullet">
    <w:name w:val="Head1Bullet"/>
    <w:pPr>
      <w:numPr>
        <w:numId w:val="1"/>
      </w:numPr>
    </w:pPr>
    <w:rPr>
      <w:rFonts w:ascii="Verdana" w:hAnsi="Verdana"/>
      <w:sz w:val="18"/>
      <w:lang w:eastAsia="en-US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IN" w:eastAsia="en-US"/>
    </w:rPr>
  </w:style>
  <w:style w:type="paragraph" w:customStyle="1" w:styleId="ListStyle">
    <w:name w:val="ListStyle"/>
    <w:rPr>
      <w:lang w:eastAsia="en-US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lang w:val="x-none" w:eastAsia="x-none"/>
    </w:rPr>
  </w:style>
  <w:style w:type="paragraph" w:styleId="Title">
    <w:name w:val="Title"/>
    <w:basedOn w:val="Normal"/>
    <w:qFormat/>
    <w:pPr>
      <w:pBdr>
        <w:bottom w:val="single" w:sz="4" w:space="1" w:color="auto"/>
      </w:pBdr>
      <w:jc w:val="center"/>
    </w:pPr>
    <w:rPr>
      <w:rFonts w:ascii="Arial Black" w:hAnsi="Arial Black"/>
      <w:sz w:val="32"/>
      <w:szCs w:val="32"/>
    </w:rPr>
  </w:style>
  <w:style w:type="paragraph" w:styleId="BodyText">
    <w:name w:val="Body Text"/>
    <w:basedOn w:val="Normal"/>
    <w:pPr>
      <w:jc w:val="both"/>
    </w:pPr>
    <w:rPr>
      <w:rFonts w:ascii="Verdana" w:hAnsi="Verdana" w:cs="Arial"/>
      <w:sz w:val="20"/>
      <w:szCs w:val="20"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nsmall">
    <w:name w:val="gensmall"/>
    <w:rPr>
      <w:rFonts w:ascii="Times New Roman" w:eastAsia="Times New Roman" w:hAnsi="Times New Roman" w:cs="Times New Roman"/>
    </w:rPr>
  </w:style>
  <w:style w:type="character" w:styleId="BookTitle">
    <w:name w:val="Book Title"/>
    <w:qFormat/>
    <w:rPr>
      <w:rFonts w:ascii="Times New Roman" w:eastAsia="Times New Roman" w:hAnsi="Times New Roman" w:cs="Times New Roman"/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Shweta Ravindra Menon</vt:lpstr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Shweta Ravindra Menon</dc:title>
  <dc:subject/>
  <dc:creator>Shweta</dc:creator>
  <cp:keywords/>
  <cp:lastModifiedBy>Sebastian, Nirmalkumar</cp:lastModifiedBy>
  <cp:revision>5</cp:revision>
  <dcterms:created xsi:type="dcterms:W3CDTF">2019-08-05T08:23:00Z</dcterms:created>
  <dcterms:modified xsi:type="dcterms:W3CDTF">2020-12-24T06:34:00Z</dcterms:modified>
</cp:coreProperties>
</file>