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043"/>
          <w:sz w:val="44"/>
        </w:rPr>
        <w:t>MetaML RedCollar Target Platform &amp; AI Evolution</w:t>
      </w:r>
    </w:p>
    <w:p>
      <w:pPr>
        <w:spacing w:after="280"/>
      </w:pPr>
      <w:r>
        <w:rPr>
          <w:rFonts w:ascii="Arial" w:hAnsi="Arial"/>
          <w:color w:val="505A69"/>
          <w:sz w:val="26"/>
        </w:rPr>
        <w:t>End-to-End Implementation, Build, Runtime, and Demonstration Guide for RedCollar Manufacturing</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Borders>
              <w:left w:val="single" w:sz="24" w:space="0" w:color="0056B3"/>
              <w:top w:val="none"/>
              <w:right w:val="none"/>
              <w:bottom w:val="none"/>
            </w:tcBorders>
          </w:tcPr>
          <w:p>
            <w:pPr>
              <w:spacing w:before="40" w:after="40"/>
            </w:pPr>
            <w:r>
              <w:rPr>
                <w:b/>
                <w:color w:val="0056B3"/>
                <w:sz w:val="20"/>
              </w:rPr>
              <w:t xml:space="preserve">[LAPTOP AGNOSTIC] </w:t>
            </w:r>
            <w:r>
              <w:rPr>
                <w:color w:val="212529"/>
                <w:sz w:val="20"/>
              </w:rPr>
              <w:t>All commands in this guide are laptop-agnostic and designed to execute directly from repository roots without hardcoded machine paths or usernames.</w:t>
            </w:r>
          </w:p>
        </w:tc>
      </w:tr>
    </w:tbl>
    <w:p>
      <w:pPr>
        <w:spacing w:after="80"/>
      </w:pPr>
    </w:p>
    <w:p>
      <w:pPr>
        <w:pStyle w:val="Heading1"/>
        <w:spacing w:before="240" w:after="120"/>
      </w:pPr>
      <w:r>
        <w:t>1. Architectural Overview &amp; RedCollar System Flow</w:t>
      </w:r>
    </w:p>
    <w:p>
      <w:pPr>
        <w:spacing w:after="160"/>
      </w:pPr>
      <w:r>
        <w:t>MetaML automates the generation of dual-engine Camunda 7 + Spring Boot Target Platforms from BPMN process models. For the canonical RedCollar garment manufacturing process, the generated Target Platform hosts both an outward-facing Proxy process and an internal digital Twin process kept in lockstep synchronization over RabbitMQ AMQP exchanges and 9 intermediate catch signals. RedCollar Twin activities (such as Checking, VerifyOrder, Sampling, and Shipping) can be dynamically evolved by integrating specialized AI agent components recommended via Ollama (gpt-oss:20b or qwen2.5:3b), validated against the authoritative Node Manager catalog, and governed by policy.</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pPr>
              <w:spacing w:before="40" w:after="40"/>
            </w:pPr>
            <w:r>
              <w:rPr>
                <w:rFonts w:ascii="Consolas" w:hAnsi="Consolas"/>
                <w:color w:val="282C34"/>
                <w:sz w:val="19"/>
              </w:rPr>
              <w:t>REDCOLLAR BPMN (Manuf-camunda.bpmn + Twin-camunda.bpmn)</w:t>
              <w:br/>
              <w:t xml:space="preserve">                    │</w:t>
              <w:br/>
              <w:t xml:space="preserve">                    ▼</w:t>
              <w:br/>
              <w:t xml:space="preserve">         METAML WORKBENCH GENERATOR</w:t>
              <w:br/>
              <w:t xml:space="preserve">                    │</w:t>
              <w:br/>
              <w:t xml:space="preserve">                    ▼</w:t>
              <w:br/>
              <w:t>┌───────────────────────────────────────────────────────────┐</w:t>
              <w:br/>
              <w:t>│ COMPLETED REDCOLLAR TARGET PLATFORM                       │</w:t>
              <w:br/>
              <w:t>│ generated-target-platforms/redcollar-manufacturing/       │</w:t>
              <w:br/>
              <w:t>│                                                           │</w:t>
              <w:br/>
              <w:t>│ • 12 Proxy External Workers • 11 Twin Workers + Agent     │</w:t>
              <w:br/>
              <w:t>│ • PairRegistry Correlator   • RabbitMQ AMQP Listeners     │</w:t>
              <w:br/>
              <w:t>│ • 9 Sync SignalBroadcasters • REST Status Controllers     │</w:t>
              <w:br/>
              <w:t>└───────────────────────────┬───────────────────────────────┘</w:t>
              <w:br/>
              <w:t xml:space="preserve">                            │</w:t>
              <w:br/>
              <w:t xml:space="preserve">                            ▼</w:t>
              <w:br/>
              <w:t xml:space="preserve">           REDCOLLAR TWIN ACTIVITY (e.g. Checking / VerifyOrder)</w:t>
              <w:br/>
              <w:t xml:space="preserve">                            │</w:t>
              <w:br/>
              <w:t xml:space="preserve">                            ▼</w:t>
              <w:br/>
              <w:t xml:space="preserve">              NODE MANAGER AGENT CATALOG (:8083)</w:t>
              <w:br/>
              <w:t xml:space="preserve">                            │</w:t>
              <w:br/>
              <w:t xml:space="preserve">                            ▼</w:t>
              <w:br/>
              <w:t xml:space="preserve">                 OLLAMA AI DECISION ENGINE</w:t>
              <w:br/>
              <w:t xml:space="preserve">               (gpt-oss:20b / qwen2.5:3b)</w:t>
              <w:br/>
              <w:t xml:space="preserve">                            │</w:t>
              <w:br/>
              <w:t xml:space="preserve">                            ▼</w:t>
              <w:br/>
              <w:t xml:space="preserve">                FAIL-CLOSED CATALOG VALIDATION</w:t>
              <w:br/>
              <w:t xml:space="preserve">                            │</w:t>
              <w:br/>
              <w:t xml:space="preserve">                            ▼</w:t>
              <w:br/>
              <w:t xml:space="preserve">               GOVERNANCE POLICY EVALUATION</w:t>
              <w:br/>
              <w:t xml:space="preserve">                            │</w:t>
              <w:br/>
              <w:t xml:space="preserve">                            ▼</w:t>
              <w:br/>
              <w:t xml:space="preserve">         PLUGGABLE REDCOLLAR COMPONENT DISPATCH</w:t>
              <w:br/>
              <w:t xml:space="preserve">     (ValidatorExecutor / CreditRiskAssessorExecutor)</w:t>
            </w:r>
          </w:p>
        </w:tc>
      </w:tr>
    </w:tbl>
    <w:p>
      <w:pPr>
        <w:spacing w:after="80"/>
      </w:pPr>
    </w:p>
    <w:p>
      <w:pPr>
        <w:pStyle w:val="Heading1"/>
        <w:spacing w:before="240" w:after="120"/>
      </w:pPr>
      <w:r>
        <w:t>2. Repository Structure &amp; Artifact Disambiguation</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F2043"/>
            <w:tcMar>
              <w:top w:w="80" w:type="dxa"/>
              <w:bottom w:w="80" w:type="dxa"/>
              <w:left w:w="100" w:type="dxa"/>
              <w:right w:w="100" w:type="dxa"/>
            </w:tcMar>
          </w:tcPr>
          <w:p>
            <w:pPr>
              <w:jc w:val="left"/>
            </w:pPr>
            <w:r>
              <w:rPr>
                <w:b/>
                <w:color w:val="FFFFFF"/>
                <w:sz w:val="19"/>
              </w:rPr>
              <w:t>Repository Path</w:t>
            </w:r>
          </w:p>
        </w:tc>
        <w:tc>
          <w:tcPr>
            <w:tcW w:type="dxa" w:w="1872"/>
            <w:shd w:fill="0F2043"/>
            <w:tcMar>
              <w:top w:w="80" w:type="dxa"/>
              <w:bottom w:w="80" w:type="dxa"/>
              <w:left w:w="100" w:type="dxa"/>
              <w:right w:w="100" w:type="dxa"/>
            </w:tcMar>
          </w:tcPr>
          <w:p>
            <w:pPr>
              <w:jc w:val="left"/>
            </w:pPr>
            <w:r>
              <w:rPr>
                <w:b/>
                <w:color w:val="FFFFFF"/>
                <w:sz w:val="19"/>
              </w:rPr>
              <w:t>Role / Category</w:t>
            </w:r>
          </w:p>
        </w:tc>
        <w:tc>
          <w:tcPr>
            <w:tcW w:type="dxa" w:w="4320"/>
            <w:shd w:fill="0F2043"/>
            <w:tcMar>
              <w:top w:w="80" w:type="dxa"/>
              <w:bottom w:w="80" w:type="dxa"/>
              <w:left w:w="100" w:type="dxa"/>
              <w:right w:w="100" w:type="dxa"/>
            </w:tcMar>
          </w:tcPr>
          <w:p>
            <w:pPr>
              <w:jc w:val="left"/>
            </w:pPr>
            <w:r>
              <w:rPr>
                <w:b/>
                <w:color w:val="FFFFFF"/>
                <w:sz w:val="19"/>
              </w:rPr>
              <w:t>Description</w:t>
            </w:r>
          </w:p>
        </w:tc>
      </w:tr>
      <w:tr>
        <w:tc>
          <w:tcPr>
            <w:tcW w:type="dxa" w:w="3168"/>
            <w:tcMar>
              <w:top w:w="60" w:type="dxa"/>
              <w:bottom w:w="60" w:type="dxa"/>
              <w:left w:w="100" w:type="dxa"/>
              <w:right w:w="100" w:type="dxa"/>
            </w:tcMar>
          </w:tcPr>
          <w:p>
            <w:pPr>
              <w:spacing w:before="40" w:after="40"/>
            </w:pPr>
            <w:r>
              <w:rPr>
                <w:rFonts w:ascii="Consolas" w:hAnsi="Consolas"/>
                <w:b/>
                <w:sz w:val="18"/>
              </w:rPr>
              <w:t>backend/RedCollarTP/</w:t>
            </w:r>
          </w:p>
        </w:tc>
        <w:tc>
          <w:tcPr>
            <w:tcW w:type="dxa" w:w="1872"/>
            <w:tcMar>
              <w:top w:w="60" w:type="dxa"/>
              <w:bottom w:w="60" w:type="dxa"/>
              <w:left w:w="100" w:type="dxa"/>
              <w:right w:w="100" w:type="dxa"/>
            </w:tcMar>
          </w:tcPr>
          <w:p>
            <w:pPr>
              <w:spacing w:before="40" w:after="40"/>
            </w:pPr>
            <w:r>
              <w:rPr>
                <w:sz w:val="18"/>
              </w:rPr>
              <w:t>Template Scaffold</w:t>
            </w:r>
          </w:p>
        </w:tc>
        <w:tc>
          <w:tcPr>
            <w:tcW w:type="dxa" w:w="4320"/>
            <w:tcMar>
              <w:top w:w="60" w:type="dxa"/>
              <w:bottom w:w="60" w:type="dxa"/>
              <w:left w:w="100" w:type="dxa"/>
              <w:right w:w="100" w:type="dxa"/>
            </w:tcMar>
          </w:tcPr>
          <w:p>
            <w:pPr>
              <w:spacing w:before="40" w:after="40"/>
            </w:pPr>
            <w:r>
              <w:rPr>
                <w:sz w:val="18"/>
              </w:rPr>
              <w:t>Base unpopulated Maven template (Java 17, Spring Boot 3.1.12, Camunda 7.20.0). Not a runnable target.</w:t>
            </w:r>
          </w:p>
        </w:tc>
      </w:tr>
      <w:tr>
        <w:tc>
          <w:tcPr>
            <w:tcW w:type="dxa" w:w="3168"/>
            <w:tcMar>
              <w:top w:w="60" w:type="dxa"/>
              <w:bottom w:w="60" w:type="dxa"/>
              <w:left w:w="100" w:type="dxa"/>
              <w:right w:w="100" w:type="dxa"/>
            </w:tcMar>
            <w:shd w:fill="F7F9FB"/>
          </w:tcPr>
          <w:p>
            <w:pPr>
              <w:spacing w:before="40" w:after="40"/>
            </w:pPr>
            <w:r>
              <w:rPr>
                <w:rFonts w:ascii="Consolas" w:hAnsi="Consolas"/>
                <w:b/>
                <w:sz w:val="18"/>
              </w:rPr>
              <w:t>generated-target-platforms/redcollar-manufacturing/</w:t>
            </w:r>
          </w:p>
        </w:tc>
        <w:tc>
          <w:tcPr>
            <w:tcW w:type="dxa" w:w="1872"/>
            <w:tcMar>
              <w:top w:w="60" w:type="dxa"/>
              <w:bottom w:w="60" w:type="dxa"/>
              <w:left w:w="100" w:type="dxa"/>
              <w:right w:w="100" w:type="dxa"/>
            </w:tcMar>
            <w:shd w:fill="F7F9FB"/>
          </w:tcPr>
          <w:p>
            <w:pPr>
              <w:spacing w:before="40" w:after="40"/>
            </w:pPr>
            <w:r>
              <w:rPr>
                <w:sz w:val="18"/>
              </w:rPr>
              <w:t>Canonical Generated App</w:t>
            </w:r>
          </w:p>
        </w:tc>
        <w:tc>
          <w:tcPr>
            <w:tcW w:type="dxa" w:w="4320"/>
            <w:tcMar>
              <w:top w:w="60" w:type="dxa"/>
              <w:bottom w:w="60" w:type="dxa"/>
              <w:left w:w="100" w:type="dxa"/>
              <w:right w:w="100" w:type="dxa"/>
            </w:tcMar>
            <w:shd w:fill="F7F9FB"/>
          </w:tcPr>
          <w:p>
            <w:pPr>
              <w:spacing w:before="40" w:after="40"/>
            </w:pPr>
            <w:r>
              <w:rPr>
                <w:sz w:val="18"/>
              </w:rPr>
              <w:t>Complete generated RedCollar manufacturing app produced by SpringBootProjectGenerator from Manuf + Twin BPMNs.</w:t>
            </w:r>
          </w:p>
        </w:tc>
      </w:tr>
      <w:tr>
        <w:tc>
          <w:tcPr>
            <w:tcW w:type="dxa" w:w="3168"/>
            <w:tcMar>
              <w:top w:w="60" w:type="dxa"/>
              <w:bottom w:w="60" w:type="dxa"/>
              <w:left w:w="100" w:type="dxa"/>
              <w:right w:w="100" w:type="dxa"/>
            </w:tcMar>
          </w:tcPr>
          <w:p>
            <w:pPr>
              <w:spacing w:before="40" w:after="40"/>
            </w:pPr>
            <w:r>
              <w:rPr>
                <w:rFonts w:ascii="Consolas" w:hAnsi="Consolas"/>
                <w:b/>
                <w:sz w:val="18"/>
              </w:rPr>
              <w:t>generated-target-platforms/liveverify-wiretransfer/</w:t>
            </w:r>
          </w:p>
        </w:tc>
        <w:tc>
          <w:tcPr>
            <w:tcW w:type="dxa" w:w="1872"/>
            <w:tcMar>
              <w:top w:w="60" w:type="dxa"/>
              <w:bottom w:w="60" w:type="dxa"/>
              <w:left w:w="100" w:type="dxa"/>
              <w:right w:w="100" w:type="dxa"/>
            </w:tcMar>
          </w:tcPr>
          <w:p>
            <w:pPr>
              <w:spacing w:before="40" w:after="40"/>
            </w:pPr>
            <w:r>
              <w:rPr>
                <w:sz w:val="18"/>
              </w:rPr>
              <w:t>Acceptance Demo App</w:t>
            </w:r>
          </w:p>
        </w:tc>
        <w:tc>
          <w:tcPr>
            <w:tcW w:type="dxa" w:w="4320"/>
            <w:tcMar>
              <w:top w:w="60" w:type="dxa"/>
              <w:bottom w:w="60" w:type="dxa"/>
              <w:left w:w="100" w:type="dxa"/>
              <w:right w:w="100" w:type="dxa"/>
            </w:tcMar>
          </w:tcPr>
          <w:p>
            <w:pPr>
              <w:spacing w:before="40" w:after="40"/>
            </w:pPr>
            <w:r>
              <w:rPr>
                <w:sz w:val="18"/>
              </w:rPr>
              <w:t>Scope Item 6 acceptance Target Platform used for live AI candidate evolution and CreditRiskAssessor testing.</w:t>
            </w:r>
          </w:p>
        </w:tc>
      </w:tr>
      <w:tr>
        <w:tc>
          <w:tcPr>
            <w:tcW w:type="dxa" w:w="3168"/>
            <w:tcMar>
              <w:top w:w="60" w:type="dxa"/>
              <w:bottom w:w="60" w:type="dxa"/>
              <w:left w:w="100" w:type="dxa"/>
              <w:right w:w="100" w:type="dxa"/>
            </w:tcMar>
            <w:shd w:fill="F7F9FB"/>
          </w:tcPr>
          <w:p>
            <w:pPr>
              <w:spacing w:before="40" w:after="40"/>
            </w:pPr>
            <w:r>
              <w:rPr>
                <w:rFonts w:ascii="Consolas" w:hAnsi="Consolas"/>
                <w:b/>
                <w:sz w:val="18"/>
              </w:rPr>
              <w:t>Manuf-camunda.bpmn / Twin-camunda.bpmn</w:t>
            </w:r>
          </w:p>
        </w:tc>
        <w:tc>
          <w:tcPr>
            <w:tcW w:type="dxa" w:w="1872"/>
            <w:tcMar>
              <w:top w:w="60" w:type="dxa"/>
              <w:bottom w:w="60" w:type="dxa"/>
              <w:left w:w="100" w:type="dxa"/>
              <w:right w:w="100" w:type="dxa"/>
            </w:tcMar>
            <w:shd w:fill="F7F9FB"/>
          </w:tcPr>
          <w:p>
            <w:pPr>
              <w:spacing w:before="40" w:after="40"/>
            </w:pPr>
            <w:r>
              <w:rPr>
                <w:sz w:val="18"/>
              </w:rPr>
              <w:t>Canonical BPMNs</w:t>
            </w:r>
          </w:p>
        </w:tc>
        <w:tc>
          <w:tcPr>
            <w:tcW w:type="dxa" w:w="4320"/>
            <w:tcMar>
              <w:top w:w="60" w:type="dxa"/>
              <w:bottom w:w="60" w:type="dxa"/>
              <w:left w:w="100" w:type="dxa"/>
              <w:right w:w="100" w:type="dxa"/>
            </w:tcMar>
            <w:shd w:fill="F7F9FB"/>
          </w:tcPr>
          <w:p>
            <w:pPr>
              <w:spacing w:before="40" w:after="40"/>
            </w:pPr>
            <w:r>
              <w:rPr>
                <w:sz w:val="18"/>
              </w:rPr>
              <w:t>Professor-supplied canonical RedCollar garment manufacturing process models with 9 synchronized production stages.</w:t>
            </w:r>
          </w:p>
        </w:tc>
      </w:tr>
      <w:tr>
        <w:tc>
          <w:tcPr>
            <w:tcW w:type="dxa" w:w="3168"/>
            <w:tcMar>
              <w:top w:w="60" w:type="dxa"/>
              <w:bottom w:w="60" w:type="dxa"/>
              <w:left w:w="100" w:type="dxa"/>
              <w:right w:w="100" w:type="dxa"/>
            </w:tcMar>
          </w:tcPr>
          <w:p>
            <w:pPr>
              <w:spacing w:before="40" w:after="40"/>
            </w:pPr>
            <w:r>
              <w:rPr>
                <w:rFonts w:ascii="Consolas" w:hAnsi="Consolas"/>
                <w:b/>
                <w:sz w:val="18"/>
              </w:rPr>
              <w:t>e2e-acceptance-artifacts/fixtures/kitchen-sink-process.bpmn</w:t>
            </w:r>
          </w:p>
        </w:tc>
        <w:tc>
          <w:tcPr>
            <w:tcW w:type="dxa" w:w="1872"/>
            <w:tcMar>
              <w:top w:w="60" w:type="dxa"/>
              <w:bottom w:w="60" w:type="dxa"/>
              <w:left w:w="100" w:type="dxa"/>
              <w:right w:w="100" w:type="dxa"/>
            </w:tcMar>
          </w:tcPr>
          <w:p>
            <w:pPr>
              <w:spacing w:before="40" w:after="40"/>
            </w:pPr>
            <w:r>
              <w:rPr>
                <w:sz w:val="18"/>
              </w:rPr>
              <w:t>Generator Fixture</w:t>
            </w:r>
          </w:p>
        </w:tc>
        <w:tc>
          <w:tcPr>
            <w:tcW w:type="dxa" w:w="4320"/>
            <w:tcMar>
              <w:top w:w="60" w:type="dxa"/>
              <w:bottom w:w="60" w:type="dxa"/>
              <w:left w:w="100" w:type="dxa"/>
              <w:right w:w="100" w:type="dxa"/>
            </w:tcMar>
          </w:tcPr>
          <w:p>
            <w:pPr>
              <w:spacing w:before="40" w:after="40"/>
            </w:pPr>
            <w:r>
              <w:rPr>
                <w:sz w:val="18"/>
              </w:rPr>
              <w:t>Synthetic fixture testing custom listeners, execution listeners, delegate expressions, and gateway routing.</w:t>
            </w:r>
          </w:p>
        </w:tc>
      </w:tr>
      <w:tr>
        <w:tc>
          <w:tcPr>
            <w:tcW w:type="dxa" w:w="3168"/>
            <w:tcMar>
              <w:top w:w="60" w:type="dxa"/>
              <w:bottom w:w="60" w:type="dxa"/>
              <w:left w:w="100" w:type="dxa"/>
              <w:right w:w="100" w:type="dxa"/>
            </w:tcMar>
            <w:shd w:fill="F7F9FB"/>
          </w:tcPr>
          <w:p>
            <w:pPr>
              <w:spacing w:before="40" w:after="40"/>
            </w:pPr>
            <w:r>
              <w:rPr>
                <w:rFonts w:ascii="Consolas" w:hAnsi="Consolas"/>
                <w:b/>
                <w:sz w:val="18"/>
              </w:rPr>
              <w:t>metaml-vscode-plugin/</w:t>
            </w:r>
          </w:p>
        </w:tc>
        <w:tc>
          <w:tcPr>
            <w:tcW w:type="dxa" w:w="1872"/>
            <w:tcMar>
              <w:top w:w="60" w:type="dxa"/>
              <w:bottom w:w="60" w:type="dxa"/>
              <w:left w:w="100" w:type="dxa"/>
              <w:right w:w="100" w:type="dxa"/>
            </w:tcMar>
            <w:shd w:fill="F7F9FB"/>
          </w:tcPr>
          <w:p>
            <w:pPr>
              <w:spacing w:before="40" w:after="40"/>
            </w:pPr>
            <w:r>
              <w:rPr>
                <w:sz w:val="18"/>
              </w:rPr>
              <w:t>VS Code Extension</w:t>
            </w:r>
          </w:p>
        </w:tc>
        <w:tc>
          <w:tcPr>
            <w:tcW w:type="dxa" w:w="4320"/>
            <w:tcMar>
              <w:top w:w="60" w:type="dxa"/>
              <w:bottom w:w="60" w:type="dxa"/>
              <w:left w:w="100" w:type="dxa"/>
              <w:right w:w="100" w:type="dxa"/>
            </w:tcMar>
            <w:shd w:fill="F7F9FB"/>
          </w:tcPr>
          <w:p>
            <w:pPr>
              <w:spacing w:before="40" w:after="40"/>
            </w:pPr>
            <w:r>
              <w:rPr>
                <w:sz w:val="18"/>
              </w:rPr>
              <w:t>Standalone extension providing Target Platform discovery, Twin activity trees, and interactive Ollama AI component integration.</w:t>
            </w:r>
          </w:p>
        </w:tc>
      </w:tr>
    </w:tbl>
    <w:p>
      <w:pPr>
        <w:spacing w:after="120"/>
      </w:pPr>
    </w:p>
    <w:p>
      <w:pPr>
        <w:pStyle w:val="Heading1"/>
        <w:spacing w:before="240" w:after="120"/>
      </w:pPr>
      <w:r>
        <w:t>3. Prerequisites &amp; Port Allocation</w:t>
      </w:r>
    </w:p>
    <w:p>
      <w:pPr>
        <w:spacing w:after="80"/>
      </w:pPr>
      <w:r>
        <w:t>The following runtimes and services are required:</w:t>
      </w:r>
    </w:p>
    <w:p>
      <w:pPr>
        <w:pStyle w:val="ListBullet"/>
        <w:spacing w:after="40"/>
      </w:pPr>
      <w:r>
        <w:rPr>
          <w:b/>
        </w:rPr>
        <w:t xml:space="preserve">JDK 17 LTS &amp; JDK 24: </w:t>
      </w:r>
      <w:r>
        <w:t>Target Platforms run on Java 17; MetaML Workbench backend runs on Java 24.</w:t>
      </w:r>
    </w:p>
    <w:p>
      <w:pPr>
        <w:pStyle w:val="ListBullet"/>
        <w:spacing w:after="40"/>
      </w:pPr>
      <w:r>
        <w:rPr>
          <w:b/>
        </w:rPr>
        <w:t xml:space="preserve">Apache Maven 3.9+: </w:t>
      </w:r>
      <w:r>
        <w:t>Used for compiling and packaging Spring Boot projects.</w:t>
      </w:r>
    </w:p>
    <w:p>
      <w:pPr>
        <w:pStyle w:val="ListBullet"/>
        <w:spacing w:after="40"/>
      </w:pPr>
      <w:r>
        <w:rPr>
          <w:b/>
        </w:rPr>
        <w:t xml:space="preserve">RabbitMQ (Port 5672): </w:t>
      </w:r>
      <w:r>
        <w:t>AMQP broker for Proxy-to-Twin task and response queues.</w:t>
      </w:r>
    </w:p>
    <w:p>
      <w:pPr>
        <w:pStyle w:val="ListBullet"/>
        <w:spacing w:after="40"/>
      </w:pPr>
      <w:r>
        <w:t>Ollama (Port 11434): Local AI inference server (default configuration: qwen2.5:3b; live-verified acceptance model: gpt-oss:20b; configurable in VS Code settings under metaml.ollamaModel).</w:t>
      </w:r>
    </w:p>
    <w:p>
      <w:pPr>
        <w:pStyle w:val="ListBullet"/>
        <w:spacing w:after="40"/>
      </w:pPr>
      <w:r>
        <w:rPr>
          <w:b/>
        </w:rPr>
        <w:t xml:space="preserve">Node.js 18+ &amp; VS Code: </w:t>
      </w:r>
      <w:r>
        <w:t>For running the VS Code extension and React Workbench UI.</w:t>
      </w:r>
    </w:p>
    <w:p>
      <w:pPr>
        <w:spacing w:after="120"/>
      </w:pPr>
    </w:p>
    <w:p>
      <w:pPr>
        <w:pStyle w:val="Heading1"/>
        <w:spacing w:before="240" w:after="120"/>
      </w:pPr>
      <w:r>
        <w:t>4. Step-by-Step Implementation &amp; RedCollar Demo Workflow</w:t>
      </w:r>
    </w:p>
    <w:p>
      <w:pPr>
        <w:pStyle w:val="Heading2"/>
        <w:spacing w:before="160" w:after="80"/>
      </w:pPr>
      <w:r>
        <w:t>Step 1: Start Supporting Infrastructure (RabbitMQ &amp; Ollama)</w:t>
      </w:r>
    </w:p>
    <w:p>
      <w:r>
        <w:t>Start RabbitMQ and verify that Ollama is serving the target language model (e.g. gpt-oss:20b or qwen2.5:3b):</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pPr>
              <w:spacing w:before="40" w:after="40"/>
            </w:pPr>
            <w:r>
              <w:rPr>
                <w:rFonts w:ascii="Consolas" w:hAnsi="Consolas"/>
                <w:color w:val="282C34"/>
                <w:sz w:val="19"/>
              </w:rPr>
              <w:t># Verify RabbitMQ AMQP port</w:t>
              <w:br/>
              <w:t>test-netconnection -ComputerName 127.0.0.1 -Port 5672</w:t>
              <w:br/>
              <w:br/>
              <w:t># Verify Ollama LLM endpoint</w:t>
              <w:br/>
              <w:t>curl http://127.0.0.1:11434/api/tags</w:t>
            </w:r>
          </w:p>
        </w:tc>
      </w:tr>
    </w:tbl>
    <w:p>
      <w:pPr>
        <w:spacing w:after="80"/>
      </w:pPr>
    </w:p>
    <w:p>
      <w:pPr>
        <w:pStyle w:val="Heading2"/>
        <w:spacing w:before="160" w:after="80"/>
      </w:pPr>
      <w:r>
        <w:t>Step 2: Start the MetaML Workbench &amp; Node Manager Backends</w:t>
      </w:r>
    </w:p>
    <w:p>
      <w:r>
        <w:t>From the root of the Workbench repository (metaml-workbench-source-of-truth), launch both backend services:</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pPr>
              <w:spacing w:before="40" w:after="40"/>
            </w:pPr>
            <w:r>
              <w:rPr>
                <w:rFonts w:ascii="Consolas" w:hAnsi="Consolas"/>
                <w:color w:val="282C34"/>
                <w:sz w:val="19"/>
              </w:rPr>
              <w:t># Terminal 1: Start Workbench REST API &amp; Camunda Webapp (:8082)</w:t>
              <w:br/>
              <w:t>mvn -f backend/pom.xml spring-boot:run -pl wbapi</w:t>
              <w:br/>
              <w:br/>
              <w:t># Terminal 2: Start Authoritative Node Manager Catalog (:8083)</w:t>
              <w:br/>
              <w:t>mvn -f backend/pom.xml spring-boot:run -pl nodemanager</w:t>
            </w:r>
          </w:p>
        </w:tc>
      </w:tr>
    </w:tbl>
    <w:p>
      <w:pPr>
        <w:spacing w:after="80"/>
      </w:pPr>
    </w:p>
    <w:p>
      <w:pPr>
        <w:pStyle w:val="Heading2"/>
        <w:spacing w:before="160" w:after="80"/>
      </w:pPr>
      <w:r>
        <w:t>Step 3: Build &amp; Package the Generated RedCollar Target Platform</w:t>
      </w:r>
    </w:p>
    <w:p>
      <w:r>
        <w:t>Compile and package the standalone RedCollar garment manufacturing application directly from repository root:</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pPr>
              <w:spacing w:before="40" w:after="40"/>
            </w:pPr>
            <w:r>
              <w:rPr>
                <w:rFonts w:ascii="Consolas" w:hAnsi="Consolas"/>
                <w:color w:val="282C34"/>
                <w:sz w:val="19"/>
              </w:rPr>
              <w:t>mvn -f generated-target-platforms/redcollar-manufacturing/pom.xml clean package -DskipTests</w:t>
            </w:r>
          </w:p>
        </w:tc>
      </w:tr>
    </w:tbl>
    <w:p>
      <w:pPr>
        <w:spacing w:after="80"/>
      </w:pPr>
    </w:p>
    <w:p>
      <w:r>
        <w:t>Expected Result: Compiles 43 Java source files (Java 17) and builds the executable Spring Boot JAR with BUILD SUCCESS.</w:t>
      </w:r>
    </w:p>
    <w:p>
      <w:pPr>
        <w:pStyle w:val="Heading2"/>
        <w:spacing w:before="160" w:after="80"/>
      </w:pPr>
      <w:r>
        <w:t>Step 4: Launch the Generated RedCollar Application</w:t>
      </w:r>
    </w:p>
    <w:p>
      <w:r>
        <w:t>Start the Target Platform engine to begin listening for process start commands and AMQP events:</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pPr>
              <w:spacing w:before="40" w:after="40"/>
            </w:pPr>
            <w:r>
              <w:rPr>
                <w:rFonts w:ascii="Consolas" w:hAnsi="Consolas"/>
                <w:color w:val="282C34"/>
                <w:sz w:val="19"/>
              </w:rPr>
              <w:t>mvn -f generated-target-platforms/redcollar-manufacturing/pom.xml spring-boot:run</w:t>
            </w:r>
          </w:p>
        </w:tc>
      </w:tr>
    </w:tbl>
    <w:p>
      <w:pPr>
        <w:spacing w:after="80"/>
      </w:pPr>
    </w:p>
    <w:p>
      <w:pPr>
        <w:pStyle w:val="Heading2"/>
        <w:spacing w:before="160" w:after="80"/>
      </w:pPr>
      <w:r>
        <w:t>Step 5: Launch the VS Code Extension &amp; Discover Target Platforms</w:t>
      </w:r>
    </w:p>
    <w:p>
      <w:r>
        <w:t>From the metaml-vscode-plugin repository directory, compile and launch the extension:</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npm install</w:t>
              <w:br/>
              <w:t>npm run compile</w:t>
              <w:br/>
              <w:t>npm run test:unit</w:t>
              <w:br/>
              <w:t># Run live deterministic integration test (requires running backend)</w:t>
              <w:br/>
              <w:t>npm run test:live</w:t>
            </w:r>
          </w:p>
        </w:tc>
      </w:tr>
    </w:tbl>
    <w:p>
      <w:pPr>
        <w:spacing w:after="80"/>
      </w:pPr>
    </w:p>
    <w:p>
      <w:r>
        <w:t>Open VS Code (or press F5 in the plugin workspace to launch the Extension Development Host). In the primary sidebar, locate 'MetaML Target Platforms'. The extension automatically queries the Workbench API (:8082), identifies the running RedCollar Target Platform instance, and renders its Twin Process tree.</w:t>
      </w:r>
    </w:p>
    <w:p>
      <w:pPr>
        <w:pStyle w:val="Heading2"/>
        <w:spacing w:before="160" w:after="80"/>
      </w:pPr>
      <w:r>
        <w:t>Step 6: Trigger AI-Driven RedCollar Twin Activity Evolution</w:t>
      </w:r>
    </w:p>
    <w:p>
      <w:r>
        <w:t>In the VS Code tree view, expand the running RedCollar Target Platform and locate any RedCollar Twin Activity (such as Checking, VerifyOrder, Sampling, or Shipping).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0F2043"/>
            <w:tcMar>
              <w:top w:w="80" w:type="dxa"/>
              <w:bottom w:w="80" w:type="dxa"/>
              <w:left w:w="100" w:type="dxa"/>
              <w:right w:w="100" w:type="dxa"/>
            </w:tcMar>
          </w:tcPr>
          <w:p>
            <w:pPr>
              <w:jc w:val="left"/>
            </w:pPr>
            <w:r>
              <w:rPr>
                <w:b/>
                <w:color w:val="FFFFFF"/>
                <w:sz w:val="18"/>
              </w:rPr>
              <w:t>RedCollar Activity</w:t>
            </w:r>
          </w:p>
        </w:tc>
        <w:tc>
          <w:tcPr>
            <w:tcW w:type="dxa" w:w="3168"/>
            <w:shd w:fill="0F2043"/>
            <w:tcMar>
              <w:top w:w="80" w:type="dxa"/>
              <w:bottom w:w="80" w:type="dxa"/>
              <w:left w:w="100" w:type="dxa"/>
              <w:right w:w="100" w:type="dxa"/>
            </w:tcMar>
          </w:tcPr>
          <w:p>
            <w:pPr>
              <w:jc w:val="left"/>
            </w:pPr>
            <w:r>
              <w:rPr>
                <w:b/>
                <w:color w:val="FFFFFF"/>
                <w:sz w:val="18"/>
              </w:rPr>
              <w:t>Natural-Language Intent</w:t>
            </w:r>
          </w:p>
        </w:tc>
        <w:tc>
          <w:tcPr>
            <w:tcW w:type="dxa" w:w="1872"/>
            <w:shd w:fill="0F2043"/>
            <w:tcMar>
              <w:top w:w="80" w:type="dxa"/>
              <w:bottom w:w="80" w:type="dxa"/>
              <w:left w:w="100" w:type="dxa"/>
              <w:right w:w="100" w:type="dxa"/>
            </w:tcMar>
          </w:tcPr>
          <w:p>
            <w:pPr>
              <w:jc w:val="left"/>
            </w:pPr>
            <w:r>
              <w:rPr>
                <w:b/>
                <w:color w:val="FFFFFF"/>
                <w:sz w:val="18"/>
              </w:rPr>
              <w:t>AI Agent Recommendation</w:t>
            </w:r>
          </w:p>
        </w:tc>
        <w:tc>
          <w:tcPr>
            <w:tcW w:type="dxa" w:w="2448"/>
            <w:shd w:fill="0F2043"/>
            <w:tcMar>
              <w:top w:w="80" w:type="dxa"/>
              <w:bottom w:w="80" w:type="dxa"/>
              <w:left w:w="100" w:type="dxa"/>
              <w:right w:w="100" w:type="dxa"/>
            </w:tcMar>
          </w:tcPr>
          <w:p>
            <w:pPr>
              <w:jc w:val="left"/>
            </w:pPr>
            <w:r>
              <w:rPr>
                <w:b/>
                <w:color w:val="FFFFFF"/>
                <w:sz w:val="18"/>
              </w:rPr>
              <w:t>Dispatched Executor</w:t>
            </w:r>
          </w:p>
        </w:tc>
      </w:tr>
      <w:tr>
        <w:tc>
          <w:tcPr>
            <w:tcW w:type="dxa" w:w="1872"/>
            <w:tcMar>
              <w:top w:w="60" w:type="dxa"/>
              <w:bottom w:w="60" w:type="dxa"/>
              <w:left w:w="100" w:type="dxa"/>
              <w:right w:w="100" w:type="dxa"/>
            </w:tcMar>
          </w:tcPr>
          <w:p>
            <w:pPr>
              <w:spacing w:before="40" w:after="40"/>
            </w:pPr>
            <w:r>
              <w:rPr>
                <w:b/>
                <w:sz w:val="17"/>
              </w:rPr>
              <w:t>Checking (Quality Inspection)</w:t>
            </w:r>
          </w:p>
        </w:tc>
        <w:tc>
          <w:tcPr>
            <w:tcW w:type="dxa" w:w="3168"/>
            <w:tcMar>
              <w:top w:w="60" w:type="dxa"/>
              <w:bottom w:w="60" w:type="dxa"/>
              <w:left w:w="100" w:type="dxa"/>
              <w:right w:w="100" w:type="dxa"/>
            </w:tcMar>
          </w:tcPr>
          <w:p>
            <w:pPr>
              <w:spacing w:before="40" w:after="40"/>
            </w:pPr>
            <w:r>
              <w:rPr>
                <w:sz w:val="17"/>
              </w:rPr>
              <w:t>"Validate garment stitch specifications and fabric tolerances against quality standards"</w:t>
            </w:r>
          </w:p>
        </w:tc>
        <w:tc>
          <w:tcPr>
            <w:tcW w:type="dxa" w:w="1872"/>
            <w:tcMar>
              <w:top w:w="60" w:type="dxa"/>
              <w:bottom w:w="60" w:type="dxa"/>
              <w:left w:w="100" w:type="dxa"/>
              <w:right w:w="100" w:type="dxa"/>
            </w:tcMar>
          </w:tcPr>
          <w:p>
            <w:pPr>
              <w:spacing w:before="40" w:after="40"/>
            </w:pPr>
            <w:r>
              <w:rPr>
                <w:rFonts w:ascii="Consolas" w:hAnsi="Consolas"/>
                <w:b/>
                <w:sz w:val="17"/>
              </w:rPr>
              <w:t>validator</w:t>
            </w:r>
          </w:p>
        </w:tc>
        <w:tc>
          <w:tcPr>
            <w:tcW w:type="dxa" w:w="2448"/>
            <w:tcMar>
              <w:top w:w="60" w:type="dxa"/>
              <w:bottom w:w="60" w:type="dxa"/>
              <w:left w:w="100" w:type="dxa"/>
              <w:right w:w="100" w:type="dxa"/>
            </w:tcMar>
          </w:tcPr>
          <w:p>
            <w:pPr>
              <w:spacing w:before="40" w:after="40"/>
            </w:pPr>
            <w:r>
              <w:rPr>
                <w:sz w:val="17"/>
              </w:rPr>
              <w:t>ValidatorExecutor (performs structural schema and quality verification)</w:t>
            </w:r>
          </w:p>
        </w:tc>
      </w:tr>
      <w:tr>
        <w:tc>
          <w:tcPr>
            <w:tcW w:type="dxa" w:w="1872"/>
            <w:tcMar>
              <w:top w:w="60" w:type="dxa"/>
              <w:bottom w:w="60" w:type="dxa"/>
              <w:left w:w="100" w:type="dxa"/>
              <w:right w:w="100" w:type="dxa"/>
            </w:tcMar>
            <w:shd w:fill="F7F9FB"/>
          </w:tcPr>
          <w:p>
            <w:pPr>
              <w:spacing w:before="40" w:after="40"/>
            </w:pPr>
            <w:r>
              <w:rPr>
                <w:b/>
                <w:sz w:val="17"/>
              </w:rPr>
              <w:t>VerifyOrder (Order Verification)</w:t>
            </w:r>
          </w:p>
        </w:tc>
        <w:tc>
          <w:tcPr>
            <w:tcW w:type="dxa" w:w="3168"/>
            <w:tcMar>
              <w:top w:w="60" w:type="dxa"/>
              <w:bottom w:w="60" w:type="dxa"/>
              <w:left w:w="100" w:type="dxa"/>
              <w:right w:w="100" w:type="dxa"/>
            </w:tcMar>
            <w:shd w:fill="F7F9FB"/>
          </w:tcPr>
          <w:p>
            <w:pPr>
              <w:spacing w:before="40" w:after="40"/>
            </w:pPr>
            <w:r>
              <w:rPr>
                <w:sz w:val="17"/>
              </w:rPr>
              <w:t>"Assess customer creditworthiness and payment default risk before fabric cutting"</w:t>
            </w:r>
          </w:p>
        </w:tc>
        <w:tc>
          <w:tcPr>
            <w:tcW w:type="dxa" w:w="1872"/>
            <w:tcMar>
              <w:top w:w="60" w:type="dxa"/>
              <w:bottom w:w="60" w:type="dxa"/>
              <w:left w:w="100" w:type="dxa"/>
              <w:right w:w="100" w:type="dxa"/>
            </w:tcMar>
            <w:shd w:fill="F7F9FB"/>
          </w:tcPr>
          <w:p>
            <w:pPr>
              <w:spacing w:before="40" w:after="40"/>
            </w:pPr>
            <w:r>
              <w:rPr>
                <w:rFonts w:ascii="Consolas" w:hAnsi="Consolas"/>
                <w:b/>
                <w:sz w:val="17"/>
              </w:rPr>
              <w:t>credit-risk-assessor</w:t>
            </w:r>
          </w:p>
        </w:tc>
        <w:tc>
          <w:tcPr>
            <w:tcW w:type="dxa" w:w="2448"/>
            <w:tcMar>
              <w:top w:w="60" w:type="dxa"/>
              <w:bottom w:w="60" w:type="dxa"/>
              <w:left w:w="100" w:type="dxa"/>
              <w:right w:w="100" w:type="dxa"/>
            </w:tcMar>
            <w:shd w:fill="F7F9FB"/>
          </w:tcPr>
          <w:p>
            <w:pPr>
              <w:spacing w:before="40" w:after="40"/>
            </w:pPr>
            <w:r>
              <w:rPr>
                <w:sz w:val="17"/>
              </w:rPr>
              <w:t>CreditRiskAssessorExecutor (evaluates riskScore=85, agentFlaggedRisk=true)</w:t>
            </w:r>
          </w:p>
        </w:tc>
      </w:tr>
      <w:tr>
        <w:tc>
          <w:tcPr>
            <w:tcW w:type="dxa" w:w="1872"/>
            <w:tcMar>
              <w:top w:w="60" w:type="dxa"/>
              <w:bottom w:w="60" w:type="dxa"/>
              <w:left w:w="100" w:type="dxa"/>
              <w:right w:w="100" w:type="dxa"/>
            </w:tcMar>
          </w:tcPr>
          <w:p>
            <w:pPr>
              <w:spacing w:before="40" w:after="40"/>
            </w:pPr>
            <w:r>
              <w:rPr>
                <w:b/>
                <w:sz w:val="17"/>
              </w:rPr>
              <w:t>Sampling (Material Sampling)</w:t>
            </w:r>
          </w:p>
        </w:tc>
        <w:tc>
          <w:tcPr>
            <w:tcW w:type="dxa" w:w="3168"/>
            <w:tcMar>
              <w:top w:w="60" w:type="dxa"/>
              <w:bottom w:w="60" w:type="dxa"/>
              <w:left w:w="100" w:type="dxa"/>
              <w:right w:w="100" w:type="dxa"/>
            </w:tcMar>
          </w:tcPr>
          <w:p>
            <w:pPr>
              <w:spacing w:before="40" w:after="40"/>
            </w:pPr>
            <w:r>
              <w:rPr>
                <w:sz w:val="17"/>
              </w:rPr>
              <w:t>"Enrich order payload with textile supplier batch metadata and properties"</w:t>
            </w:r>
          </w:p>
        </w:tc>
        <w:tc>
          <w:tcPr>
            <w:tcW w:type="dxa" w:w="1872"/>
            <w:tcMar>
              <w:top w:w="60" w:type="dxa"/>
              <w:bottom w:w="60" w:type="dxa"/>
              <w:left w:w="100" w:type="dxa"/>
              <w:right w:w="100" w:type="dxa"/>
            </w:tcMar>
          </w:tcPr>
          <w:p>
            <w:pPr>
              <w:spacing w:before="40" w:after="40"/>
            </w:pPr>
            <w:r>
              <w:rPr>
                <w:rFonts w:ascii="Consolas" w:hAnsi="Consolas"/>
                <w:b/>
                <w:sz w:val="17"/>
              </w:rPr>
              <w:t>data-enricher</w:t>
            </w:r>
          </w:p>
        </w:tc>
        <w:tc>
          <w:tcPr>
            <w:tcW w:type="dxa" w:w="2448"/>
            <w:tcMar>
              <w:top w:w="60" w:type="dxa"/>
              <w:bottom w:w="60" w:type="dxa"/>
              <w:left w:w="100" w:type="dxa"/>
              <w:right w:w="100" w:type="dxa"/>
            </w:tcMar>
          </w:tcPr>
          <w:p>
            <w:pPr>
              <w:spacing w:before="40" w:after="40"/>
            </w:pPr>
            <w:r>
              <w:rPr>
                <w:sz w:val="17"/>
              </w:rPr>
              <w:t>DataEnricherExecutor (appends external catalog metadata)</w:t>
            </w:r>
          </w:p>
        </w:tc>
      </w:tr>
      <w:tr>
        <w:tc>
          <w:tcPr>
            <w:tcW w:type="dxa" w:w="1872"/>
            <w:tcMar>
              <w:top w:w="60" w:type="dxa"/>
              <w:bottom w:w="60" w:type="dxa"/>
              <w:left w:w="100" w:type="dxa"/>
              <w:right w:w="100" w:type="dxa"/>
            </w:tcMar>
            <w:shd w:fill="F7F9FB"/>
          </w:tcPr>
          <w:p>
            <w:pPr>
              <w:spacing w:before="40" w:after="40"/>
            </w:pPr>
            <w:r>
              <w:rPr>
                <w:b/>
                <w:sz w:val="17"/>
              </w:rPr>
              <w:t>Shipping (Final Logistics)</w:t>
            </w:r>
          </w:p>
        </w:tc>
        <w:tc>
          <w:tcPr>
            <w:tcW w:type="dxa" w:w="3168"/>
            <w:tcMar>
              <w:top w:w="60" w:type="dxa"/>
              <w:bottom w:w="60" w:type="dxa"/>
              <w:left w:w="100" w:type="dxa"/>
              <w:right w:w="100" w:type="dxa"/>
            </w:tcMar>
            <w:shd w:fill="F7F9FB"/>
          </w:tcPr>
          <w:p>
            <w:pPr>
              <w:spacing w:before="40" w:after="40"/>
            </w:pPr>
            <w:r>
              <w:rPr>
                <w:sz w:val="17"/>
              </w:rPr>
              <w:t>"Send carrier dispatch alerts and notify customer when package departs factory"</w:t>
            </w:r>
          </w:p>
        </w:tc>
        <w:tc>
          <w:tcPr>
            <w:tcW w:type="dxa" w:w="1872"/>
            <w:tcMar>
              <w:top w:w="60" w:type="dxa"/>
              <w:bottom w:w="60" w:type="dxa"/>
              <w:left w:w="100" w:type="dxa"/>
              <w:right w:w="100" w:type="dxa"/>
            </w:tcMar>
            <w:shd w:fill="F7F9FB"/>
          </w:tcPr>
          <w:p>
            <w:pPr>
              <w:spacing w:before="40" w:after="40"/>
            </w:pPr>
            <w:r>
              <w:rPr>
                <w:rFonts w:ascii="Consolas" w:hAnsi="Consolas"/>
                <w:b/>
                <w:sz w:val="17"/>
              </w:rPr>
              <w:t>notifier</w:t>
            </w:r>
          </w:p>
        </w:tc>
        <w:tc>
          <w:tcPr>
            <w:tcW w:type="dxa" w:w="2448"/>
            <w:tcMar>
              <w:top w:w="60" w:type="dxa"/>
              <w:bottom w:w="60" w:type="dxa"/>
              <w:left w:w="100" w:type="dxa"/>
              <w:right w:w="100" w:type="dxa"/>
            </w:tcMar>
            <w:shd w:fill="F7F9FB"/>
          </w:tcPr>
          <w:p>
            <w:pPr>
              <w:spacing w:before="40" w:after="40"/>
            </w:pPr>
            <w:r>
              <w:rPr>
                <w:sz w:val="17"/>
              </w:rPr>
              <w:t>NotifierExecutor (broadcasts delivery dispatch notifications)</w:t>
            </w:r>
          </w:p>
        </w:tc>
      </w:tr>
    </w:tbl>
    <w:p>
      <w:pPr>
        <w:spacing w:after="80"/>
      </w:pPr>
    </w:p>
    <w:p>
      <w:pPr>
        <w:spacing w:after="40"/>
      </w:pPr>
      <w:r>
        <w:rPr>
          <w:b/>
        </w:rPr>
        <w:t xml:space="preserve">6.1 </w:t>
      </w:r>
      <w:r>
        <w:t>Click the inline $(sparkle) icon ('Evolve Activity with AI') next to the chosen RedCollar activity (e.g. Checking).</w:t>
      </w:r>
    </w:p>
    <w:p>
      <w:pPr>
        <w:spacing w:after="40"/>
      </w:pPr>
      <w:r>
        <w:rPr>
          <w:b/>
        </w:rPr>
        <w:t xml:space="preserve">6.2 </w:t>
      </w:r>
      <w:r>
        <w:t>Enter the natural-language capability prompt into the input dialog.</w:t>
      </w:r>
    </w:p>
    <w:p>
      <w:pPr>
        <w:spacing w:after="40"/>
      </w:pPr>
      <w:r>
        <w:rPr>
          <w:b/>
        </w:rPr>
        <w:t xml:space="preserve">6.3 </w:t>
      </w:r>
      <w:r>
        <w:t>The extension fetches candidate components dynamically from Node Manager (:8083), prompts Ollama (gpt-oss:20b or qwen2.5:3b on :11434), and runs fail-closed catalog validation.</w:t>
      </w:r>
    </w:p>
    <w:p>
      <w:pPr>
        <w:spacing w:after="40"/>
      </w:pPr>
      <w:r>
        <w:rPr>
          <w:b/>
        </w:rPr>
        <w:t xml:space="preserve">6.4 </w:t>
      </w:r>
      <w:r>
        <w:t>A modal confirmation dialog appears displaying the recommended candidate and the model's rationale.</w:t>
      </w:r>
    </w:p>
    <w:p>
      <w:pPr>
        <w:spacing w:after="40"/>
      </w:pPr>
      <w:r>
        <w:rPr>
          <w:b/>
        </w:rPr>
        <w:t xml:space="preserve">6.5 </w:t>
      </w:r>
      <w:r>
        <w:t>Click 'Confirm &amp; Integrate'. The extension submits the evolution to the Workbench, passing governance policy evaluation and binding the component to the RedCollar activity.</w:t>
      </w:r>
    </w:p>
    <w:p>
      <w:pPr>
        <w:pStyle w:val="Heading2"/>
        <w:spacing w:before="160" w:after="80"/>
      </w:pPr>
      <w:r>
        <w:t>Step 7: Runtime Execution &amp; Component Dispatch</w:t>
      </w:r>
    </w:p>
    <w:p>
      <w:r>
        <w:t>Trigger the RedCollar manufacturing process via the Target Platform REST endpoint (/api/proxy/start) or Workbench UI. As tokens advance through the 9 manufacturing stages, the evolved Twin Activity dispatches to its bound ComponentExecutor (such as ValidatorExecutor for Checking, or CreditRiskAssessorExecutor for VerifyOrder), setting output variables and correlating the Proxy and Twin instances through RabbitMQ AMQP messaging.</w:t>
      </w:r>
    </w:p>
    <w:p>
      <w:pPr>
        <w:pStyle w:val="Heading1"/>
        <w:spacing w:before="240" w:after="120"/>
      </w:pPr>
      <w:r>
        <w:t>5. RedCollar BPMN-to-Runtime Codegen Mapping</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0F2043"/>
            <w:tcMar>
              <w:top w:w="80" w:type="dxa"/>
              <w:bottom w:w="80" w:type="dxa"/>
              <w:left w:w="100" w:type="dxa"/>
              <w:right w:w="100" w:type="dxa"/>
            </w:tcMar>
          </w:tcPr>
          <w:p>
            <w:pPr>
              <w:jc w:val="left"/>
            </w:pPr>
            <w:r>
              <w:rPr>
                <w:b/>
                <w:color w:val="FFFFFF"/>
                <w:sz w:val="19"/>
              </w:rPr>
              <w:t>RedCollar BPMN Construct</w:t>
            </w:r>
          </w:p>
        </w:tc>
        <w:tc>
          <w:tcPr>
            <w:tcW w:type="dxa" w:w="3168"/>
            <w:shd w:fill="0F2043"/>
            <w:tcMar>
              <w:top w:w="80" w:type="dxa"/>
              <w:bottom w:w="80" w:type="dxa"/>
              <w:left w:w="100" w:type="dxa"/>
              <w:right w:w="100" w:type="dxa"/>
            </w:tcMar>
          </w:tcPr>
          <w:p>
            <w:pPr>
              <w:jc w:val="left"/>
            </w:pPr>
            <w:r>
              <w:rPr>
                <w:b/>
                <w:color w:val="FFFFFF"/>
                <w:sz w:val="19"/>
              </w:rPr>
              <w:t>Generated Code Element</w:t>
            </w:r>
          </w:p>
        </w:tc>
        <w:tc>
          <w:tcPr>
            <w:tcW w:type="dxa" w:w="3312"/>
            <w:shd w:fill="0F2043"/>
            <w:tcMar>
              <w:top w:w="80" w:type="dxa"/>
              <w:bottom w:w="80" w:type="dxa"/>
              <w:left w:w="100" w:type="dxa"/>
              <w:right w:w="100" w:type="dxa"/>
            </w:tcMar>
          </w:tcPr>
          <w:p>
            <w:pPr>
              <w:jc w:val="left"/>
            </w:pPr>
            <w:r>
              <w:rPr>
                <w:b/>
                <w:color w:val="FFFFFF"/>
                <w:sz w:val="19"/>
              </w:rPr>
              <w:t>Runtime Behavior</w:t>
            </w:r>
          </w:p>
        </w:tc>
      </w:tr>
      <w:tr>
        <w:tc>
          <w:tcPr>
            <w:tcW w:type="dxa" w:w="2880"/>
            <w:tcMar>
              <w:top w:w="60" w:type="dxa"/>
              <w:bottom w:w="60" w:type="dxa"/>
              <w:left w:w="100" w:type="dxa"/>
              <w:right w:w="100" w:type="dxa"/>
            </w:tcMar>
          </w:tcPr>
          <w:p>
            <w:pPr>
              <w:spacing w:before="40" w:after="40"/>
            </w:pPr>
            <w:r>
              <w:rPr>
                <w:b/>
                <w:sz w:val="18"/>
              </w:rPr>
              <w:t>Start / End Events</w:t>
            </w:r>
          </w:p>
        </w:tc>
        <w:tc>
          <w:tcPr>
            <w:tcW w:type="dxa" w:w="3168"/>
            <w:tcMar>
              <w:top w:w="60" w:type="dxa"/>
              <w:bottom w:w="60" w:type="dxa"/>
              <w:left w:w="100" w:type="dxa"/>
              <w:right w:w="100" w:type="dxa"/>
            </w:tcMar>
          </w:tcPr>
          <w:p>
            <w:pPr>
              <w:spacing w:before="40" w:after="40"/>
            </w:pPr>
            <w:r>
              <w:rPr>
                <w:sz w:val="18"/>
              </w:rPr>
              <w:t>processes/RedCollar.*.bpmn</w:t>
            </w:r>
          </w:p>
        </w:tc>
        <w:tc>
          <w:tcPr>
            <w:tcW w:type="dxa" w:w="3312"/>
            <w:tcMar>
              <w:top w:w="60" w:type="dxa"/>
              <w:bottom w:w="60" w:type="dxa"/>
              <w:left w:w="100" w:type="dxa"/>
              <w:right w:w="100" w:type="dxa"/>
            </w:tcMar>
          </w:tcPr>
          <w:p>
            <w:pPr>
              <w:spacing w:before="40" w:after="40"/>
            </w:pPr>
            <w:r>
              <w:rPr>
                <w:sz w:val="18"/>
              </w:rPr>
              <w:t>Instantiates and terminates Camunda manufacturing process instances.</w:t>
            </w:r>
          </w:p>
        </w:tc>
      </w:tr>
      <w:tr>
        <w:tc>
          <w:tcPr>
            <w:tcW w:type="dxa" w:w="2880"/>
            <w:tcMar>
              <w:top w:w="60" w:type="dxa"/>
              <w:bottom w:w="60" w:type="dxa"/>
              <w:left w:w="100" w:type="dxa"/>
              <w:right w:w="100" w:type="dxa"/>
            </w:tcMar>
            <w:shd w:fill="F7F9FB"/>
          </w:tcPr>
          <w:p>
            <w:pPr>
              <w:spacing w:before="40" w:after="40"/>
            </w:pPr>
            <w:r>
              <w:rPr>
                <w:b/>
                <w:sz w:val="18"/>
              </w:rPr>
              <w:t>12 Proxy External Tasks</w:t>
              <w:br/>
              <w:t>(Cutting, Laying, Stitching, etc.)</w:t>
            </w:r>
          </w:p>
        </w:tc>
        <w:tc>
          <w:tcPr>
            <w:tcW w:type="dxa" w:w="3168"/>
            <w:tcMar>
              <w:top w:w="60" w:type="dxa"/>
              <w:bottom w:w="60" w:type="dxa"/>
              <w:left w:w="100" w:type="dxa"/>
              <w:right w:w="100" w:type="dxa"/>
            </w:tcMar>
            <w:shd w:fill="F7F9FB"/>
          </w:tcPr>
          <w:p>
            <w:pPr>
              <w:spacing w:before="40" w:after="40"/>
            </w:pPr>
            <w:r>
              <w:rPr>
                <w:sz w:val="18"/>
              </w:rPr>
              <w:t>worker/proxy/*Worker.java</w:t>
            </w:r>
          </w:p>
        </w:tc>
        <w:tc>
          <w:tcPr>
            <w:tcW w:type="dxa" w:w="3312"/>
            <w:tcMar>
              <w:top w:w="60" w:type="dxa"/>
              <w:bottom w:w="60" w:type="dxa"/>
              <w:left w:w="100" w:type="dxa"/>
              <w:right w:w="100" w:type="dxa"/>
            </w:tcMar>
            <w:shd w:fill="F7F9FB"/>
          </w:tcPr>
          <w:p>
            <w:pPr>
              <w:spacing w:before="40" w:after="40"/>
            </w:pPr>
            <w:r>
              <w:rPr>
                <w:sz w:val="18"/>
              </w:rPr>
              <w:t>Subscribes to Camunda external task topics for garment production operations.</w:t>
            </w:r>
          </w:p>
        </w:tc>
      </w:tr>
      <w:tr>
        <w:tc>
          <w:tcPr>
            <w:tcW w:type="dxa" w:w="2880"/>
            <w:tcMar>
              <w:top w:w="60" w:type="dxa"/>
              <w:bottom w:w="60" w:type="dxa"/>
              <w:left w:w="100" w:type="dxa"/>
              <w:right w:w="100" w:type="dxa"/>
            </w:tcMar>
          </w:tcPr>
          <w:p>
            <w:pPr>
              <w:spacing w:before="40" w:after="40"/>
            </w:pPr>
            <w:r>
              <w:rPr>
                <w:b/>
                <w:sz w:val="18"/>
              </w:rPr>
              <w:t>11 Twin External Tasks</w:t>
              <w:br/>
              <w:t>(CuttingTwin, LayingTwin, etc.)</w:t>
            </w:r>
          </w:p>
        </w:tc>
        <w:tc>
          <w:tcPr>
            <w:tcW w:type="dxa" w:w="3168"/>
            <w:tcMar>
              <w:top w:w="60" w:type="dxa"/>
              <w:bottom w:w="60" w:type="dxa"/>
              <w:left w:w="100" w:type="dxa"/>
              <w:right w:w="100" w:type="dxa"/>
            </w:tcMar>
          </w:tcPr>
          <w:p>
            <w:pPr>
              <w:spacing w:before="40" w:after="40"/>
            </w:pPr>
            <w:r>
              <w:rPr>
                <w:sz w:val="18"/>
              </w:rPr>
              <w:t>worker/twin/*TwinWorker.java</w:t>
            </w:r>
          </w:p>
        </w:tc>
        <w:tc>
          <w:tcPr>
            <w:tcW w:type="dxa" w:w="3312"/>
            <w:tcMar>
              <w:top w:w="60" w:type="dxa"/>
              <w:bottom w:w="60" w:type="dxa"/>
              <w:left w:w="100" w:type="dxa"/>
              <w:right w:w="100" w:type="dxa"/>
            </w:tcMar>
          </w:tcPr>
          <w:p>
            <w:pPr>
              <w:spacing w:before="40" w:after="40"/>
            </w:pPr>
            <w:r>
              <w:rPr>
                <w:sz w:val="18"/>
              </w:rPr>
              <w:t>Subscribes to Twin topics, executing mirrored twin logic and decision agents.</w:t>
            </w:r>
          </w:p>
        </w:tc>
      </w:tr>
      <w:tr>
        <w:tc>
          <w:tcPr>
            <w:tcW w:type="dxa" w:w="2880"/>
            <w:tcMar>
              <w:top w:w="60" w:type="dxa"/>
              <w:bottom w:w="60" w:type="dxa"/>
              <w:left w:w="100" w:type="dxa"/>
              <w:right w:w="100" w:type="dxa"/>
            </w:tcMar>
            <w:shd w:fill="F7F9FB"/>
          </w:tcPr>
          <w:p>
            <w:pPr>
              <w:spacing w:before="40" w:after="40"/>
            </w:pPr>
            <w:r>
              <w:rPr>
                <w:b/>
                <w:sz w:val="18"/>
              </w:rPr>
              <w:t>9 Intermediate Catch Signals</w:t>
              <w:br/>
              <w:t>(cuttingSignal, shippingSignal, etc.)</w:t>
            </w:r>
          </w:p>
        </w:tc>
        <w:tc>
          <w:tcPr>
            <w:tcW w:type="dxa" w:w="3168"/>
            <w:tcMar>
              <w:top w:w="60" w:type="dxa"/>
              <w:bottom w:w="60" w:type="dxa"/>
              <w:left w:w="100" w:type="dxa"/>
              <w:right w:w="100" w:type="dxa"/>
            </w:tcMar>
            <w:shd w:fill="F7F9FB"/>
          </w:tcPr>
          <w:p>
            <w:pPr>
              <w:spacing w:before="40" w:after="40"/>
            </w:pPr>
            <w:r>
              <w:rPr>
                <w:sz w:val="18"/>
              </w:rPr>
              <w:t>signal/SignalBroadcaster.java</w:t>
            </w:r>
          </w:p>
        </w:tc>
        <w:tc>
          <w:tcPr>
            <w:tcW w:type="dxa" w:w="3312"/>
            <w:tcMar>
              <w:top w:w="60" w:type="dxa"/>
              <w:bottom w:w="60" w:type="dxa"/>
              <w:left w:w="100" w:type="dxa"/>
              <w:right w:w="100" w:type="dxa"/>
            </w:tcMar>
            <w:shd w:fill="F7F9FB"/>
          </w:tcPr>
          <w:p>
            <w:pPr>
              <w:spacing w:before="40" w:after="40"/>
            </w:pPr>
            <w:r>
              <w:rPr>
                <w:sz w:val="18"/>
              </w:rPr>
              <w:t>Dispatches catch signals across Proxy and Twin engines for lockstep manufacturing sync.</w:t>
            </w:r>
          </w:p>
        </w:tc>
      </w:tr>
      <w:tr>
        <w:tc>
          <w:tcPr>
            <w:tcW w:type="dxa" w:w="2880"/>
            <w:tcMar>
              <w:top w:w="60" w:type="dxa"/>
              <w:bottom w:w="60" w:type="dxa"/>
              <w:left w:w="100" w:type="dxa"/>
              <w:right w:w="100" w:type="dxa"/>
            </w:tcMar>
          </w:tcPr>
          <w:p>
            <w:pPr>
              <w:spacing w:before="40" w:after="40"/>
            </w:pPr>
            <w:r>
              <w:rPr>
                <w:b/>
                <w:sz w:val="18"/>
              </w:rPr>
              <w:t>AMQP Message Exchanges</w:t>
            </w:r>
          </w:p>
        </w:tc>
        <w:tc>
          <w:tcPr>
            <w:tcW w:type="dxa" w:w="3168"/>
            <w:tcMar>
              <w:top w:w="60" w:type="dxa"/>
              <w:bottom w:w="60" w:type="dxa"/>
              <w:left w:w="100" w:type="dxa"/>
              <w:right w:w="100" w:type="dxa"/>
            </w:tcMar>
          </w:tcPr>
          <w:p>
            <w:pPr>
              <w:spacing w:before="40" w:after="40"/>
            </w:pPr>
            <w:r>
              <w:rPr>
                <w:sz w:val="18"/>
              </w:rPr>
              <w:t>messaging/RabbitMqConfig.java</w:t>
              <w:br/>
              <w:t>Task/Response Listeners &amp; Publishers</w:t>
            </w:r>
          </w:p>
        </w:tc>
        <w:tc>
          <w:tcPr>
            <w:tcW w:type="dxa" w:w="3312"/>
            <w:tcMar>
              <w:top w:w="60" w:type="dxa"/>
              <w:bottom w:w="60" w:type="dxa"/>
              <w:left w:w="100" w:type="dxa"/>
              <w:right w:w="100" w:type="dxa"/>
            </w:tcMar>
          </w:tcPr>
          <w:p>
            <w:pPr>
              <w:spacing w:before="40" w:after="40"/>
            </w:pPr>
            <w:r>
              <w:rPr>
                <w:sz w:val="18"/>
              </w:rPr>
              <w:t>Provides bi-directional asynchronous queue messaging correlating Proxy and Twin tokens.</w:t>
            </w:r>
          </w:p>
        </w:tc>
      </w:tr>
      <w:tr>
        <w:tc>
          <w:tcPr>
            <w:tcW w:type="dxa" w:w="2880"/>
            <w:tcMar>
              <w:top w:w="60" w:type="dxa"/>
              <w:bottom w:w="60" w:type="dxa"/>
              <w:left w:w="100" w:type="dxa"/>
              <w:right w:w="100" w:type="dxa"/>
            </w:tcMar>
            <w:shd w:fill="F7F9FB"/>
          </w:tcPr>
          <w:p>
            <w:pPr>
              <w:spacing w:before="40" w:after="40"/>
            </w:pPr>
            <w:r>
              <w:rPr>
                <w:b/>
                <w:sz w:val="18"/>
              </w:rPr>
              <w:t>Twin Process Coordination</w:t>
            </w:r>
          </w:p>
        </w:tc>
        <w:tc>
          <w:tcPr>
            <w:tcW w:type="dxa" w:w="3168"/>
            <w:tcMar>
              <w:top w:w="60" w:type="dxa"/>
              <w:bottom w:w="60" w:type="dxa"/>
              <w:left w:w="100" w:type="dxa"/>
              <w:right w:w="100" w:type="dxa"/>
            </w:tcMar>
            <w:shd w:fill="F7F9FB"/>
          </w:tcPr>
          <w:p>
            <w:pPr>
              <w:spacing w:before="40" w:after="40"/>
            </w:pPr>
            <w:r>
              <w:rPr>
                <w:sz w:val="18"/>
              </w:rPr>
              <w:t>coordination/PairRegistry.java</w:t>
            </w:r>
          </w:p>
        </w:tc>
        <w:tc>
          <w:tcPr>
            <w:tcW w:type="dxa" w:w="3312"/>
            <w:tcMar>
              <w:top w:w="60" w:type="dxa"/>
              <w:bottom w:w="60" w:type="dxa"/>
              <w:left w:w="100" w:type="dxa"/>
              <w:right w:w="100" w:type="dxa"/>
            </w:tcMar>
            <w:shd w:fill="F7F9FB"/>
          </w:tcPr>
          <w:p>
            <w:pPr>
              <w:spacing w:before="40" w:after="40"/>
            </w:pPr>
            <w:r>
              <w:rPr>
                <w:sz w:val="18"/>
              </w:rPr>
              <w:t>Maps original RedCollar business keys to mirrored digital twin instance IDs.</w:t>
            </w:r>
          </w:p>
        </w:tc>
      </w:tr>
      <w:tr>
        <w:tc>
          <w:tcPr>
            <w:tcW w:type="dxa" w:w="2880"/>
            <w:tcMar>
              <w:top w:w="60" w:type="dxa"/>
              <w:bottom w:w="60" w:type="dxa"/>
              <w:left w:w="100" w:type="dxa"/>
              <w:right w:w="100" w:type="dxa"/>
            </w:tcMar>
          </w:tcPr>
          <w:p>
            <w:pPr>
              <w:spacing w:before="40" w:after="40"/>
            </w:pPr>
            <w:r>
              <w:rPr>
                <w:b/>
                <w:sz w:val="18"/>
              </w:rPr>
              <w:t>Evolved Twin Components</w:t>
            </w:r>
          </w:p>
        </w:tc>
        <w:tc>
          <w:tcPr>
            <w:tcW w:type="dxa" w:w="3168"/>
            <w:tcMar>
              <w:top w:w="60" w:type="dxa"/>
              <w:bottom w:w="60" w:type="dxa"/>
              <w:left w:w="100" w:type="dxa"/>
              <w:right w:w="100" w:type="dxa"/>
            </w:tcMar>
          </w:tcPr>
          <w:p>
            <w:pPr>
              <w:spacing w:before="40" w:after="40"/>
            </w:pPr>
            <w:r>
              <w:rPr>
                <w:sz w:val="18"/>
              </w:rPr>
              <w:t>ComponentExecutor.java</w:t>
              <w:br/>
              <w:t>ValidatorExecutor / CreditRiskAssessorExecutor</w:t>
            </w:r>
          </w:p>
        </w:tc>
        <w:tc>
          <w:tcPr>
            <w:tcW w:type="dxa" w:w="3312"/>
            <w:tcMar>
              <w:top w:w="60" w:type="dxa"/>
              <w:bottom w:w="60" w:type="dxa"/>
              <w:left w:w="100" w:type="dxa"/>
              <w:right w:w="100" w:type="dxa"/>
            </w:tcMar>
          </w:tcPr>
          <w:p>
            <w:pPr>
              <w:spacing w:before="40" w:after="40"/>
            </w:pPr>
            <w:r>
              <w:rPr>
                <w:sz w:val="18"/>
              </w:rPr>
              <w:t>Executes AI-selected domain components, writing output variables into the Camunda execution context.</w:t>
            </w:r>
          </w:p>
        </w:tc>
      </w:tr>
      <w:tr>
        <w:tc>
          <w:tcPr>
            <w:tcW w:type="dxa" w:w="2880"/>
            <w:tcMar>
              <w:top w:w="60" w:type="dxa"/>
              <w:bottom w:w="60" w:type="dxa"/>
              <w:left w:w="100" w:type="dxa"/>
              <w:right w:w="100" w:type="dxa"/>
            </w:tcMar>
            <w:shd w:fill="F7F9FB"/>
          </w:tcPr>
          <w:p>
            <w:pPr>
              <w:spacing w:before="40" w:after="40"/>
            </w:pPr>
            <w:r>
              <w:rPr>
                <w:b/>
                <w:sz w:val="18"/>
              </w:rPr>
              <w:t>Runtime Process Status</w:t>
            </w:r>
          </w:p>
        </w:tc>
        <w:tc>
          <w:tcPr>
            <w:tcW w:type="dxa" w:w="3168"/>
            <w:tcMar>
              <w:top w:w="60" w:type="dxa"/>
              <w:bottom w:w="60" w:type="dxa"/>
              <w:left w:w="100" w:type="dxa"/>
              <w:right w:w="100" w:type="dxa"/>
            </w:tcMar>
            <w:shd w:fill="F7F9FB"/>
          </w:tcPr>
          <w:p>
            <w:pPr>
              <w:spacing w:before="40" w:after="40"/>
            </w:pPr>
            <w:r>
              <w:rPr>
                <w:sz w:val="18"/>
              </w:rPr>
              <w:t>status/GeneratedProcessStatusController.java</w:t>
            </w:r>
          </w:p>
        </w:tc>
        <w:tc>
          <w:tcPr>
            <w:tcW w:type="dxa" w:w="3312"/>
            <w:tcMar>
              <w:top w:w="60" w:type="dxa"/>
              <w:bottom w:w="60" w:type="dxa"/>
              <w:left w:w="100" w:type="dxa"/>
              <w:right w:w="100" w:type="dxa"/>
            </w:tcMar>
            <w:shd w:fill="F7F9FB"/>
          </w:tcPr>
          <w:p>
            <w:pPr>
              <w:spacing w:before="40" w:after="40"/>
            </w:pPr>
            <w:r>
              <w:rPr>
                <w:sz w:val="18"/>
              </w:rPr>
              <w:t>Exposes REST endpoints (/api/process/status) for token position inspection.</w:t>
            </w:r>
          </w:p>
        </w:tc>
      </w:tr>
    </w:tbl>
    <w:p>
      <w:pPr>
        <w:spacing w:after="120"/>
      </w:pPr>
    </w:p>
    <w:p>
      <w:pPr>
        <w:pStyle w:val="Heading1"/>
        <w:spacing w:before="240" w:after="120"/>
      </w:pPr>
      <w:r>
        <w:t>6. Verified Deliverable URLs &amp; Commit References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043"/>
            <w:tcMar>
              <w:top w:w="80" w:type="dxa"/>
              <w:bottom w:w="80" w:type="dxa"/>
              <w:left w:w="100" w:type="dxa"/>
              <w:right w:w="100" w:type="dxa"/>
            </w:tcMar>
          </w:tcPr>
          <w:p>
            <w:pPr>
              <w:jc w:val="left"/>
            </w:pPr>
            <w:r>
              <w:rPr>
                <w:b/>
                <w:color w:val="FFFFFF"/>
                <w:sz w:val="19"/>
              </w:rPr>
              <w:t>Deliverable</w:t>
            </w:r>
          </w:p>
        </w:tc>
        <w:tc>
          <w:tcPr>
            <w:tcW w:type="dxa" w:w="1728"/>
            <w:shd w:fill="0F2043"/>
            <w:tcMar>
              <w:top w:w="80" w:type="dxa"/>
              <w:bottom w:w="80" w:type="dxa"/>
              <w:left w:w="100" w:type="dxa"/>
              <w:right w:w="100" w:type="dxa"/>
            </w:tcMar>
          </w:tcPr>
          <w:p>
            <w:pPr>
              <w:jc w:val="left"/>
            </w:pPr>
            <w:r>
              <w:rPr>
                <w:b/>
                <w:color w:val="FFFFFF"/>
                <w:sz w:val="19"/>
              </w:rPr>
              <w:t>Commit Hash</w:t>
            </w:r>
          </w:p>
        </w:tc>
        <w:tc>
          <w:tcPr>
            <w:tcW w:type="dxa" w:w="5040"/>
            <w:shd w:fill="0F2043"/>
            <w:tcMar>
              <w:top w:w="80" w:type="dxa"/>
              <w:bottom w:w="80" w:type="dxa"/>
              <w:left w:w="100" w:type="dxa"/>
              <w:right w:w="100" w:type="dxa"/>
            </w:tcMar>
          </w:tcPr>
          <w:p>
            <w:pPr>
              <w:jc w:val="left"/>
            </w:pPr>
            <w:r>
              <w:rPr>
                <w:b/>
                <w:color w:val="FFFFFF"/>
                <w:sz w:val="19"/>
              </w:rPr>
              <w:t>Verified GitHub Location</w:t>
            </w:r>
          </w:p>
        </w:tc>
      </w:tr>
      <w:tr>
        <w:tc>
          <w:tcPr>
            <w:tcW w:type="dxa" w:w="2592"/>
            <w:tcMar>
              <w:top w:w="60" w:type="dxa"/>
              <w:bottom w:w="60" w:type="dxa"/>
              <w:left w:w="100" w:type="dxa"/>
              <w:right w:w="100" w:type="dxa"/>
            </w:tcMar>
          </w:tcPr>
          <w:p>
            <w:pPr>
              <w:spacing w:before="40" w:after="40"/>
            </w:pPr>
            <w:r>
              <w:rPr>
                <w:b/>
                <w:sz w:val="18"/>
              </w:rPr>
              <w:t>RedCollar Target Platform</w:t>
            </w:r>
          </w:p>
        </w:tc>
        <w:tc>
          <w:tcPr>
            <w:tcW w:type="dxa" w:w="1728"/>
            <w:tcMar>
              <w:top w:w="60" w:type="dxa"/>
              <w:bottom w:w="60" w:type="dxa"/>
              <w:left w:w="100" w:type="dxa"/>
              <w:right w:w="100" w:type="dxa"/>
            </w:tcMar>
          </w:tcPr>
          <w:p>
            <w:pPr>
              <w:spacing w:before="40" w:after="40"/>
            </w:pPr>
            <w:r>
              <w:rPr>
                <w:rFonts w:ascii="Consolas" w:hAnsi="Consolas"/>
                <w:sz w:val="18"/>
              </w:rPr>
              <w:t>3671009</w:t>
            </w:r>
          </w:p>
        </w:tc>
        <w:tc>
          <w:tcPr>
            <w:tcW w:type="dxa" w:w="5040"/>
            <w:tcMar>
              <w:top w:w="60" w:type="dxa"/>
              <w:bottom w:w="60" w:type="dxa"/>
              <w:left w:w="100" w:type="dxa"/>
              <w:right w:w="100" w:type="dxa"/>
            </w:tcMar>
          </w:tcPr>
          <w:p>
            <w:pPr>
              <w:spacing w:before="40" w:after="40"/>
            </w:pPr>
            <w:r>
              <w:rPr>
                <w:rFonts w:ascii="Consolas" w:hAnsi="Consolas"/>
                <w:sz w:val="17"/>
              </w:rPr>
              <w:t>https://github.com/nirmantaterh/metaml_su_2026/tree/master/generated-target-platforms/redcollar-manufacturing</w:t>
            </w:r>
          </w:p>
        </w:tc>
      </w:tr>
      <w:tr>
        <w:tc>
          <w:tcPr>
            <w:tcW w:type="dxa" w:w="2592"/>
            <w:tcMar>
              <w:top w:w="60" w:type="dxa"/>
              <w:bottom w:w="60" w:type="dxa"/>
              <w:left w:w="100" w:type="dxa"/>
              <w:right w:w="100" w:type="dxa"/>
            </w:tcMar>
            <w:shd w:fill="F7F9FB"/>
          </w:tcPr>
          <w:p>
            <w:pPr>
              <w:spacing w:before="40" w:after="40"/>
            </w:pPr>
            <w:r>
              <w:rPr>
                <w:b/>
                <w:sz w:val="18"/>
              </w:rPr>
              <w:t>LiveVerify Target Platform</w:t>
            </w:r>
          </w:p>
        </w:tc>
        <w:tc>
          <w:tcPr>
            <w:tcW w:type="dxa" w:w="1728"/>
            <w:tcMar>
              <w:top w:w="60" w:type="dxa"/>
              <w:bottom w:w="60" w:type="dxa"/>
              <w:left w:w="100" w:type="dxa"/>
              <w:right w:w="100" w:type="dxa"/>
            </w:tcMar>
            <w:shd w:fill="F7F9FB"/>
          </w:tcPr>
          <w:p>
            <w:pPr>
              <w:spacing w:before="40" w:after="40"/>
            </w:pPr>
            <w:r>
              <w:rPr>
                <w:rFonts w:ascii="Consolas" w:hAnsi="Consolas"/>
                <w:sz w:val="18"/>
              </w:rPr>
              <w:t>3671009</w:t>
            </w:r>
          </w:p>
        </w:tc>
        <w:tc>
          <w:tcPr>
            <w:tcW w:type="dxa" w:w="5040"/>
            <w:tcMar>
              <w:top w:w="60" w:type="dxa"/>
              <w:bottom w:w="60" w:type="dxa"/>
              <w:left w:w="100" w:type="dxa"/>
              <w:right w:w="100" w:type="dxa"/>
            </w:tcMar>
            <w:shd w:fill="F7F9FB"/>
          </w:tcPr>
          <w:p>
            <w:pPr>
              <w:spacing w:before="40" w:after="40"/>
            </w:pPr>
            <w:r>
              <w:rPr>
                <w:rFonts w:ascii="Consolas" w:hAnsi="Consolas"/>
                <w:sz w:val="17"/>
              </w:rPr>
              <w:t>https://github.com/nirmantaterh/metaml_su_2026/tree/master/generated-target-platforms/liveverify-wiretransfer</w:t>
            </w:r>
          </w:p>
        </w:tc>
      </w:tr>
      <w:tr>
        <w:tc>
          <w:tcPr>
            <w:tcW w:type="dxa" w:w="2592"/>
            <w:tcMar>
              <w:top w:w="60" w:type="dxa"/>
              <w:bottom w:w="60" w:type="dxa"/>
              <w:left w:w="100" w:type="dxa"/>
              <w:right w:w="100" w:type="dxa"/>
            </w:tcMar>
          </w:tcPr>
          <w:p>
            <w:pPr>
              <w:spacing w:before="40" w:after="40"/>
            </w:pPr>
            <w:r>
              <w:rPr>
                <w:b/>
                <w:sz w:val="18"/>
              </w:rPr>
              <w:t>Target Platforms Overview</w:t>
            </w:r>
          </w:p>
        </w:tc>
        <w:tc>
          <w:tcPr>
            <w:tcW w:type="dxa" w:w="1728"/>
            <w:tcMar>
              <w:top w:w="60" w:type="dxa"/>
              <w:bottom w:w="60" w:type="dxa"/>
              <w:left w:w="100" w:type="dxa"/>
              <w:right w:w="100" w:type="dxa"/>
            </w:tcMar>
          </w:tcPr>
          <w:p>
            <w:pPr>
              <w:spacing w:before="40" w:after="40"/>
            </w:pPr>
            <w:r>
              <w:rPr>
                <w:rFonts w:ascii="Consolas" w:hAnsi="Consolas"/>
                <w:sz w:val="18"/>
              </w:rPr>
              <w:t>3671009</w:t>
            </w:r>
          </w:p>
        </w:tc>
        <w:tc>
          <w:tcPr>
            <w:tcW w:type="dxa" w:w="5040"/>
            <w:tcMar>
              <w:top w:w="60" w:type="dxa"/>
              <w:bottom w:w="60" w:type="dxa"/>
              <w:left w:w="100" w:type="dxa"/>
              <w:right w:w="100" w:type="dxa"/>
            </w:tcMar>
          </w:tcPr>
          <w:p>
            <w:pPr>
              <w:spacing w:before="40" w:after="40"/>
            </w:pPr>
            <w:r>
              <w:rPr>
                <w:rFonts w:ascii="Consolas" w:hAnsi="Consolas"/>
                <w:sz w:val="17"/>
              </w:rPr>
              <w:t>https://github.com/nirmantaterh/metaml_su_2026/tree/master/generated-target-platforms</w:t>
            </w:r>
          </w:p>
        </w:tc>
      </w:tr>
      <w:tr>
        <w:tc>
          <w:tcPr>
            <w:tcW w:type="dxa" w:w="2592"/>
            <w:tcMar>
              <w:top w:w="60" w:type="dxa"/>
              <w:bottom w:w="60" w:type="dxa"/>
              <w:left w:w="100" w:type="dxa"/>
              <w:right w:w="100" w:type="dxa"/>
            </w:tcMar>
            <w:shd w:fill="F7F9FB"/>
          </w:tcPr>
          <w:p>
            <w:pPr>
              <w:spacing w:before="40" w:after="40"/>
            </w:pPr>
            <w:r>
              <w:rPr>
                <w:b/>
                <w:sz w:val="18"/>
              </w:rPr>
              <w:t>VS Code Plugin &amp; AI Layer</w:t>
            </w:r>
          </w:p>
        </w:tc>
        <w:tc>
          <w:tcPr>
            <w:tcW w:type="dxa" w:w="1728"/>
            <w:tcMar>
              <w:top w:w="60" w:type="dxa"/>
              <w:bottom w:w="60" w:type="dxa"/>
              <w:left w:w="100" w:type="dxa"/>
              <w:right w:w="100" w:type="dxa"/>
            </w:tcMar>
            <w:shd w:fill="F7F9FB"/>
          </w:tcPr>
          <w:p>
            <w:r>
              <w:t>95c7231</w:t>
            </w:r>
          </w:p>
        </w:tc>
        <w:tc>
          <w:tcPr>
            <w:tcW w:type="dxa" w:w="5040"/>
            <w:tcMar>
              <w:top w:w="60" w:type="dxa"/>
              <w:bottom w:w="60" w:type="dxa"/>
              <w:left w:w="100" w:type="dxa"/>
              <w:right w:w="100" w:type="dxa"/>
            </w:tcMar>
            <w:shd w:fill="F7F9FB"/>
          </w:tcPr>
          <w:p>
            <w:pPr>
              <w:spacing w:before="40" w:after="40"/>
            </w:pPr>
            <w:r>
              <w:rPr>
                <w:rFonts w:ascii="Consolas" w:hAnsi="Consolas"/>
                <w:sz w:val="17"/>
              </w:rPr>
              <w:t>https://github.com/nirmantaterh/metaml-vscode-plugin/tree/master</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7"/>
      </w:rPr>
      <w:t>MetaML End-to-End Implementation &amp; Demonstration Guide | RedCollar Manufacturing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