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2043"/>
          <w:sz w:val="40"/>
        </w:rPr>
        <w:t>MetaML End-to-End Demo</w:t>
      </w:r>
    </w:p>
    <w:p>
      <w:pPr>
        <w:spacing w:after="200"/>
      </w:pPr>
      <w:r>
        <w:rPr>
          <w:rFonts w:ascii="Arial" w:hAnsi="Arial"/>
          <w:color w:val="505A69"/>
          <w:sz w:val="24"/>
        </w:rPr>
        <w:t>Generated RedCollar Target Platform + Twin Runtime + AI-Driven Component Evolution</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180" w:type="dxa"/>
              <w:right w:w="180" w:type="dxa"/>
            </w:tcMar>
            <w:tcBorders>
              <w:left w:val="single" w:sz="24" w:space="0" w:color="0056B3"/>
              <w:top w:val="none"/>
              <w:right w:val="none"/>
              <w:bottom w:val="none"/>
            </w:tcBorders>
          </w:tcPr>
          <w:p>
            <w:r>
              <w:t>Run commands from the relevant repository root. The commands below are laptop-agnostic and do not depend on machine-specific absolute paths or operating system home directories.</w:t>
            </w:r>
          </w:p>
        </w:tc>
      </w:tr>
    </w:tbl>
    <w:p>
      <w:pPr>
        <w:spacing w:after="80"/>
      </w:pPr>
    </w:p>
    <w:p>
      <w:pPr>
        <w:pStyle w:val="Heading1"/>
        <w:spacing w:before="200" w:after="80"/>
      </w:pPr>
      <w:r>
        <w:t>1. Primary Deliverable: Completed Generated Target Platform</w:t>
      </w:r>
    </w:p>
    <w:p>
      <w:pPr>
        <w:spacing w:after="80"/>
      </w:pPr>
      <w:r>
        <w:t>The completed, runnable Target Platform application generated from the canonical RedCollar garment manufacturing models (Manuf-camunda.bpmn and Twin-camunda.bpmn) is committed as a standalone Maven/Spring Boot project at:</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pPr>
              <w:spacing w:before="40" w:after="40"/>
            </w:pPr>
            <w:r>
              <w:rPr>
                <w:rFonts w:ascii="Consolas" w:hAnsi="Consolas"/>
                <w:color w:val="282C34"/>
                <w:sz w:val="18"/>
              </w:rPr>
              <w:t>generated-target-platforms/redcollar-manufacturing/</w:t>
            </w:r>
          </w:p>
        </w:tc>
      </w:tr>
    </w:tbl>
    <w:p>
      <w:pPr>
        <w:spacing w:after="80"/>
      </w:pPr>
    </w:p>
    <w:p>
      <w:pPr>
        <w:spacing w:after="120"/>
      </w:pPr>
      <w:r>
        <w:t>This directory is a complete generated application containing its own pom.xml, Spring Boot configuration, Camunda process definitions, 12 proxy external task workers, 11 twin workers/agent, 11 total synchronization signal handlers (9 shared production synchronization signals + 2 additional signal handlers), RabbitMQ AMQP messaging infrastructure, PairRegistry correlation, and REST status/start controllers. The Workbench is the environment that models, transforms, governs, and generates the process runtime, while the Target Platform is the standalone executable artifact generated from that model, with its own Camunda engine and execution infrastructure. It is distinct from the static scaffolding template repository in backend/RedCollarTP/.</w:t>
      </w:r>
    </w:p>
    <w:p>
      <w:pPr>
        <w:pStyle w:val="Heading1"/>
        <w:spacing w:before="200" w:after="80"/>
      </w:pPr>
      <w:r>
        <w:t>2. System Architecture &amp; Execution Flow</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r>
              <w:t>REDCOLLAR BPMN MODELS</w:t>
              <w:br/>
              <w:t xml:space="preserve">  • Manuf-camunda.bpmn (RedCollar.Manuf - Proxy)</w:t>
              <w:br/>
              <w:t xml:space="preserve">  • Twin-camunda.bpmn  (RedCollar.Twin  - Twin)</w:t>
              <w:br/>
              <w:t xml:space="preserve">                     │</w:t>
              <w:br/>
              <w:t xml:space="preserve">                     ▼</w:t>
              <w:br/>
              <w:t xml:space="preserve">          META ML WORKBENCH GENERATOR</w:t>
              <w:br/>
              <w:t xml:space="preserve">          (SpringBootProjectGenerator)</w:t>
              <w:br/>
              <w:t xml:space="preserve">                     │</w:t>
              <w:br/>
              <w:t xml:space="preserve">                     ▼</w:t>
              <w:br/>
              <w:t>┌────────────────────────────────────────────────────────────┐</w:t>
              <w:br/>
              <w:t>│ COMPLETED GENERATED REDCOLLAR TARGET PLATFORM              │</w:t>
              <w:br/>
              <w:t>│ generated-target-platforms/redcollar-manufacturing/        │</w:t>
              <w:br/>
              <w:t>│                                                            │</w:t>
              <w:br/>
              <w:t>│ • 12 Proxy Workers          • 11 Twin Workers + Agent      │</w:t>
              <w:br/>
              <w:t>│ • 11 Sync Signal Handlers    • RabbitMQ AMQP Listeners      │</w:t>
              <w:br/>
              <w:t>│ • PairRegistry Correlator   • REST Controllers             │</w:t>
              <w:br/>
              <w:t>│ • Single Embedded Camunda Engine (Proxy &amp; Twin Lockstep)   │</w:t>
              <w:br/>
              <w:t>└────────────────────────────┬───────────────────────────────┘</w:t>
              <w:br/>
              <w:t xml:space="preserve">                             │</w:t>
              <w:br/>
              <w:t xml:space="preserve">                             ▼</w:t>
              <w:br/>
              <w:t xml:space="preserve">             REDCOLLAR TWIN ACTIVITY</w:t>
              <w:br/>
              <w:t xml:space="preserve">        (e.g., Checking, VerifyOrder, Sampling)</w:t>
              <w:br/>
              <w:t xml:space="preserve">                             │</w:t>
              <w:br/>
              <w:t xml:space="preserve">                             ▼</w:t>
              <w:br/>
              <w:t xml:space="preserve">            NODE MANAGER AGENT CATALOG (:8083)</w:t>
              <w:br/>
              <w:t xml:space="preserve">        (validator, credit-risk-assessor, etc.)</w:t>
              <w:br/>
              <w:t xml:space="preserve">                             │</w:t>
              <w:br/>
              <w:t xml:space="preserve">                             ▼</w:t>
              <w:br/>
              <w:t xml:space="preserve">                  OLLAMA AI DECISION LAYER</w:t>
              <w:br/>
              <w:t xml:space="preserve">                       (qwen2.5:3b)      </w:t>
              <w:br/>
              <w:t xml:space="preserve">                             │</w:t>
              <w:br/>
              <w:t xml:space="preserve">                             ▼</w:t>
              <w:br/>
              <w:t xml:space="preserve">                 FAIL-CLOSED CATALOG VALIDATION</w:t>
              <w:br/>
              <w:t xml:space="preserve">                             │</w:t>
              <w:br/>
              <w:t xml:space="preserve">                             ▼</w:t>
              <w:br/>
              <w:t xml:space="preserve">                GOVERNANCE POLICY EVALUATION</w:t>
              <w:br/>
              <w:t xml:space="preserve">                             │</w:t>
              <w:br/>
              <w:t xml:space="preserve">                             ▼</w:t>
              <w:br/>
              <w:t xml:space="preserve">             PLUGGABLE COMPONENT DISPATCH</w:t>
              <w:br/>
              <w:t xml:space="preserve">       (Validator, CreditRiskAssessor, DataEnricher, Notifier)</w:t>
              <w:br/>
              <w:t xml:space="preserve">                             │</w:t>
              <w:br/>
              <w:t xml:space="preserve">                             ▼</w:t>
              <w:br/>
              <w:t xml:space="preserve">        EVOLVED REDCOLLAR TWIN PROCESS ADVANCEMENT</w:t>
            </w:r>
          </w:p>
        </w:tc>
      </w:tr>
    </w:tbl>
    <w:p>
      <w:pPr>
        <w:spacing w:after="80"/>
      </w:pPr>
    </w:p>
    <w:p>
      <w:pPr/>
      <w:r>
        <w:t>The Twin Activity step in this flow is launched, connected, and protected from premature automation entirely from VS Code, without leaving the editor. See Steps 5-7 below.</w:t>
      </w:r>
    </w:p>
    <w:p>
      <w:pPr>
        <w:pStyle w:val="Heading1"/>
        <w:spacing w:before="200" w:after="80"/>
      </w:pPr>
      <w:r>
        <w:t>3. Repository Layout &amp; Artifact Separation</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F2043"/>
            <w:tcMar>
              <w:top w:w="80" w:type="dxa"/>
              <w:bottom w:w="80" w:type="dxa"/>
              <w:left w:w="100" w:type="dxa"/>
              <w:right w:w="100" w:type="dxa"/>
            </w:tcMar>
          </w:tcPr>
          <w:p>
            <w:r>
              <w:rPr>
                <w:b/>
                <w:color w:val="FFFFFF"/>
                <w:sz w:val="18"/>
              </w:rPr>
              <w:t>Repository Path</w:t>
            </w:r>
          </w:p>
        </w:tc>
        <w:tc>
          <w:tcPr>
            <w:tcW w:type="dxa" w:w="1872"/>
            <w:shd w:fill="0F2043"/>
            <w:tcMar>
              <w:top w:w="80" w:type="dxa"/>
              <w:bottom w:w="80" w:type="dxa"/>
              <w:left w:w="100" w:type="dxa"/>
              <w:right w:w="100" w:type="dxa"/>
            </w:tcMar>
          </w:tcPr>
          <w:p>
            <w:r>
              <w:rPr>
                <w:b/>
                <w:color w:val="FFFFFF"/>
                <w:sz w:val="18"/>
              </w:rPr>
              <w:t>Category</w:t>
            </w:r>
          </w:p>
        </w:tc>
        <w:tc>
          <w:tcPr>
            <w:tcW w:type="dxa" w:w="4176"/>
            <w:shd w:fill="0F2043"/>
            <w:tcMar>
              <w:top w:w="80" w:type="dxa"/>
              <w:bottom w:w="80" w:type="dxa"/>
              <w:left w:w="100" w:type="dxa"/>
              <w:right w:w="100" w:type="dxa"/>
            </w:tcMar>
          </w:tcPr>
          <w:p>
            <w:r>
              <w:rPr>
                <w:b/>
                <w:color w:val="FFFFFF"/>
                <w:sz w:val="18"/>
              </w:rPr>
              <w:t>Description</w:t>
            </w:r>
          </w:p>
        </w:tc>
      </w:tr>
      <w:tr>
        <w:tc>
          <w:tcPr>
            <w:tcW w:type="dxa" w:w="3312"/>
            <w:tcMar>
              <w:top w:w="50" w:type="dxa"/>
              <w:bottom w:w="50" w:type="dxa"/>
              <w:left w:w="100" w:type="dxa"/>
              <w:right w:w="100" w:type="dxa"/>
            </w:tcMar>
            <w:shd w:fill="E2E8F0"/>
          </w:tcPr>
          <w:p>
            <w:pPr>
              <w:spacing w:before="40" w:after="40"/>
            </w:pPr>
            <w:r>
              <w:rPr>
                <w:b/>
                <w:color w:val="0F2043"/>
                <w:sz w:val="17"/>
              </w:rPr>
              <w:t>WORKBENCH REPOSITORY</w:t>
            </w:r>
          </w:p>
        </w:tc>
        <w:tc>
          <w:tcPr>
            <w:tcW w:type="dxa" w:w="1872"/>
            <w:tcMar>
              <w:top w:w="50" w:type="dxa"/>
              <w:bottom w:w="50" w:type="dxa"/>
              <w:left w:w="100" w:type="dxa"/>
              <w:right w:w="100" w:type="dxa"/>
            </w:tcMar>
            <w:shd w:fill="E2E8F0"/>
          </w:tcPr>
          <w:p>
            <w:pPr>
              <w:spacing w:before="40" w:after="40"/>
            </w:pPr>
            <w:r>
              <w:rPr>
                <w:b/>
                <w:color w:val="0F2043"/>
                <w:sz w:val="17"/>
              </w:rPr>
              <w:t>---</w:t>
            </w:r>
          </w:p>
        </w:tc>
        <w:tc>
          <w:tcPr>
            <w:tcW w:type="dxa" w:w="4176"/>
            <w:tcMar>
              <w:top w:w="50" w:type="dxa"/>
              <w:bottom w:w="50" w:type="dxa"/>
              <w:left w:w="100" w:type="dxa"/>
              <w:right w:w="100" w:type="dxa"/>
            </w:tcMar>
            <w:shd w:fill="E2E8F0"/>
          </w:tcPr>
          <w:p>
            <w:pPr>
              <w:spacing w:before="40" w:after="40"/>
            </w:pPr>
            <w:r>
              <w:rPr>
                <w:b/>
                <w:color w:val="0F2043"/>
                <w:sz w:val="17"/>
              </w:rPr>
              <w:t>---</w:t>
            </w:r>
          </w:p>
        </w:tc>
      </w:tr>
      <w:tr>
        <w:tc>
          <w:tcPr>
            <w:tcW w:type="dxa" w:w="3312"/>
            <w:tcMar>
              <w:top w:w="50" w:type="dxa"/>
              <w:bottom w:w="50" w:type="dxa"/>
              <w:left w:w="100" w:type="dxa"/>
              <w:right w:w="100" w:type="dxa"/>
            </w:tcMar>
            <w:shd w:fill="F7F9FB"/>
          </w:tcPr>
          <w:p>
            <w:pPr>
              <w:spacing w:before="40" w:after="40"/>
            </w:pPr>
            <w:r>
              <w:rPr>
                <w:rFonts w:ascii="Consolas" w:hAnsi="Consolas"/>
                <w:b/>
                <w:sz w:val="17"/>
              </w:rPr>
              <w:t>backend/RedCollarTP/</w:t>
            </w:r>
          </w:p>
        </w:tc>
        <w:tc>
          <w:tcPr>
            <w:tcW w:type="dxa" w:w="1872"/>
            <w:tcMar>
              <w:top w:w="50" w:type="dxa"/>
              <w:bottom w:w="50" w:type="dxa"/>
              <w:left w:w="100" w:type="dxa"/>
              <w:right w:w="100" w:type="dxa"/>
            </w:tcMar>
            <w:shd w:fill="F7F9FB"/>
          </w:tcPr>
          <w:p>
            <w:r>
              <w:t>Scaffolding Project Template</w:t>
            </w:r>
          </w:p>
        </w:tc>
        <w:tc>
          <w:tcPr>
            <w:tcW w:type="dxa" w:w="4176"/>
            <w:tcMar>
              <w:top w:w="50" w:type="dxa"/>
              <w:bottom w:w="50" w:type="dxa"/>
              <w:left w:w="100" w:type="dxa"/>
              <w:right w:w="100" w:type="dxa"/>
            </w:tcMar>
            <w:shd w:fill="F7F9FB"/>
          </w:tcPr>
          <w:p>
            <w:r>
              <w:t>Base Spring Boot Maven template (Java 17, Spring Boot 3.1.12, Camunda 7.20.0) containing static scaffolding (pom.xml, application properties, Camunda engine config, RabbitMQ messaging infrastructure) cloned via copyTemplate() prior to dynamic BPMN worker/delegate synthesis.</w:t>
            </w:r>
          </w:p>
        </w:tc>
      </w:tr>
      <w:tr>
        <w:tc>
          <w:tcPr>
            <w:tcW w:type="dxa" w:w="3312"/>
            <w:tcMar>
              <w:top w:w="50" w:type="dxa"/>
              <w:bottom w:w="50" w:type="dxa"/>
              <w:left w:w="100" w:type="dxa"/>
              <w:right w:w="100" w:type="dxa"/>
            </w:tcMar>
          </w:tcPr>
          <w:p>
            <w:pPr>
              <w:spacing w:before="40" w:after="40"/>
            </w:pPr>
            <w:r>
              <w:rPr>
                <w:rFonts w:ascii="Consolas" w:hAnsi="Consolas"/>
                <w:b/>
                <w:sz w:val="17"/>
              </w:rPr>
              <w:t>generated-target-platforms/redcollar-manufacturing/</w:t>
            </w:r>
          </w:p>
        </w:tc>
        <w:tc>
          <w:tcPr>
            <w:tcW w:type="dxa" w:w="1872"/>
            <w:tcMar>
              <w:top w:w="50" w:type="dxa"/>
              <w:bottom w:w="50" w:type="dxa"/>
              <w:left w:w="100" w:type="dxa"/>
              <w:right w:w="100" w:type="dxa"/>
            </w:tcMar>
          </w:tcPr>
          <w:p>
            <w:r>
              <w:t>Canonical Generated Target Platform</w:t>
            </w:r>
          </w:p>
        </w:tc>
        <w:tc>
          <w:tcPr>
            <w:tcW w:type="dxa" w:w="4176"/>
            <w:tcMar>
              <w:top w:w="50" w:type="dxa"/>
              <w:bottom w:w="50" w:type="dxa"/>
              <w:left w:w="100" w:type="dxa"/>
              <w:right w:w="100" w:type="dxa"/>
            </w:tcMar>
          </w:tcPr>
          <w:p>
            <w:r>
              <w:t>Complete standalone executable Spring Boot application generated from RedCollar BPMN models: 43 Java source files (12 Proxy workers, 11 Twin workers/agent), AMQP messaging, PairRegistry correlation, and single embedded Camunda engine executing Proxy and Twin processes in lockstep.</w:t>
            </w:r>
          </w:p>
        </w:tc>
      </w:tr>
      <w:tr>
        <w:tc>
          <w:tcPr>
            <w:tcW w:type="dxa" w:w="3312"/>
            <w:tcMar>
              <w:top w:w="50" w:type="dxa"/>
              <w:bottom w:w="50" w:type="dxa"/>
              <w:left w:w="100" w:type="dxa"/>
              <w:right w:w="100" w:type="dxa"/>
            </w:tcMar>
            <w:shd w:fill="F7F9FB"/>
          </w:tcPr>
          <w:p>
            <w:pPr>
              <w:spacing w:before="40" w:after="40"/>
            </w:pPr>
            <w:r>
              <w:rPr>
                <w:rFonts w:ascii="Consolas" w:hAnsi="Consolas"/>
                <w:b/>
                <w:sz w:val="17"/>
              </w:rPr>
              <w:t>generated-target-platforms/liveverify-wiretransfer/</w:t>
            </w:r>
          </w:p>
        </w:tc>
        <w:tc>
          <w:tcPr>
            <w:tcW w:type="dxa" w:w="1872"/>
            <w:tcMar>
              <w:top w:w="50" w:type="dxa"/>
              <w:bottom w:w="50" w:type="dxa"/>
              <w:left w:w="100" w:type="dxa"/>
              <w:right w:w="100" w:type="dxa"/>
            </w:tcMar>
            <w:shd w:fill="F7F9FB"/>
          </w:tcPr>
          <w:p>
            <w:pPr>
              <w:spacing w:before="40" w:after="40"/>
            </w:pPr>
            <w:r>
              <w:rPr>
                <w:sz w:val="17"/>
              </w:rPr>
              <w:t>Acceptance Demo App</w:t>
            </w:r>
          </w:p>
        </w:tc>
        <w:tc>
          <w:tcPr>
            <w:tcW w:type="dxa" w:w="4176"/>
            <w:tcMar>
              <w:top w:w="50" w:type="dxa"/>
              <w:bottom w:w="50" w:type="dxa"/>
              <w:left w:w="100" w:type="dxa"/>
              <w:right w:w="100" w:type="dxa"/>
            </w:tcMar>
            <w:shd w:fill="F7F9FB"/>
          </w:tcPr>
          <w:p>
            <w:pPr>
              <w:spacing w:before="40" w:after="40"/>
            </w:pPr>
            <w:r>
              <w:rPr>
                <w:sz w:val="17"/>
              </w:rPr>
              <w:t>Scope Item 6 acceptance Target Platform used for automated component evolution and credit risk evaluation tests.</w:t>
            </w:r>
          </w:p>
        </w:tc>
      </w:tr>
      <w:tr>
        <w:tc>
          <w:tcPr>
            <w:tcW w:type="dxa" w:w="3312"/>
            <w:tcMar>
              <w:top w:w="50" w:type="dxa"/>
              <w:bottom w:w="50" w:type="dxa"/>
              <w:left w:w="100" w:type="dxa"/>
              <w:right w:w="100" w:type="dxa"/>
            </w:tcMar>
          </w:tcPr>
          <w:p>
            <w:pPr>
              <w:spacing w:before="40" w:after="40"/>
            </w:pPr>
            <w:r>
              <w:rPr>
                <w:rFonts w:ascii="Consolas" w:hAnsi="Consolas"/>
                <w:b/>
                <w:sz w:val="17"/>
              </w:rPr>
              <w:t>e2e-acceptance-artifacts/fixtures/kitchen-sink-process.bpmn</w:t>
            </w:r>
          </w:p>
        </w:tc>
        <w:tc>
          <w:tcPr>
            <w:tcW w:type="dxa" w:w="1872"/>
            <w:tcMar>
              <w:top w:w="50" w:type="dxa"/>
              <w:bottom w:w="50" w:type="dxa"/>
              <w:left w:w="100" w:type="dxa"/>
              <w:right w:w="100" w:type="dxa"/>
            </w:tcMar>
          </w:tcPr>
          <w:p>
            <w:pPr>
              <w:spacing w:before="40" w:after="40"/>
            </w:pPr>
            <w:r>
              <w:rPr>
                <w:sz w:val="17"/>
              </w:rPr>
              <w:t>Generator Fixture</w:t>
            </w:r>
          </w:p>
        </w:tc>
        <w:tc>
          <w:tcPr>
            <w:tcW w:type="dxa" w:w="4176"/>
            <w:tcMar>
              <w:top w:w="50" w:type="dxa"/>
              <w:bottom w:w="50" w:type="dxa"/>
              <w:left w:w="100" w:type="dxa"/>
              <w:right w:w="100" w:type="dxa"/>
            </w:tcMar>
          </w:tcPr>
          <w:p>
            <w:pPr>
              <w:spacing w:before="40" w:after="40"/>
            </w:pPr>
            <w:r>
              <w:rPr>
                <w:sz w:val="17"/>
              </w:rPr>
              <w:t>Broader BPMN fixture used to exercise complex gateways, delegate expressions, and execution listeners.</w:t>
            </w:r>
          </w:p>
        </w:tc>
      </w:tr>
      <w:tr>
        <w:tc>
          <w:tcPr>
            <w:tcW w:type="dxa" w:w="3312"/>
            <w:tcMar>
              <w:top w:w="50" w:type="dxa"/>
              <w:bottom w:w="50" w:type="dxa"/>
              <w:left w:w="100" w:type="dxa"/>
              <w:right w:w="100" w:type="dxa"/>
            </w:tcMar>
            <w:shd w:fill="F7F9FB"/>
          </w:tcPr>
          <w:p>
            <w:pPr>
              <w:spacing w:before="40" w:after="40"/>
            </w:pPr>
            <w:r>
              <w:rPr>
                <w:rFonts w:ascii="Consolas" w:hAnsi="Consolas"/>
                <w:b/>
                <w:sz w:val="17"/>
              </w:rPr>
              <w:t>Manuf-camunda.bpmn / Twin-camunda.bpmn</w:t>
            </w:r>
          </w:p>
        </w:tc>
        <w:tc>
          <w:tcPr>
            <w:tcW w:type="dxa" w:w="1872"/>
            <w:tcMar>
              <w:top w:w="50" w:type="dxa"/>
              <w:bottom w:w="50" w:type="dxa"/>
              <w:left w:w="100" w:type="dxa"/>
              <w:right w:w="100" w:type="dxa"/>
            </w:tcMar>
            <w:shd w:fill="F7F9FB"/>
          </w:tcPr>
          <w:p>
            <w:pPr>
              <w:spacing w:before="40" w:after="40"/>
            </w:pPr>
            <w:r>
              <w:rPr>
                <w:sz w:val="17"/>
              </w:rPr>
              <w:t>Canonical Models</w:t>
            </w:r>
          </w:p>
        </w:tc>
        <w:tc>
          <w:tcPr>
            <w:tcW w:type="dxa" w:w="4176"/>
            <w:tcMar>
              <w:top w:w="50" w:type="dxa"/>
              <w:bottom w:w="50" w:type="dxa"/>
              <w:left w:w="100" w:type="dxa"/>
              <w:right w:w="100" w:type="dxa"/>
            </w:tcMar>
            <w:shd w:fill="F7F9FB"/>
          </w:tcPr>
          <w:p>
            <w:pPr>
              <w:spacing w:before="40" w:after="40"/>
            </w:pPr>
            <w:r>
              <w:rPr>
                <w:sz w:val="17"/>
              </w:rPr>
              <w:t>Canonical RedCollar manufacturing process models with 9 synchronized production stages.</w:t>
            </w:r>
          </w:p>
        </w:tc>
      </w:tr>
      <w:tr>
        <w:tc>
          <w:tcPr>
            <w:tcW w:type="dxa" w:w="3312"/>
            <w:tcMar>
              <w:top w:w="50" w:type="dxa"/>
              <w:bottom w:w="50" w:type="dxa"/>
              <w:left w:w="100" w:type="dxa"/>
              <w:right w:w="100" w:type="dxa"/>
            </w:tcMar>
            <w:shd w:fill="E2E8F0"/>
          </w:tcPr>
          <w:p>
            <w:pPr>
              <w:spacing w:before="40" w:after="40"/>
            </w:pPr>
            <w:r>
              <w:rPr>
                <w:b/>
                <w:color w:val="0F2043"/>
                <w:sz w:val="17"/>
              </w:rPr>
              <w:t>PLUGIN REPOSITORY</w:t>
            </w:r>
          </w:p>
        </w:tc>
        <w:tc>
          <w:tcPr>
            <w:tcW w:type="dxa" w:w="1872"/>
            <w:tcMar>
              <w:top w:w="50" w:type="dxa"/>
              <w:bottom w:w="50" w:type="dxa"/>
              <w:left w:w="100" w:type="dxa"/>
              <w:right w:w="100" w:type="dxa"/>
            </w:tcMar>
            <w:shd w:fill="E2E8F0"/>
          </w:tcPr>
          <w:p>
            <w:pPr>
              <w:spacing w:before="40" w:after="40"/>
            </w:pPr>
            <w:r>
              <w:rPr>
                <w:b/>
                <w:color w:val="0F2043"/>
                <w:sz w:val="17"/>
              </w:rPr>
              <w:t>---</w:t>
            </w:r>
          </w:p>
        </w:tc>
        <w:tc>
          <w:tcPr>
            <w:tcW w:type="dxa" w:w="4176"/>
            <w:tcMar>
              <w:top w:w="50" w:type="dxa"/>
              <w:bottom w:w="50" w:type="dxa"/>
              <w:left w:w="100" w:type="dxa"/>
              <w:right w:w="100" w:type="dxa"/>
            </w:tcMar>
            <w:shd w:fill="E2E8F0"/>
          </w:tcPr>
          <w:p>
            <w:pPr>
              <w:spacing w:before="40" w:after="40"/>
            </w:pPr>
            <w:r>
              <w:rPr>
                <w:b/>
                <w:color w:val="0F2043"/>
                <w:sz w:val="17"/>
              </w:rPr>
              <w:t>---</w:t>
            </w:r>
          </w:p>
        </w:tc>
      </w:tr>
      <w:tr>
        <w:tc>
          <w:tcPr>
            <w:tcW w:type="dxa" w:w="3312"/>
            <w:tcMar>
              <w:top w:w="50" w:type="dxa"/>
              <w:bottom w:w="50" w:type="dxa"/>
              <w:left w:w="100" w:type="dxa"/>
              <w:right w:w="100" w:type="dxa"/>
            </w:tcMar>
            <w:shd w:fill="F7F9FB"/>
          </w:tcPr>
          <w:p>
            <w:pPr>
              <w:spacing w:before="40" w:after="40"/>
            </w:pPr>
            <w:r>
              <w:rPr>
                <w:rFonts w:ascii="Consolas" w:hAnsi="Consolas"/>
                <w:b/>
                <w:sz w:val="17"/>
              </w:rPr>
              <w:t>src/aiDecisionService.ts</w:t>
            </w:r>
          </w:p>
        </w:tc>
        <w:tc>
          <w:tcPr>
            <w:tcW w:type="dxa" w:w="1872"/>
            <w:tcMar>
              <w:top w:w="50" w:type="dxa"/>
              <w:bottom w:w="50" w:type="dxa"/>
              <w:left w:w="100" w:type="dxa"/>
              <w:right w:w="100" w:type="dxa"/>
            </w:tcMar>
            <w:shd w:fill="F7F9FB"/>
          </w:tcPr>
          <w:p>
            <w:pPr>
              <w:spacing w:before="40" w:after="40"/>
            </w:pPr>
            <w:r>
              <w:rPr>
                <w:sz w:val="17"/>
              </w:rPr>
              <w:t>AI Decision Layer</w:t>
            </w:r>
          </w:p>
        </w:tc>
        <w:tc>
          <w:tcPr>
            <w:tcW w:type="dxa" w:w="4176"/>
            <w:tcMar>
              <w:top w:w="50" w:type="dxa"/>
              <w:bottom w:w="50" w:type="dxa"/>
              <w:left w:w="100" w:type="dxa"/>
              <w:right w:w="100" w:type="dxa"/>
            </w:tcMar>
            <w:shd w:fill="F7F9FB"/>
          </w:tcPr>
          <w:p>
            <w:pPr>
              <w:spacing w:before="40" w:after="40"/>
            </w:pPr>
            <w:r>
              <w:rPr>
                <w:sz w:val="17"/>
              </w:rPr>
              <w:t>Integrates with Ollama provider, builds candidate prompts, and parses structured recommendations.</w:t>
            </w:r>
          </w:p>
        </w:tc>
      </w:tr>
      <w:tr>
        <w:tc>
          <w:tcPr>
            <w:tcW w:type="dxa" w:w="3312"/>
            <w:tcMar>
              <w:top w:w="50" w:type="dxa"/>
              <w:bottom w:w="50" w:type="dxa"/>
              <w:left w:w="100" w:type="dxa"/>
              <w:right w:w="100" w:type="dxa"/>
            </w:tcMar>
          </w:tcPr>
          <w:p>
            <w:pPr>
              <w:spacing w:before="40" w:after="40"/>
            </w:pPr>
            <w:r>
              <w:rPr>
                <w:rFonts w:ascii="Consolas" w:hAnsi="Consolas"/>
                <w:b/>
                <w:sz w:val="17"/>
              </w:rPr>
              <w:t>src/workbenchClient.ts</w:t>
            </w:r>
          </w:p>
        </w:tc>
        <w:tc>
          <w:tcPr>
            <w:tcW w:type="dxa" w:w="1872"/>
            <w:tcMar>
              <w:top w:w="50" w:type="dxa"/>
              <w:bottom w:w="50" w:type="dxa"/>
              <w:left w:w="100" w:type="dxa"/>
              <w:right w:w="100" w:type="dxa"/>
            </w:tcMar>
          </w:tcPr>
          <w:p>
            <w:pPr>
              <w:spacing w:before="40" w:after="40"/>
            </w:pPr>
            <w:r>
              <w:rPr>
                <w:sz w:val="17"/>
              </w:rPr>
              <w:t>Workbench Client</w:t>
            </w:r>
          </w:p>
        </w:tc>
        <w:tc>
          <w:tcPr>
            <w:tcW w:type="dxa" w:w="4176"/>
            <w:tcMar>
              <w:top w:w="50" w:type="dxa"/>
              <w:bottom w:w="50" w:type="dxa"/>
              <w:left w:w="100" w:type="dxa"/>
              <w:right w:w="100" w:type="dxa"/>
            </w:tcMar>
          </w:tcPr>
          <w:p>
            <w:r>
              <w:t>Queries Target Platforms, Twin processes, and Twin activities from Workbench REST API (:8082).</w:t>
            </w:r>
          </w:p>
        </w:tc>
      </w:tr>
      <w:tr>
        <w:tc>
          <w:tcPr>
            <w:tcW w:type="dxa" w:w="3312"/>
            <w:tcMar>
              <w:top w:w="50" w:type="dxa"/>
              <w:bottom w:w="50" w:type="dxa"/>
              <w:left w:w="100" w:type="dxa"/>
              <w:right w:w="100" w:type="dxa"/>
            </w:tcMar>
            <w:shd w:fill="F7F9FB"/>
          </w:tcPr>
          <w:p>
            <w:pPr>
              <w:spacing w:before="40" w:after="40"/>
            </w:pPr>
            <w:r>
              <w:rPr>
                <w:rFonts w:ascii="Consolas" w:hAnsi="Consolas"/>
                <w:b/>
                <w:sz w:val="17"/>
              </w:rPr>
              <w:t>src/explorerTreeProvider.ts</w:t>
            </w:r>
          </w:p>
        </w:tc>
        <w:tc>
          <w:tcPr>
            <w:tcW w:type="dxa" w:w="1872"/>
            <w:tcMar>
              <w:top w:w="50" w:type="dxa"/>
              <w:bottom w:w="50" w:type="dxa"/>
              <w:left w:w="100" w:type="dxa"/>
              <w:right w:w="100" w:type="dxa"/>
            </w:tcMar>
            <w:shd w:fill="F7F9FB"/>
          </w:tcPr>
          <w:p>
            <w:pPr>
              <w:spacing w:before="40" w:after="40"/>
            </w:pPr>
            <w:r>
              <w:rPr>
                <w:sz w:val="17"/>
              </w:rPr>
              <w:t>Tree View Provider</w:t>
            </w:r>
          </w:p>
        </w:tc>
        <w:tc>
          <w:tcPr>
            <w:tcW w:type="dxa" w:w="4176"/>
            <w:tcMar>
              <w:top w:w="50" w:type="dxa"/>
              <w:bottom w:w="50" w:type="dxa"/>
              <w:left w:w="100" w:type="dxa"/>
              <w:right w:w="100" w:type="dxa"/>
            </w:tcMar>
            <w:shd w:fill="F7F9FB"/>
          </w:tcPr>
          <w:p>
            <w:pPr>
              <w:spacing w:before="40" w:after="40"/>
            </w:pPr>
            <w:r>
              <w:rPr>
                <w:sz w:val="17"/>
              </w:rPr>
              <w:t>Renders Target Platform instances, Twin processes, and activity evolution triggers.</w:t>
            </w:r>
          </w:p>
        </w:tc>
      </w:tr>
      <w:tr>
        <w:tc>
          <w:tcPr>
            <w:tcW w:type="dxa" w:w="3312"/>
            <w:tcMar>
              <w:top w:w="50" w:type="dxa"/>
              <w:bottom w:w="50" w:type="dxa"/>
              <w:left w:w="100" w:type="dxa"/>
              <w:right w:w="100" w:type="dxa"/>
            </w:tcMar>
          </w:tcPr>
          <w:p>
            <w:pPr>
              <w:spacing w:before="40" w:after="40"/>
            </w:pPr>
            <w:r>
              <w:rPr>
                <w:rFonts w:ascii="Consolas" w:hAnsi="Consolas"/>
                <w:b/>
                <w:sz w:val="17"/>
              </w:rPr>
              <w:t>src/commands.ts</w:t>
            </w:r>
          </w:p>
        </w:tc>
        <w:tc>
          <w:tcPr>
            <w:tcW w:type="dxa" w:w="1872"/>
            <w:tcMar>
              <w:top w:w="50" w:type="dxa"/>
              <w:bottom w:w="50" w:type="dxa"/>
              <w:left w:w="100" w:type="dxa"/>
              <w:right w:w="100" w:type="dxa"/>
            </w:tcMar>
          </w:tcPr>
          <w:p>
            <w:pPr>
              <w:spacing w:before="40" w:after="40"/>
            </w:pPr>
            <w:r>
              <w:rPr>
                <w:sz w:val="17"/>
              </w:rPr>
              <w:t>VS Code Commands</w:t>
            </w:r>
          </w:p>
        </w:tc>
        <w:tc>
          <w:tcPr>
            <w:tcW w:type="dxa" w:w="4176"/>
            <w:tcMar>
              <w:top w:w="50" w:type="dxa"/>
              <w:bottom w:w="50" w:type="dxa"/>
              <w:left w:w="100" w:type="dxa"/>
              <w:right w:w="100" w:type="dxa"/>
            </w:tcMar>
          </w:tcPr>
          <w:p>
            <w:r>
              <w:t>Implements Twin launch, direct activity connection, AI-driven evolution, and bridge commands with human confirmation dialog and governance submission.</w:t>
            </w:r>
          </w:p>
        </w:tc>
      </w:tr>
    </w:tbl>
    <w:p>
      <w:pPr>
        <w:spacing w:after="120"/>
      </w:pPr>
    </w:p>
    <w:p>
      <w:pPr>
        <w:pStyle w:val="Heading1"/>
        <w:spacing w:before="200" w:after="80"/>
      </w:pPr>
      <w:r>
        <w:t>4. Verified RedCollar Codegen Metrics</w:t>
      </w:r>
    </w:p>
    <w:p>
      <w:pPr>
        <w:spacing w:after="80"/>
      </w:pPr>
      <w:r>
        <w:t>Inspection of generated-target-platforms/redcollar-manufacturing/ confirms the following exact file and worker counts:</w:t>
      </w:r>
    </w:p>
    <w:p>
      <w:pPr>
        <w:pStyle w:val="ListBullet"/>
        <w:spacing w:after="40"/>
      </w:pPr>
      <w:r>
        <w:rPr>
          <w:b/>
        </w:rPr>
        <w:t xml:space="preserve">Total Java Source Files: </w:t>
      </w:r>
      <w:r>
        <w:t>43 source files compiled cleanly under Java 17 LTS.</w:t>
      </w:r>
    </w:p>
    <w:p>
      <w:pPr>
        <w:pStyle w:val="ListBullet"/>
        <w:spacing w:after="40"/>
      </w:pPr>
      <w:r>
        <w:rPr>
          <w:b/>
        </w:rPr>
        <w:t xml:space="preserve">Proxy External Task Workers (12): </w:t>
      </w:r>
      <w:r>
        <w:t>CheckingWorker, CuttingWorker, EditOrderDetailsWorker, LayingWorker, MarkingWorker, OrderMgmtInitializationWorker, PackagingWorker, PressingWorker, SamplingWorker, ShippingWorker, StitchingWorker, VerifyOrderWorker.</w:t>
      </w:r>
    </w:p>
    <w:p>
      <w:pPr>
        <w:pStyle w:val="ListBullet"/>
        <w:spacing w:after="40"/>
      </w:pPr>
      <w:r>
        <w:rPr>
          <w:b/>
        </w:rPr>
        <w:t xml:space="preserve">Twin External Workers + Agent (11): </w:t>
      </w:r>
      <w:r>
        <w:t>10 twin workers (CheckingTwinWorker, CuttingTwinWorker, LayingTwinWorker, MarkingTwinWorker, OrderMgmtInitializationTwinWorker, PackagingTwinWorker, PressingTwinWorker, SamplingTwinWorker, ShippingTwinWorker, StitchingTwinWorker) plus TwinDecisionAgent.</w:t>
      </w:r>
    </w:p>
    <w:p>
      <w:pPr>
        <w:pStyle w:val="ListBullet"/>
        <w:spacing w:after="40"/>
      </w:pPr>
      <w:r>
        <w:t>Synchronization Signal Handlers (11 total: 9 shared production synchronization signals + 2 additional signal handlers): 11 total synchronization signal handlers, comprising 9 shared production synchronization signals (samplingSignal, layingSignal, markingSignal, cuttingSignal, stitchingSignal, checkingSignal, pressingSignal, packagingSignal, shippingSignal) plus 2 additional signal handlers (Signal_3733ues and orderVerifySignal) coordinated in SignalBroadcaster.java.</w:t>
      </w:r>
    </w:p>
    <w:p>
      <w:pPr>
        <w:spacing w:after="120"/>
      </w:pPr>
    </w:p>
    <w:p>
      <w:pPr>
        <w:pStyle w:val="Heading1"/>
        <w:spacing w:before="200" w:after="80"/>
      </w:pPr>
      <w:r>
        <w:t>5. Step-by-Step Live Demo</w:t>
      </w:r>
    </w:p>
    <w:p>
      <w:r>
        <w:t>All steps use RedCollar Manufacturing as the single, coherent demo process. Commands run relative to the respective repository root.</w:t>
      </w:r>
    </w:p>
    <w:p>
      <w:pPr>
        <w:pStyle w:val="Heading2"/>
        <w:spacing w:before="120" w:after="40"/>
      </w:pPr>
      <w:r>
        <w:t>Step 1: Start Infrastructure &amp; Supporting Services</w:t>
      </w:r>
    </w:p>
    <w:p>
      <w:r>
        <w:t>Start RabbitMQ and confirm Ollama is serving a language model (qwen2.5:3b):</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r>
              <w:t># RabbitMQ = 5672, Ollama = 11434</w:t>
              <w:br/>
              <w:t>curl http://127.0.0.1:11434/api/tags</w:t>
            </w:r>
          </w:p>
        </w:tc>
      </w:tr>
    </w:tbl>
    <w:p>
      <w:pPr>
        <w:spacing w:after="80"/>
      </w:pPr>
    </w:p>
    <w:p>
      <w:pPr>
        <w:pStyle w:val="Heading2"/>
        <w:spacing w:before="120" w:after="40"/>
      </w:pPr>
      <w:r>
        <w:t>Step 2: Start Workbench API &amp; Node Manager Backends</w:t>
      </w:r>
    </w:p>
    <w:p>
      <w:r>
        <w:t>From the Workbench repository root:</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r>
              <w:t># Terminal A: Workbench REST API (:8082)</w:t>
              <w:br/>
              <w:t>mvn -f backend/pom.xml spring-boot:run -pl wbapi</w:t>
              <w:br/>
              <w:br/>
              <w:t># Terminal B: Node Manager agent catalog (:8083)</w:t>
              <w:br/>
              <w:t>mvn -f backend/pom.xml spring-boot:run -pl nodemanager</w:t>
            </w:r>
          </w:p>
        </w:tc>
      </w:tr>
    </w:tbl>
    <w:p>
      <w:pPr>
        <w:spacing w:after="80"/>
      </w:pPr>
    </w:p>
    <w:p>
      <w:pPr>
        <w:pStyle w:val="Heading2"/>
        <w:spacing w:before="120" w:after="40"/>
      </w:pPr>
      <w:r>
        <w:t>Step 3: Generate &amp; Launch the RedCollar Target Platform</w:t>
      </w:r>
    </w:p>
    <w:p>
      <w:r>
        <w:t>Launch the Target Platform through the Workbench, not with a standalone Maven command. A Workbench-driven launch registers the running project with its model ID, which is what makes the Twin Processes tree in Step 5 appear in VS Code at all; a project started outside the Workbench is invisible to it.</w:t>
        <w:br/>
        <w:t>• Open the Workbench frontend and go to Transmute → Create Project (or Edit Existing Project) and save Manuf-camunda.bpmn as a model, if not already saved.</w:t>
        <w:br/>
        <w:t>• Transmute → Generate: locate the RedCollar model and click Generate.</w:t>
        <w:br/>
        <w:t>• Transmute → Launch: locate the generated project and click Launch.</w:t>
        <w:br/>
        <w:t>Fallback (build/run outside the Workbench — the app still works standalone, but the Twin Processes tree will not populate):</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r>
              <w:t>mvn -f generated-target-platforms/redcollar-manufacturing/pom.xml clean package -DskipTests</w:t>
              <w:br/>
              <w:t>mvn -f generated-target-platforms/redcollar-manufacturing/pom.xml spring-boot:run</w:t>
            </w:r>
          </w:p>
        </w:tc>
      </w:tr>
    </w:tbl>
    <w:p>
      <w:pPr>
        <w:spacing w:after="80"/>
      </w:pPr>
    </w:p>
    <w:p>
      <w:pPr>
        <w:spacing w:after="80"/>
      </w:pPr>
    </w:p>
    <w:p>
      <w:pPr>
        <w:pStyle w:val="Heading2"/>
        <w:spacing w:before="120" w:after="40"/>
      </w:pPr>
      <w:r>
        <w:t>Step 4: Launch the VS Code Extension &amp; Discover the Target Platform</w:t>
      </w:r>
    </w:p>
    <w:p>
      <w:r>
        <w:t>From the VS Code plugin repository root:</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r>
              <w:t>npm install</w:t>
              <w:br/>
              <w:t>npm run compile</w:t>
              <w:br/>
              <w:t>npm run test:unit</w:t>
              <w:br/>
              <w:t># Run live deterministic integration test (requires running backend)</w:t>
              <w:br/>
              <w:t>npm run test:live</w:t>
            </w:r>
          </w:p>
        </w:tc>
      </w:tr>
    </w:tbl>
    <w:p>
      <w:pPr>
        <w:spacing w:after="80"/>
      </w:pPr>
    </w:p>
    <w:p>
      <w:r>
        <w:t>Open VS Code and go to the “MetaML Target Platforms” view. The extension discovers the running RedCollar project from the Workbench API (:8082) automatically.</w:t>
      </w:r>
    </w:p>
    <w:p>
      <w:pPr>
        <w:pStyle w:val="Heading2"/>
      </w:pPr>
      <w:r>
        <w:t>Step 5: Launch the RedCollar Twin Process</w:t>
      </w:r>
    </w:p>
    <w:p>
      <w:pPr/>
      <w:r>
        <w:t>Right-click the running RedCollar project and select:</w:t>
      </w:r>
    </w:p>
    <w:tbl>
      <w:tblPr>
        <w:tblW w:type="auto" w:w="0"/>
        <w:tblLook w:firstColumn="1" w:firstRow="1" w:lastColumn="0" w:lastRow="0" w:noHBand="0" w:noVBand="1" w:val="04A0"/>
      </w:tblPr>
      <w:tblGrid>
        <w:gridCol w:w="9936"/>
      </w:tblGrid>
      <w:tr>
        <w:tc>
          <w:tcPr>
            <w:tcW w:type="dxa" w:w="9936"/>
          </w:tcPr>
          <w:p>
            <w:r>
              <w:t>MetaML: Launch Twin Process</w:t>
            </w:r>
          </w:p>
        </w:tc>
      </w:tr>
    </w:tbl>
    <w:p>
      <w:pPr/>
      <w:r>
        <w:t>A “Twin Processes” node appears under the project. Expand it to see the running twin instance.</w:t>
      </w:r>
    </w:p>
    <w:p>
      <w:pPr/>
      <w:r>
        <w:t>This creates the Original + Twin process-instance pair inside the Workbench’s own Camunda engine, using the RedCollar model saved in Step 3. It runs alongside, and independently of, the generated Target Platform’s own embedded Camunda engine executing synchronized Proxy and Twin processes in Step 11.</w:t>
      </w:r>
    </w:p>
    <w:p>
      <w:pPr>
        <w:pStyle w:val="Heading2"/>
      </w:pPr>
      <w:r>
        <w:t>Step 6: Connect the Order Mgmt Initialization Activity to the Twin Process</w:t>
      </w:r>
    </w:p>
    <w:p>
      <w:pPr/>
      <w:r>
        <w:t>Right-click the twin process and select:</w:t>
      </w:r>
    </w:p>
    <w:tbl>
      <w:tblPr>
        <w:tblW w:type="auto" w:w="0"/>
        <w:tblLook w:firstColumn="1" w:firstRow="1" w:lastColumn="0" w:lastRow="0" w:noHBand="0" w:noVBand="1" w:val="04A0"/>
      </w:tblPr>
      <w:tblGrid>
        <w:gridCol w:w="9936"/>
      </w:tblGrid>
      <w:tr>
        <w:tc>
          <w:tcPr>
            <w:tcW w:type="dxa" w:w="9936"/>
          </w:tcPr>
          <w:p>
            <w:r>
              <w:t>MetaML: Connect Activity to Twin Process</w:t>
            </w:r>
          </w:p>
        </w:tc>
      </w:tr>
    </w:tbl>
    <w:p>
      <w:pPr/>
      <w:r>
        <w:t>Enter the activity ID:</w:t>
      </w:r>
    </w:p>
    <w:p>
      <w:pPr/>
      <w:r>
        <w:t>_E12DB58F-C11B-42BF-BA46-88B171B228EC   (Order Mgmt Initialization)</w:t>
      </w:r>
    </w:p>
    <w:p>
      <w:pPr/>
      <w:r>
        <w:t>The Order Mgmt Initialization activity appears as a child of the twin process in the tree. It is the first activity in the RedCollar Manuf process, so it is reachable immediately after launch, with no upstream steps or gateway conditions to satisfy first.</w:t>
      </w:r>
    </w:p>
    <w:p>
      <w:pPr>
        <w:pStyle w:val="Heading2"/>
        <w:spacing w:before="120" w:after="40"/>
      </w:pPr>
      <w:r>
        <w:t>Step 7: Trigger AI-Driven Activity Evolution on Order Mgmt Initialization</w:t>
      </w:r>
    </w:p>
    <w:p>
      <w:r>
        <w:t>Rather than rewriting the business process, MetaML lets us dynamically evolve the runtime behavior of the corresponding Twin activity.</w:t>
        <w:br/>
        <w:t>Right-click the connected activity, or use its inline sparkle icon, and select:</w:t>
      </w:r>
    </w:p>
    <w:tbl>
      <w:tblPr>
        <w:tblW w:type="auto" w:w="0"/>
        <w:tblLook w:firstColumn="1" w:firstRow="1" w:lastColumn="0" w:lastRow="0" w:noHBand="0" w:noVBand="1" w:val="04A0"/>
      </w:tblPr>
      <w:tblGrid>
        <w:gridCol w:w="9936"/>
      </w:tblGrid>
      <w:tr>
        <w:tc>
          <w:tcPr>
            <w:tcW w:type="dxa" w:w="9936"/>
          </w:tcPr>
          <w:p>
            <w:r>
              <w:t>MetaML: AI Integrate Component (Natural Language)</w:t>
            </w:r>
          </w:p>
        </w:tc>
      </w:tr>
    </w:tbl>
    <w:p>
      <w:pPr/>
      <w:r>
        <w:t>Enter the intent:</w:t>
      </w:r>
    </w:p>
    <w:tbl>
      <w:tblPr>
        <w:tblW w:type="auto" w:w="0"/>
        <w:tblLook w:firstColumn="1" w:firstRow="1" w:lastColumn="0" w:lastRow="0" w:noHBand="0" w:noVBand="1" w:val="04A0"/>
      </w:tblPr>
      <w:tblGrid>
        <w:gridCol w:w="9936"/>
      </w:tblGrid>
      <w:tr>
        <w:tc>
          <w:tcPr>
            <w:tcW w:type="dxa" w:w="9936"/>
          </w:tcPr>
          <w:p>
            <w:r>
              <w:t>“Enrich the incoming order with customer and product metadata before manufacturing starts.”</w:t>
            </w:r>
          </w:p>
        </w:tc>
      </w:tr>
    </w:tbl>
    <w:p>
      <w:pPr/>
      <w:r>
        <w:t>The extension queries the live Node Manager catalog, sends the intent to Ollama (qwen2.5:3b), and returns a recommendation validated against that catalog. In the live walkthrough, we specifically execute the end-to-end evolution of Order Mgmt Initialization to data-enricher; the table below details the actual live demonstrated execution alongside supported AI component examples: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fill="0F2043"/>
            <w:tcMar>
              <w:top w:w="80" w:type="dxa"/>
              <w:bottom w:w="80" w:type="dxa"/>
              <w:left w:w="100" w:type="dxa"/>
              <w:right w:w="100" w:type="dxa"/>
            </w:tcMar>
          </w:tcPr>
          <w:p>
            <w:r>
              <w:t>Demonstration Status &amp; RedCollar Activity</w:t>
            </w:r>
          </w:p>
        </w:tc>
        <w:tc>
          <w:tcPr>
            <w:tcW w:type="dxa" w:w="3168"/>
            <w:shd w:fill="0F2043"/>
            <w:tcMar>
              <w:top w:w="80" w:type="dxa"/>
              <w:bottom w:w="80" w:type="dxa"/>
              <w:left w:w="100" w:type="dxa"/>
              <w:right w:w="100" w:type="dxa"/>
            </w:tcMar>
          </w:tcPr>
          <w:p>
            <w:r>
              <w:t>Natural-Language Intent</w:t>
            </w:r>
          </w:p>
        </w:tc>
        <w:tc>
          <w:tcPr>
            <w:tcW w:type="dxa" w:w="1872"/>
            <w:shd w:fill="0F2043"/>
            <w:tcMar>
              <w:top w:w="80" w:type="dxa"/>
              <w:bottom w:w="80" w:type="dxa"/>
              <w:left w:w="100" w:type="dxa"/>
              <w:right w:w="100" w:type="dxa"/>
            </w:tcMar>
          </w:tcPr>
          <w:p>
            <w:r>
              <w:t>AI Recommendation</w:t>
            </w:r>
          </w:p>
        </w:tc>
        <w:tc>
          <w:tcPr>
            <w:tcW w:type="dxa" w:w="2448"/>
            <w:shd w:fill="0F2043"/>
            <w:tcMar>
              <w:top w:w="80" w:type="dxa"/>
              <w:bottom w:w="80" w:type="dxa"/>
              <w:left w:w="100" w:type="dxa"/>
              <w:right w:w="100" w:type="dxa"/>
            </w:tcMar>
          </w:tcPr>
          <w:p>
            <w:r>
              <w:t>Bound Executor &amp; Execution Evidence</w:t>
            </w:r>
          </w:p>
        </w:tc>
      </w:tr>
      <w:tr>
        <w:tc>
          <w:tcPr>
            <w:tcW w:type="dxa" w:w="1872"/>
            <w:tcMar>
              <w:top w:w="50" w:type="dxa"/>
              <w:bottom w:w="50" w:type="dxa"/>
              <w:left w:w="100" w:type="dxa"/>
              <w:right w:w="100" w:type="dxa"/>
            </w:tcMar>
          </w:tcPr>
          <w:p>
            <w:r>
              <w:t>Actual Live Demonstrated Execution:</w:t>
              <w:br/>
              <w:t>Order Mgmt Initialization</w:t>
              <w:br/>
              <w:t>(_E12DB58F-C11B-42BF-BA46-88B171B228EC)</w:t>
            </w:r>
          </w:p>
        </w:tc>
        <w:tc>
          <w:tcPr>
            <w:tcW w:type="dxa" w:w="3168"/>
            <w:tcMar>
              <w:top w:w="50" w:type="dxa"/>
              <w:bottom w:w="50" w:type="dxa"/>
              <w:left w:w="100" w:type="dxa"/>
              <w:right w:w="100" w:type="dxa"/>
            </w:tcMar>
          </w:tcPr>
          <w:p>
            <w:r>
              <w:t>Enrich the incoming order with customer and product metadata before manufacturing starts.</w:t>
            </w:r>
          </w:p>
        </w:tc>
        <w:tc>
          <w:tcPr>
            <w:tcW w:type="dxa" w:w="1872"/>
            <w:tcMar>
              <w:top w:w="50" w:type="dxa"/>
              <w:bottom w:w="50" w:type="dxa"/>
              <w:left w:w="100" w:type="dxa"/>
              <w:right w:w="100" w:type="dxa"/>
            </w:tcMar>
          </w:tcPr>
          <w:p>
            <w:r>
              <w:t>data-enricher</w:t>
            </w:r>
          </w:p>
        </w:tc>
        <w:tc>
          <w:tcPr>
            <w:tcW w:type="dxa" w:w="2448"/>
            <w:tcMar>
              <w:top w:w="50" w:type="dxa"/>
              <w:bottom w:w="50" w:type="dxa"/>
              <w:left w:w="100" w:type="dxa"/>
              <w:right w:w="100" w:type="dxa"/>
            </w:tcMar>
          </w:tcPr>
          <w:p>
            <w:r>
              <w:t>DataEnricherExecutor — executed live, producing real execution output: enrichedTier=PREMIUM, geoRegion=US-EAST, enrichmentVerified=true</w:t>
            </w:r>
          </w:p>
        </w:tc>
      </w:tr>
      <w:tr>
        <w:tc>
          <w:tcPr>
            <w:tcW w:type="dxa" w:w="1872"/>
            <w:tcMar>
              <w:top w:w="50" w:type="dxa"/>
              <w:bottom w:w="50" w:type="dxa"/>
              <w:left w:w="100" w:type="dxa"/>
              <w:right w:w="100" w:type="dxa"/>
            </w:tcMar>
            <w:shd w:fill="F7F9FB"/>
          </w:tcPr>
          <w:p>
            <w:r>
              <w:t>Supported Component Example:</w:t>
              <w:br/>
              <w:t>Checking (Quality Inspection)</w:t>
            </w:r>
          </w:p>
        </w:tc>
        <w:tc>
          <w:tcPr>
            <w:tcW w:type="dxa" w:w="3168"/>
            <w:tcMar>
              <w:top w:w="50" w:type="dxa"/>
              <w:bottom w:w="50" w:type="dxa"/>
              <w:left w:w="100" w:type="dxa"/>
              <w:right w:w="100" w:type="dxa"/>
            </w:tcMar>
            <w:shd w:fill="F7F9FB"/>
          </w:tcPr>
          <w:p>
            <w:r>
              <w:t>Validate garment stitch specifications and fabric tolerances against quality standards</w:t>
            </w:r>
          </w:p>
        </w:tc>
        <w:tc>
          <w:tcPr>
            <w:tcW w:type="dxa" w:w="1872"/>
            <w:tcMar>
              <w:top w:w="50" w:type="dxa"/>
              <w:bottom w:w="50" w:type="dxa"/>
              <w:left w:w="100" w:type="dxa"/>
              <w:right w:w="100" w:type="dxa"/>
            </w:tcMar>
            <w:shd w:fill="F7F9FB"/>
          </w:tcPr>
          <w:p>
            <w:r>
              <w:t>validator</w:t>
            </w:r>
          </w:p>
        </w:tc>
        <w:tc>
          <w:tcPr>
            <w:tcW w:type="dxa" w:w="2448"/>
            <w:tcMar>
              <w:top w:w="50" w:type="dxa"/>
              <w:bottom w:w="50" w:type="dxa"/>
              <w:left w:w="100" w:type="dxa"/>
              <w:right w:w="100" w:type="dxa"/>
            </w:tcMar>
            <w:shd w:fill="F7F9FB"/>
          </w:tcPr>
          <w:p>
            <w:r>
              <w:t>ValidatorExecutor (performs quality and schema validation)</w:t>
            </w:r>
          </w:p>
        </w:tc>
      </w:tr>
      <w:tr>
        <w:tc>
          <w:tcPr>
            <w:tcW w:type="dxa" w:w="1872"/>
            <w:tcMar>
              <w:top w:w="50" w:type="dxa"/>
              <w:bottom w:w="50" w:type="dxa"/>
              <w:left w:w="100" w:type="dxa"/>
              <w:right w:w="100" w:type="dxa"/>
            </w:tcMar>
          </w:tcPr>
          <w:p>
            <w:r>
              <w:t>Supported Component Example:</w:t>
              <w:br/>
              <w:t>VerifyOrder (Order Verification)</w:t>
            </w:r>
          </w:p>
        </w:tc>
        <w:tc>
          <w:tcPr>
            <w:tcW w:type="dxa" w:w="3168"/>
            <w:tcMar>
              <w:top w:w="50" w:type="dxa"/>
              <w:bottom w:w="50" w:type="dxa"/>
              <w:left w:w="100" w:type="dxa"/>
              <w:right w:w="100" w:type="dxa"/>
            </w:tcMar>
          </w:tcPr>
          <w:p>
            <w:r>
              <w:t>Assess customer creditworthiness and payment default risk before cutting fabric</w:t>
            </w:r>
          </w:p>
        </w:tc>
        <w:tc>
          <w:tcPr>
            <w:tcW w:type="dxa" w:w="1872"/>
            <w:tcMar>
              <w:top w:w="50" w:type="dxa"/>
              <w:bottom w:w="50" w:type="dxa"/>
              <w:left w:w="100" w:type="dxa"/>
              <w:right w:w="100" w:type="dxa"/>
            </w:tcMar>
          </w:tcPr>
          <w:p>
            <w:r>
              <w:t>credit-risk-assessor</w:t>
            </w:r>
          </w:p>
        </w:tc>
        <w:tc>
          <w:tcPr>
            <w:tcW w:type="dxa" w:w="2448"/>
            <w:tcMar>
              <w:top w:w="50" w:type="dxa"/>
              <w:bottom w:w="50" w:type="dxa"/>
              <w:left w:w="100" w:type="dxa"/>
              <w:right w:w="100" w:type="dxa"/>
            </w:tcMar>
          </w:tcPr>
          <w:p>
            <w:r>
              <w:t>CreditRiskAssessorExecutor (evaluates riskScore=85, agentFlaggedRisk=true)</w:t>
            </w:r>
          </w:p>
        </w:tc>
      </w:tr>
      <w:tr>
        <w:tc>
          <w:tcPr>
            <w:tcW w:type="dxa" w:w="1872"/>
            <w:tcMar>
              <w:top w:w="50" w:type="dxa"/>
              <w:bottom w:w="50" w:type="dxa"/>
              <w:left w:w="100" w:type="dxa"/>
              <w:right w:w="100" w:type="dxa"/>
            </w:tcMar>
            <w:shd w:fill="F7F9FB"/>
          </w:tcPr>
          <w:p>
            <w:r>
              <w:t>Supported Component Example:</w:t>
              <w:br/>
              <w:t>Sampling (Material Sampling)</w:t>
            </w:r>
          </w:p>
        </w:tc>
        <w:tc>
          <w:tcPr>
            <w:tcW w:type="dxa" w:w="3168"/>
            <w:tcMar>
              <w:top w:w="50" w:type="dxa"/>
              <w:bottom w:w="50" w:type="dxa"/>
              <w:left w:w="100" w:type="dxa"/>
              <w:right w:w="100" w:type="dxa"/>
            </w:tcMar>
            <w:shd w:fill="F7F9FB"/>
          </w:tcPr>
          <w:p>
            <w:r>
              <w:t>Enrich order payload with textile supplier batch metadata and properties</w:t>
            </w:r>
          </w:p>
        </w:tc>
        <w:tc>
          <w:tcPr>
            <w:tcW w:type="dxa" w:w="1872"/>
            <w:tcMar>
              <w:top w:w="50" w:type="dxa"/>
              <w:bottom w:w="50" w:type="dxa"/>
              <w:left w:w="100" w:type="dxa"/>
              <w:right w:w="100" w:type="dxa"/>
            </w:tcMar>
            <w:shd w:fill="F7F9FB"/>
          </w:tcPr>
          <w:p>
            <w:r>
              <w:t>data-enricher</w:t>
            </w:r>
          </w:p>
        </w:tc>
        <w:tc>
          <w:tcPr>
            <w:tcW w:type="dxa" w:w="2448"/>
            <w:tcMar>
              <w:top w:w="50" w:type="dxa"/>
              <w:bottom w:w="50" w:type="dxa"/>
              <w:left w:w="100" w:type="dxa"/>
              <w:right w:w="100" w:type="dxa"/>
            </w:tcMar>
            <w:shd w:fill="F7F9FB"/>
          </w:tcPr>
          <w:p>
            <w:r>
              <w:t>DataEnricherExecutor (appends external catalog metadata)</w:t>
            </w:r>
          </w:p>
        </w:tc>
      </w:tr>
      <w:tr>
        <w:tc>
          <w:tcPr>
            <w:tcW w:type="dxa" w:w="2484"/>
          </w:tcPr>
          <w:p>
            <w:r>
              <w:t>Supported Component Example:</w:t>
              <w:br/>
              <w:t>Shipping (Final Logistics)</w:t>
            </w:r>
          </w:p>
        </w:tc>
        <w:tc>
          <w:tcPr>
            <w:tcW w:type="dxa" w:w="2484"/>
          </w:tcPr>
          <w:p>
            <w:r>
              <w:t>Send carrier dispatch alerts and notify customer when package departs factory</w:t>
            </w:r>
          </w:p>
        </w:tc>
        <w:tc>
          <w:tcPr>
            <w:tcW w:type="dxa" w:w="2484"/>
          </w:tcPr>
          <w:p>
            <w:r>
              <w:t>notifier</w:t>
            </w:r>
          </w:p>
        </w:tc>
        <w:tc>
          <w:tcPr>
            <w:tcW w:type="dxa" w:w="2484"/>
          </w:tcPr>
          <w:p>
            <w:r>
              <w:t>NotifierExecutor (broadcasts delivery dispatch notifications)</w:t>
            </w:r>
          </w:p>
        </w:tc>
      </w:tr>
    </w:tbl>
    <w:p>
      <w:pPr/>
      <w:r>
        <w:t>Confirm the recommended component in the modal dialog. Confirming submits the evolution to the Workbench, where it is validated against the live catalog and the governing policy before the component is bound. MetaML dynamically binds a real AI component to the selected Twin activity at runtime. The original BPMN process definition is not modified.</w:t>
      </w:r>
    </w:p>
    <w:p>
      <w:pPr>
        <w:spacing w:after="80"/>
      </w:pPr>
    </w:p>
    <w:p>
      <w:pPr>
        <w:pStyle w:val="Heading2"/>
      </w:pPr>
      <w:r>
        <w:t>Step 8: Bridge the Twin Activity &amp; Execute the Real Component</w:t>
      </w:r>
    </w:p>
    <w:p>
      <w:pPr/>
      <w:r>
        <w:t>With the component confirmed and bound, right-click the connected activity and select:</w:t>
      </w:r>
    </w:p>
    <w:tbl>
      <w:tblPr>
        <w:tblW w:type="auto" w:w="0"/>
        <w:tblLook w:firstColumn="1" w:firstRow="1" w:lastColumn="0" w:lastRow="0" w:noHBand="0" w:noVBand="1" w:val="04A0"/>
      </w:tblPr>
      <w:tblGrid>
        <w:gridCol w:w="9936"/>
      </w:tblGrid>
      <w:tr>
        <w:tc>
          <w:tcPr>
            <w:tcW w:type="dxa" w:w="9936"/>
          </w:tcPr>
          <w:p>
            <w:r>
              <w:t>MetaML: Bridge Twin Activity (Advance Toward Automation)</w:t>
            </w:r>
          </w:p>
        </w:tc>
      </w:tr>
    </w:tbl>
    <w:p>
      <w:pPr/>
      <w:r>
        <w:t>This advances the twin token to the automation task, which dispatches to the resolved DataEnricherExecutor and runs it against real process variables.</w:t>
      </w:r>
    </w:p>
    <w:p>
      <w:pPr>
        <w:pStyle w:val="Heading2"/>
      </w:pPr>
      <w:r>
        <w:t>Step 9: Verify Execution Evidence in VS Code</w:t>
      </w:r>
    </w:p>
    <w:p>
      <w:pPr/>
      <w:r>
        <w:t>Open the “MetaML Execution” output channel. Once the activity reaches EXECUTED, it prints the resolved executor identity and its real output, for example:</w:t>
      </w:r>
    </w:p>
    <w:tbl>
      <w:tblPr>
        <w:tblW w:type="auto" w:w="0"/>
        <w:tblLook w:firstColumn="1" w:firstRow="1" w:lastColumn="0" w:lastRow="0" w:noHBand="0" w:noVBand="1" w:val="04A0"/>
      </w:tblPr>
      <w:tblGrid>
        <w:gridCol w:w="9936"/>
      </w:tblGrid>
      <w:tr>
        <w:tc>
          <w:tcPr>
            <w:tcW w:type="dxa" w:w="9936"/>
          </w:tcPr>
          <w:p>
            <w:r>
              <w:t>DataEnricherExecutor</w:t>
              <w:br/>
              <w:t>enrichedTier=..., geoRegion=..., enrichmentVerified=true</w:t>
            </w:r>
          </w:p>
        </w:tc>
      </w:tr>
    </w:tbl>
    <w:p>
      <w:pPr>
        <w:pStyle w:val="Heading2"/>
      </w:pPr>
      <w:r>
        <w:t>Step 10: Verify the Same Execution Evidence in the Workbench</w:t>
      </w:r>
    </w:p>
    <w:p>
      <w:pPr/>
      <w:r>
        <w:t>In the Workbench, open Evolve → Twin Workflow, select the RedCollar model, and open Workflow Details for the running twin.</w:t>
      </w:r>
    </w:p>
    <w:p>
      <w:pPr/>
      <w:r>
        <w:t>The Execution section shows the same bound agent, status EXECUTED, resolved executor, and raw output as the VS Code output channel — both surfaces read the same execution-state API, not two independent systems.</w:t>
      </w:r>
    </w:p>
    <w:p>
      <w:pPr>
        <w:pStyle w:val="Heading2"/>
        <w:spacing w:before="120" w:after="40"/>
      </w:pPr>
      <w:r>
        <w:t>Step 11 (Bonus): Verify the Generated Target Platform’s Own Proxy/Twin Synchronization</w:t>
      </w:r>
    </w:p>
    <w:p>
      <w:r>
        <w:t>Independently of the Workbench-driven twin, the generated Target Platform can start its own RabbitMQ-synchronized Proxy and Twin processes within its embedded Camunda engine on port 8080:</w:t>
      </w:r>
    </w:p>
    <w:tbl>
      <w:tblPr>
        <w:tblW w:type="auto" w:w="0"/>
        <w:jc w:val="center"/>
        <w:tblLayout w:type="fixed"/>
        <w:tblLook w:firstColumn="1" w:firstRow="1" w:lastColumn="0" w:lastRow="0" w:noHBand="0" w:noVBand="1" w:val="04A0"/>
      </w:tblPr>
      <w:tblGrid>
        <w:gridCol w:w="9360"/>
      </w:tblGrid>
      <w:tr>
        <w:tc>
          <w:tcPr>
            <w:tcW w:type="dxa" w:w="9936"/>
            <w:shd w:fill="F8F9FA"/>
            <w:tcMar>
              <w:top w:w="100" w:type="dxa"/>
              <w:bottom w:w="100" w:type="dxa"/>
              <w:left w:w="150" w:type="dxa"/>
              <w:right w:w="150" w:type="dxa"/>
            </w:tcMar>
            <w:tcBorders>
              <w:left w:val="single" w:sz="12" w:space="0" w:color="CCCCCC"/>
              <w:top w:val="single" w:sz="4" w:color="E0E0E0"/>
              <w:right w:val="single" w:sz="4" w:color="E0E0E0"/>
              <w:bottom w:val="single" w:sz="4" w:color="E0E0E0"/>
            </w:tcBorders>
          </w:tcPr>
          <w:p>
            <w:r>
              <w:t># Start Proxy process instance (initiates RedCollar.Manuf)</w:t>
              <w:br/>
              <w:t>curl -X POST "http://localhost:8080/api/proxy/start?businessKey=order-101"</w:t>
              <w:br/>
              <w:br/>
              <w:t># Start Twin process instance (initiates RedCollar.Twin paired on same businessKey)</w:t>
              <w:br/>
              <w:t>curl -X POST "http://localhost:8080/api/twin/start?businessKey=order-101"</w:t>
              <w:br/>
              <w:br/>
              <w:t># Verify health</w:t>
              <w:br/>
              <w:t>curl http://localhost:8080/api/proxy/health</w:t>
              <w:br/>
              <w:t>curl http://localhost:8080/api/twin/health</w:t>
            </w:r>
          </w:p>
        </w:tc>
      </w:tr>
    </w:tbl>
    <w:p>
      <w:pPr/>
      <w:r>
        <w:t>This demonstrates the standalone application genuinely runs its own lockstep synchronization, independent of the Workbench.</w:t>
      </w:r>
    </w:p>
    <w:p>
      <w:pPr>
        <w:spacing w:after="80"/>
      </w:pPr>
    </w:p>
    <w:p>
      <w:pPr>
        <w:pStyle w:val="Heading1"/>
        <w:spacing w:before="200" w:after="80"/>
      </w:pPr>
      <w:r>
        <w:t>6. BPMN-to-Runtime Codegen Mapping Matrix</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0F2043"/>
            <w:tcMar>
              <w:top w:w="80" w:type="dxa"/>
              <w:bottom w:w="80" w:type="dxa"/>
              <w:left w:w="100" w:type="dxa"/>
              <w:right w:w="100" w:type="dxa"/>
            </w:tcMar>
          </w:tcPr>
          <w:p>
            <w:r>
              <w:rPr>
                <w:b/>
                <w:color w:val="FFFFFF"/>
                <w:sz w:val="18"/>
              </w:rPr>
              <w:t>BPMN Construct</w:t>
            </w:r>
          </w:p>
        </w:tc>
        <w:tc>
          <w:tcPr>
            <w:tcW w:type="dxa" w:w="3168"/>
            <w:shd w:fill="0F2043"/>
            <w:tcMar>
              <w:top w:w="80" w:type="dxa"/>
              <w:bottom w:w="80" w:type="dxa"/>
              <w:left w:w="100" w:type="dxa"/>
              <w:right w:w="100" w:type="dxa"/>
            </w:tcMar>
          </w:tcPr>
          <w:p>
            <w:r>
              <w:rPr>
                <w:b/>
                <w:color w:val="FFFFFF"/>
                <w:sz w:val="18"/>
              </w:rPr>
              <w:t>Generated Java Class / Artifact</w:t>
            </w:r>
          </w:p>
        </w:tc>
        <w:tc>
          <w:tcPr>
            <w:tcW w:type="dxa" w:w="3312"/>
            <w:shd w:fill="0F2043"/>
            <w:tcMar>
              <w:top w:w="80" w:type="dxa"/>
              <w:bottom w:w="80" w:type="dxa"/>
              <w:left w:w="100" w:type="dxa"/>
              <w:right w:w="100" w:type="dxa"/>
            </w:tcMar>
          </w:tcPr>
          <w:p>
            <w:r>
              <w:rPr>
                <w:b/>
                <w:color w:val="FFFFFF"/>
                <w:sz w:val="18"/>
              </w:rPr>
              <w:t>Runtime Function</w:t>
            </w:r>
          </w:p>
        </w:tc>
      </w:tr>
      <w:tr>
        <w:tc>
          <w:tcPr>
            <w:tcW w:type="dxa" w:w="2880"/>
            <w:tcMar>
              <w:top w:w="50" w:type="dxa"/>
              <w:bottom w:w="50" w:type="dxa"/>
              <w:left w:w="100" w:type="dxa"/>
              <w:right w:w="100" w:type="dxa"/>
            </w:tcMar>
          </w:tcPr>
          <w:p>
            <w:pPr>
              <w:spacing w:before="40" w:after="40"/>
            </w:pPr>
            <w:r>
              <w:rPr>
                <w:b/>
                <w:sz w:val="17"/>
              </w:rPr>
              <w:t>Start / End Events</w:t>
            </w:r>
          </w:p>
        </w:tc>
        <w:tc>
          <w:tcPr>
            <w:tcW w:type="dxa" w:w="3168"/>
            <w:tcMar>
              <w:top w:w="50" w:type="dxa"/>
              <w:bottom w:w="50" w:type="dxa"/>
              <w:left w:w="100" w:type="dxa"/>
              <w:right w:w="100" w:type="dxa"/>
            </w:tcMar>
          </w:tcPr>
          <w:p>
            <w:pPr>
              <w:spacing w:before="40" w:after="40"/>
            </w:pPr>
            <w:r>
              <w:rPr>
                <w:sz w:val="17"/>
              </w:rPr>
              <w:t>src/main/resources/processes/RedCollar.*.bpmn</w:t>
            </w:r>
          </w:p>
        </w:tc>
        <w:tc>
          <w:tcPr>
            <w:tcW w:type="dxa" w:w="3312"/>
            <w:tcMar>
              <w:top w:w="50" w:type="dxa"/>
              <w:bottom w:w="50" w:type="dxa"/>
              <w:left w:w="100" w:type="dxa"/>
              <w:right w:w="100" w:type="dxa"/>
            </w:tcMar>
          </w:tcPr>
          <w:p>
            <w:pPr>
              <w:spacing w:before="40" w:after="40"/>
            </w:pPr>
            <w:r>
              <w:rPr>
                <w:sz w:val="17"/>
              </w:rPr>
              <w:t>Instantiates and completes Camunda process execution instances.</w:t>
            </w:r>
          </w:p>
        </w:tc>
      </w:tr>
      <w:tr>
        <w:tc>
          <w:tcPr>
            <w:tcW w:type="dxa" w:w="2880"/>
            <w:tcMar>
              <w:top w:w="50" w:type="dxa"/>
              <w:bottom w:w="50" w:type="dxa"/>
              <w:left w:w="100" w:type="dxa"/>
              <w:right w:w="100" w:type="dxa"/>
            </w:tcMar>
            <w:shd w:fill="F7F9FB"/>
          </w:tcPr>
          <w:p>
            <w:pPr>
              <w:spacing w:before="40" w:after="40"/>
            </w:pPr>
            <w:r>
              <w:rPr>
                <w:b/>
                <w:sz w:val="17"/>
              </w:rPr>
              <w:t>Proxy External Tasks (12)</w:t>
            </w:r>
          </w:p>
        </w:tc>
        <w:tc>
          <w:tcPr>
            <w:tcW w:type="dxa" w:w="3168"/>
            <w:tcMar>
              <w:top w:w="50" w:type="dxa"/>
              <w:bottom w:w="50" w:type="dxa"/>
              <w:left w:w="100" w:type="dxa"/>
              <w:right w:w="100" w:type="dxa"/>
            </w:tcMar>
            <w:shd w:fill="F7F9FB"/>
          </w:tcPr>
          <w:p>
            <w:pPr>
              <w:spacing w:before="40" w:after="40"/>
            </w:pPr>
            <w:r>
              <w:rPr>
                <w:sz w:val="17"/>
              </w:rPr>
              <w:t>worker/proxy/*Worker.java</w:t>
            </w:r>
          </w:p>
        </w:tc>
        <w:tc>
          <w:tcPr>
            <w:tcW w:type="dxa" w:w="3312"/>
            <w:tcMar>
              <w:top w:w="50" w:type="dxa"/>
              <w:bottom w:w="50" w:type="dxa"/>
              <w:left w:w="100" w:type="dxa"/>
              <w:right w:w="100" w:type="dxa"/>
            </w:tcMar>
            <w:shd w:fill="F7F9FB"/>
          </w:tcPr>
          <w:p>
            <w:pPr>
              <w:spacing w:before="40" w:after="40"/>
            </w:pPr>
            <w:r>
              <w:rPr>
                <w:sz w:val="17"/>
              </w:rPr>
              <w:t>Subscribes to external task topics for manufacturing operations.</w:t>
            </w:r>
          </w:p>
        </w:tc>
      </w:tr>
      <w:tr>
        <w:tc>
          <w:tcPr>
            <w:tcW w:type="dxa" w:w="2880"/>
            <w:tcMar>
              <w:top w:w="50" w:type="dxa"/>
              <w:bottom w:w="50" w:type="dxa"/>
              <w:left w:w="100" w:type="dxa"/>
              <w:right w:w="100" w:type="dxa"/>
            </w:tcMar>
          </w:tcPr>
          <w:p>
            <w:pPr>
              <w:spacing w:before="40" w:after="40"/>
            </w:pPr>
            <w:r>
              <w:rPr>
                <w:b/>
                <w:sz w:val="17"/>
              </w:rPr>
              <w:t>Twin External Tasks (11)</w:t>
            </w:r>
          </w:p>
        </w:tc>
        <w:tc>
          <w:tcPr>
            <w:tcW w:type="dxa" w:w="3168"/>
            <w:tcMar>
              <w:top w:w="50" w:type="dxa"/>
              <w:bottom w:w="50" w:type="dxa"/>
              <w:left w:w="100" w:type="dxa"/>
              <w:right w:w="100" w:type="dxa"/>
            </w:tcMar>
          </w:tcPr>
          <w:p>
            <w:pPr>
              <w:spacing w:before="40" w:after="40"/>
            </w:pPr>
            <w:r>
              <w:rPr>
                <w:sz w:val="17"/>
              </w:rPr>
              <w:t>worker/twin/*TwinWorker.java + TwinDecisionAgent</w:t>
            </w:r>
          </w:p>
        </w:tc>
        <w:tc>
          <w:tcPr>
            <w:tcW w:type="dxa" w:w="3312"/>
            <w:tcMar>
              <w:top w:w="50" w:type="dxa"/>
              <w:bottom w:w="50" w:type="dxa"/>
              <w:left w:w="100" w:type="dxa"/>
              <w:right w:w="100" w:type="dxa"/>
            </w:tcMar>
          </w:tcPr>
          <w:p>
            <w:pPr>
              <w:spacing w:before="40" w:after="40"/>
            </w:pPr>
            <w:r>
              <w:rPr>
                <w:sz w:val="17"/>
              </w:rPr>
              <w:t>Subscribes to Twin task topics and executes mirrored activity logic.</w:t>
            </w:r>
          </w:p>
        </w:tc>
      </w:tr>
      <w:tr>
        <w:tc>
          <w:tcPr>
            <w:tcW w:type="dxa" w:w="2880"/>
            <w:tcMar>
              <w:top w:w="50" w:type="dxa"/>
              <w:bottom w:w="50" w:type="dxa"/>
              <w:left w:w="100" w:type="dxa"/>
              <w:right w:w="100" w:type="dxa"/>
            </w:tcMar>
            <w:shd w:fill="F7F9FB"/>
          </w:tcPr>
          <w:p>
            <w:r>
              <w:t>Intermediate Catch Signals (11 total)</w:t>
            </w:r>
          </w:p>
        </w:tc>
        <w:tc>
          <w:tcPr>
            <w:tcW w:type="dxa" w:w="3168"/>
            <w:tcMar>
              <w:top w:w="50" w:type="dxa"/>
              <w:bottom w:w="50" w:type="dxa"/>
              <w:left w:w="100" w:type="dxa"/>
              <w:right w:w="100" w:type="dxa"/>
            </w:tcMar>
            <w:shd w:fill="F7F9FB"/>
          </w:tcPr>
          <w:p>
            <w:r>
              <w:t>signal/SignalBroadcaster.java</w:t>
            </w:r>
          </w:p>
        </w:tc>
        <w:tc>
          <w:tcPr>
            <w:tcW w:type="dxa" w:w="3312"/>
            <w:tcMar>
              <w:top w:w="50" w:type="dxa"/>
              <w:bottom w:w="50" w:type="dxa"/>
              <w:left w:w="100" w:type="dxa"/>
              <w:right w:w="100" w:type="dxa"/>
            </w:tcMar>
            <w:shd w:fill="F7F9FB"/>
          </w:tcPr>
          <w:p>
            <w:r>
              <w:t>Coordinates lockstep handoffs between Proxy and Twin waiting states across 11 total synchronization signal handlers (9 shared production signals: samplingSignal, layingSignal, markingSignal, cuttingSignal, stitchingSignal, checkingSignal, pressingSignal, packagingSignal, shippingSignal + 2 additional signal handlers: Signal_3733ues, orderVerifySignal).</w:t>
            </w:r>
          </w:p>
        </w:tc>
      </w:tr>
      <w:tr>
        <w:tc>
          <w:tcPr>
            <w:tcW w:type="dxa" w:w="2880"/>
            <w:tcMar>
              <w:top w:w="50" w:type="dxa"/>
              <w:bottom w:w="50" w:type="dxa"/>
              <w:left w:w="100" w:type="dxa"/>
              <w:right w:w="100" w:type="dxa"/>
            </w:tcMar>
          </w:tcPr>
          <w:p>
            <w:pPr>
              <w:spacing w:before="40" w:after="40"/>
            </w:pPr>
            <w:r>
              <w:rPr>
                <w:b/>
                <w:sz w:val="17"/>
              </w:rPr>
              <w:t>AMQP Message Queues</w:t>
            </w:r>
          </w:p>
        </w:tc>
        <w:tc>
          <w:tcPr>
            <w:tcW w:type="dxa" w:w="3168"/>
            <w:tcMar>
              <w:top w:w="50" w:type="dxa"/>
              <w:bottom w:w="50" w:type="dxa"/>
              <w:left w:w="100" w:type="dxa"/>
              <w:right w:w="100" w:type="dxa"/>
            </w:tcMar>
          </w:tcPr>
          <w:p>
            <w:pPr>
              <w:spacing w:before="40" w:after="40"/>
            </w:pPr>
            <w:r>
              <w:rPr>
                <w:sz w:val="17"/>
              </w:rPr>
              <w:t>messaging/RabbitMqConfig.java, Task/Response Publishers</w:t>
            </w:r>
          </w:p>
        </w:tc>
        <w:tc>
          <w:tcPr>
            <w:tcW w:type="dxa" w:w="3312"/>
            <w:tcMar>
              <w:top w:w="50" w:type="dxa"/>
              <w:bottom w:w="50" w:type="dxa"/>
              <w:left w:w="100" w:type="dxa"/>
              <w:right w:w="100" w:type="dxa"/>
            </w:tcMar>
          </w:tcPr>
          <w:p>
            <w:pPr>
              <w:spacing w:before="40" w:after="40"/>
            </w:pPr>
            <w:r>
              <w:rPr>
                <w:sz w:val="17"/>
              </w:rPr>
              <w:t>Publishes and consumes asynchronous correlation messages over RabbitMQ.</w:t>
            </w:r>
          </w:p>
        </w:tc>
      </w:tr>
      <w:tr>
        <w:tc>
          <w:tcPr>
            <w:tcW w:type="dxa" w:w="2880"/>
            <w:tcMar>
              <w:top w:w="50" w:type="dxa"/>
              <w:bottom w:w="50" w:type="dxa"/>
              <w:left w:w="100" w:type="dxa"/>
              <w:right w:w="100" w:type="dxa"/>
            </w:tcMar>
            <w:shd w:fill="F7F9FB"/>
          </w:tcPr>
          <w:p>
            <w:pPr>
              <w:spacing w:before="40" w:after="40"/>
            </w:pPr>
            <w:r>
              <w:rPr>
                <w:b/>
                <w:sz w:val="17"/>
              </w:rPr>
              <w:t>Proxy-Twin Correlation</w:t>
            </w:r>
          </w:p>
        </w:tc>
        <w:tc>
          <w:tcPr>
            <w:tcW w:type="dxa" w:w="3168"/>
            <w:tcMar>
              <w:top w:w="50" w:type="dxa"/>
              <w:bottom w:w="50" w:type="dxa"/>
              <w:left w:w="100" w:type="dxa"/>
              <w:right w:w="100" w:type="dxa"/>
            </w:tcMar>
            <w:shd w:fill="F7F9FB"/>
          </w:tcPr>
          <w:p>
            <w:pPr>
              <w:spacing w:before="40" w:after="40"/>
            </w:pPr>
            <w:r>
              <w:rPr>
                <w:sz w:val="17"/>
              </w:rPr>
              <w:t>coordination/PairRegistry.java</w:t>
            </w:r>
          </w:p>
        </w:tc>
        <w:tc>
          <w:tcPr>
            <w:tcW w:type="dxa" w:w="3312"/>
            <w:tcMar>
              <w:top w:w="50" w:type="dxa"/>
              <w:bottom w:w="50" w:type="dxa"/>
              <w:left w:w="100" w:type="dxa"/>
              <w:right w:w="100" w:type="dxa"/>
            </w:tcMar>
            <w:shd w:fill="F7F9FB"/>
          </w:tcPr>
          <w:p>
            <w:r>
              <w:t>Correlates matching business keys between Proxy and Twin processes within the single embedded Camunda engine.</w:t>
            </w:r>
          </w:p>
        </w:tc>
      </w:tr>
      <w:tr>
        <w:tc>
          <w:tcPr>
            <w:tcW w:type="dxa" w:w="2880"/>
            <w:tcMar>
              <w:top w:w="50" w:type="dxa"/>
              <w:bottom w:w="50" w:type="dxa"/>
              <w:left w:w="100" w:type="dxa"/>
              <w:right w:w="100" w:type="dxa"/>
            </w:tcMar>
          </w:tcPr>
          <w:p>
            <w:r>
              <w:t>Evolved Components</w:t>
            </w:r>
          </w:p>
        </w:tc>
        <w:tc>
          <w:tcPr>
            <w:tcW w:type="dxa" w:w="3168"/>
            <w:tcMar>
              <w:top w:w="50" w:type="dxa"/>
              <w:bottom w:w="50" w:type="dxa"/>
              <w:left w:w="100" w:type="dxa"/>
              <w:right w:w="100" w:type="dxa"/>
            </w:tcMar>
          </w:tcPr>
          <w:p>
            <w:r>
              <w:t>ComponentExecutor.java</w:t>
              <w:br/>
              <w:t>(Validator, CreditRiskAssessor, DataEnricher, Notifier)</w:t>
            </w:r>
          </w:p>
        </w:tc>
        <w:tc>
          <w:tcPr>
            <w:tcW w:type="dxa" w:w="3312"/>
            <w:tcMar>
              <w:top w:w="50" w:type="dxa"/>
              <w:bottom w:w="50" w:type="dxa"/>
              <w:left w:w="100" w:type="dxa"/>
              <w:right w:w="100" w:type="dxa"/>
            </w:tcMar>
          </w:tcPr>
          <w:p>
            <w:r>
              <w:t>Executes AI-selected agent logic (Validator, CreditRiskAssessor, DataEnricher, Notifier) dynamically bound to Twin activities without altering the underlying BPMN.</w:t>
            </w:r>
          </w:p>
        </w:tc>
      </w:tr>
      <w:tr>
        <w:tc>
          <w:tcPr>
            <w:tcW w:type="dxa" w:w="2880"/>
            <w:tcMar>
              <w:top w:w="50" w:type="dxa"/>
              <w:bottom w:w="50" w:type="dxa"/>
              <w:left w:w="100" w:type="dxa"/>
              <w:right w:w="100" w:type="dxa"/>
            </w:tcMar>
            <w:shd w:fill="F7F9FB"/>
          </w:tcPr>
          <w:p>
            <w:pPr>
              <w:spacing w:before="40" w:after="40"/>
            </w:pPr>
            <w:r>
              <w:rPr>
                <w:b/>
                <w:sz w:val="17"/>
              </w:rPr>
              <w:t>Process Controllers</w:t>
            </w:r>
          </w:p>
        </w:tc>
        <w:tc>
          <w:tcPr>
            <w:tcW w:type="dxa" w:w="3168"/>
            <w:tcMar>
              <w:top w:w="50" w:type="dxa"/>
              <w:bottom w:w="50" w:type="dxa"/>
              <w:left w:w="100" w:type="dxa"/>
              <w:right w:w="100" w:type="dxa"/>
            </w:tcMar>
            <w:shd w:fill="F7F9FB"/>
          </w:tcPr>
          <w:p>
            <w:pPr>
              <w:spacing w:before="40" w:after="40"/>
            </w:pPr>
            <w:r>
              <w:rPr>
                <w:sz w:val="17"/>
              </w:rPr>
              <w:t>proxy/controller/ProxyProcessController.java</w:t>
              <w:br/>
              <w:t>twin/controller/TwinProcessController.java</w:t>
            </w:r>
          </w:p>
        </w:tc>
        <w:tc>
          <w:tcPr>
            <w:tcW w:type="dxa" w:w="3312"/>
            <w:tcMar>
              <w:top w:w="50" w:type="dxa"/>
              <w:bottom w:w="50" w:type="dxa"/>
              <w:left w:w="100" w:type="dxa"/>
              <w:right w:w="100" w:type="dxa"/>
            </w:tcMar>
            <w:shd w:fill="F7F9FB"/>
          </w:tcPr>
          <w:p>
            <w:pPr>
              <w:spacing w:before="40" w:after="40"/>
            </w:pPr>
            <w:r>
              <w:rPr>
                <w:sz w:val="17"/>
              </w:rPr>
              <w:t>Exposes REST endpoints (/api/proxy/start, /api/twin/start) for process triggering.</w:t>
            </w:r>
          </w:p>
        </w:tc>
      </w:tr>
    </w:tbl>
    <w:p>
      <w:pPr>
        <w:spacing w:after="120"/>
      </w:pPr>
    </w:p>
    <w:p>
      <w:pPr>
        <w:pStyle w:val="Heading1"/>
        <w:spacing w:before="200" w:after="80"/>
      </w:pPr>
      <w:r>
        <w:t>7. Verified GitHub Deliverable Locations</w:t>
      </w:r>
    </w:p>
    <w:tbl>
      <w:tblPr>
        <w:tblW w:type="auto" w:w="0"/>
        <w:tblLook w:firstColumn="1" w:firstRow="1" w:lastColumn="0" w:lastRow="0" w:noHBand="0" w:noVBand="1" w:val="04A0"/>
      </w:tblPr>
      <w:tblGrid>
        <w:gridCol w:w="4968"/>
        <w:gridCol w:w="4968"/>
      </w:tblGrid>
      <w:tr>
        <w:tc>
          <w:tcPr>
            <w:tcW w:type="dxa" w:w="4968"/>
          </w:tcPr>
          <w:p>
            <w:r>
              <w:t>Deliverable</w:t>
            </w:r>
          </w:p>
        </w:tc>
        <w:tc>
          <w:tcPr>
            <w:tcW w:type="dxa" w:w="4968"/>
          </w:tcPr>
          <w:p>
            <w:r>
              <w:t>Verified GitHub Location</w:t>
            </w:r>
          </w:p>
        </w:tc>
      </w:tr>
      <w:tr>
        <w:tc>
          <w:tcPr>
            <w:tcW w:type="dxa" w:w="4968"/>
          </w:tcPr>
          <w:p>
            <w:r>
              <w:t>RedCollar Target Platform</w:t>
            </w:r>
          </w:p>
        </w:tc>
        <w:tc>
          <w:tcPr>
            <w:tcW w:type="dxa" w:w="4968"/>
          </w:tcPr>
          <w:p>
            <w:r>
              <w:t>https://github.com/nirmantaterh/metaml_su_2026/tree/master/generated-target-platforms/redcollar-manufacturing</w:t>
            </w:r>
          </w:p>
        </w:tc>
      </w:tr>
      <w:tr>
        <w:tc>
          <w:tcPr>
            <w:tcW w:type="dxa" w:w="4968"/>
          </w:tcPr>
          <w:p>
            <w:r>
              <w:t>LiveVerify Target Platform</w:t>
            </w:r>
          </w:p>
        </w:tc>
        <w:tc>
          <w:tcPr>
            <w:tcW w:type="dxa" w:w="4968"/>
          </w:tcPr>
          <w:p>
            <w:r>
              <w:t>https://github.com/nirmantaterh/metaml_su_2026/tree/master/generated-target-platforms/liveverify-wiretransfer</w:t>
            </w:r>
          </w:p>
        </w:tc>
      </w:tr>
      <w:tr>
        <w:tc>
          <w:tcPr>
            <w:tcW w:type="dxa" w:w="4968"/>
          </w:tcPr>
          <w:p>
            <w:r>
              <w:t>Target Platforms Overview</w:t>
            </w:r>
          </w:p>
        </w:tc>
        <w:tc>
          <w:tcPr>
            <w:tcW w:type="dxa" w:w="4968"/>
          </w:tcPr>
          <w:p>
            <w:r>
              <w:t>https://github.com/nirmantaterh/metaml_su_2026/tree/master/generated-target-platforms</w:t>
            </w:r>
          </w:p>
        </w:tc>
      </w:tr>
      <w:tr>
        <w:tc>
          <w:tcPr>
            <w:tcW w:type="dxa" w:w="4968"/>
          </w:tcPr>
          <w:p>
            <w:r>
              <w:t>Workbench Repository</w:t>
            </w:r>
          </w:p>
        </w:tc>
        <w:tc>
          <w:tcPr>
            <w:tcW w:type="dxa" w:w="4968"/>
          </w:tcPr>
          <w:p>
            <w:r>
              <w:t>https://github.com/nirmantaterh/metaml_su_2026</w:t>
            </w:r>
          </w:p>
        </w:tc>
      </w:tr>
      <w:tr>
        <w:tc>
          <w:tcPr>
            <w:tcW w:type="dxa" w:w="4968"/>
          </w:tcPr>
          <w:p>
            <w:r>
              <w:t>VS Code Plugin Repository</w:t>
            </w:r>
          </w:p>
        </w:tc>
        <w:tc>
          <w:tcPr>
            <w:tcW w:type="dxa" w:w="4968"/>
          </w:tcPr>
          <w:p>
            <w:r>
              <w:t>https://github.com/nirmantaterh/metaml-vscode-plugin</w:t>
            </w:r>
          </w:p>
        </w:tc>
      </w:tr>
    </w:tbl>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7"/>
      </w:rPr>
      <w:t>MetaML End-to-End Demo &amp; Target Platform Guide | Master Branch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