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3D18B" w14:textId="0B589693" w:rsidR="00691571" w:rsidRPr="00691571" w:rsidRDefault="00691571" w:rsidP="00691571">
      <w:r w:rsidRPr="00691571">
        <w:t>Risk Analysis: Mitigation of International Trade Risks via Confirmed Letter of Credit</w:t>
      </w:r>
    </w:p>
    <w:p w14:paraId="531AA753" w14:textId="77777777" w:rsidR="00691571" w:rsidRPr="00691571" w:rsidRDefault="00691571" w:rsidP="00691571">
      <w:r w:rsidRPr="00691571">
        <w:t>1.0 Introduction to the Confirmed Letter of Credit as a Risk Mitigation Tool</w:t>
      </w:r>
    </w:p>
    <w:p w14:paraId="4091EF39" w14:textId="073C4672" w:rsidR="00691571" w:rsidRPr="00691571" w:rsidRDefault="00691571" w:rsidP="00691571">
      <w:r w:rsidRPr="00691571">
        <w:t>International trade presents significant growth opportunities, but it also introduces a unique set of financial risks, particularly when dealing with new partners or operating in volatile markets. This analysis dissects the primary risks inherent in cross-border transactions</w:t>
      </w:r>
      <w:r>
        <w:t xml:space="preserve"> </w:t>
      </w:r>
      <w:r w:rsidRPr="00691571">
        <w:t>commercial, political, and country-specific</w:t>
      </w:r>
      <w:r>
        <w:t xml:space="preserve"> </w:t>
      </w:r>
      <w:r w:rsidRPr="00691571">
        <w:t>and evaluates how a confirmed letter of credit (LC) serves as a robust instrument for their mitigation.</w:t>
      </w:r>
    </w:p>
    <w:p w14:paraId="39932FE7" w14:textId="3C30849E" w:rsidR="00691571" w:rsidRPr="00691571" w:rsidRDefault="00691571" w:rsidP="00691571">
      <w:r w:rsidRPr="00691571">
        <w:t xml:space="preserve">A confirmed letter of credit is a financial instrument that adds a second, independent payment </w:t>
      </w:r>
      <w:proofErr w:type="gramStart"/>
      <w:r w:rsidRPr="00691571">
        <w:t>guarantee</w:t>
      </w:r>
      <w:proofErr w:type="gramEnd"/>
      <w:r>
        <w:t xml:space="preserve"> </w:t>
      </w:r>
      <w:r w:rsidRPr="00691571">
        <w:t>from a confirming bank, typically located in the exporter's country. This mechanism structurally decouples the exporter's payment security from the performance of the foreign issuing bank and the stability of the foreign jurisdiction, creating a dual-guarantee structure designed to shield exporters from financial loss.</w:t>
      </w:r>
    </w:p>
    <w:p w14:paraId="5EA194B9" w14:textId="77777777" w:rsidR="00691571" w:rsidRPr="00691571" w:rsidRDefault="00691571" w:rsidP="00691571">
      <w:r w:rsidRPr="00691571">
        <w:t>To illustrate this instrument's effectiveness in a practical context, this analysis will use a case study involving a Brazilian coffee exporter and a new buyer from a politically unstable country. By examining the mechanics of this transaction, we can see precisely how the confirmed letter of credit transfers risk away from the exporter. This document will first outline the specific risks faced by the exporter and then demonstrate, step-by-step, how the confirmed LC mechanism neutralizes them.</w:t>
      </w:r>
    </w:p>
    <w:p w14:paraId="77D354F2" w14:textId="77777777" w:rsidR="00691571" w:rsidRPr="00691571" w:rsidRDefault="00691571" w:rsidP="00691571">
      <w:r w:rsidRPr="00691571">
        <w:t>2.0 The Primary Risk Landscape in Cross-Border Transactions</w:t>
      </w:r>
    </w:p>
    <w:p w14:paraId="016EBCA8" w14:textId="77777777" w:rsidR="00691571" w:rsidRPr="00691571" w:rsidRDefault="00691571" w:rsidP="00691571">
      <w:r w:rsidRPr="00691571">
        <w:t>For any exporter, the strategic importance of identifying and managing financial risks cannot be overstated, especially when engaging with new, unknown buyers or entering markets characterized by political or economic instability. In such scenarios, an exporter faces several distinct threats that could jeopardize payment and profitability. The following sections define the key risk categories that must be addressed before committing to a cross-border sale.</w:t>
      </w:r>
    </w:p>
    <w:p w14:paraId="10482C83" w14:textId="77777777" w:rsidR="00691571" w:rsidRPr="00691571" w:rsidRDefault="00691571" w:rsidP="00691571">
      <w:r w:rsidRPr="00691571">
        <w:t>2.1 Commercial Risk</w:t>
      </w:r>
    </w:p>
    <w:p w14:paraId="3BE048E6" w14:textId="77777777" w:rsidR="00691571" w:rsidRPr="00691571" w:rsidRDefault="00691571" w:rsidP="00691571">
      <w:r w:rsidRPr="00691571">
        <w:t>Commercial risk, also known as counterparty risk, is the fundamental threat of non-payment stemming directly from the buyer. This risk materializes if the buyer defaults on their payment obligation due to insolvency, unwillingness to pay, or a dispute after shipment. In the context of the case study, the Brazilian exporter faced significant counterparty risk by engaging with a "new, unknown buyer," lacking an established trading history or a basis for assessing creditworthiness.</w:t>
      </w:r>
    </w:p>
    <w:p w14:paraId="26598473" w14:textId="77777777" w:rsidR="00691571" w:rsidRPr="00691571" w:rsidRDefault="00691571" w:rsidP="00691571">
      <w:r w:rsidRPr="00691571">
        <w:t>2.2 Political and Country Risk</w:t>
      </w:r>
    </w:p>
    <w:p w14:paraId="533AE653" w14:textId="1D328062" w:rsidR="00691571" w:rsidRPr="00691571" w:rsidRDefault="00691571" w:rsidP="00691571">
      <w:r w:rsidRPr="00691571">
        <w:t>Distinct from the buyer's commercial viability, political and country risk</w:t>
      </w:r>
      <w:r>
        <w:t xml:space="preserve"> </w:t>
      </w:r>
      <w:r w:rsidRPr="00691571">
        <w:t>often termed sovereign or jurisdictional risk</w:t>
      </w:r>
      <w:r>
        <w:t xml:space="preserve"> </w:t>
      </w:r>
      <w:r w:rsidRPr="00691571">
        <w:t>encompasses the danger that external events prevent the buyer's bank from fulfilling its payment obligation. Even if the buyer is willing and able to pay, the transaction can be derailed by factors beyond their control. These risks include:</w:t>
      </w:r>
    </w:p>
    <w:p w14:paraId="15A2E0FC" w14:textId="77777777" w:rsidR="00691571" w:rsidRPr="00691571" w:rsidRDefault="00691571" w:rsidP="00691571">
      <w:r w:rsidRPr="00691571">
        <w:t>• </w:t>
      </w:r>
      <w:r w:rsidRPr="00691571">
        <w:rPr>
          <w:b/>
          <w:bCs/>
        </w:rPr>
        <w:t>Political Instability:</w:t>
      </w:r>
      <w:r w:rsidRPr="00691571">
        <w:t> Civil unrest, sanctions, or sudden changes in government can disrupt banking operations and international payments.</w:t>
      </w:r>
    </w:p>
    <w:p w14:paraId="249DED6E" w14:textId="77777777" w:rsidR="00691571" w:rsidRPr="00691571" w:rsidRDefault="00691571" w:rsidP="00691571">
      <w:r w:rsidRPr="00691571">
        <w:t>• </w:t>
      </w:r>
      <w:r w:rsidRPr="00691571">
        <w:rPr>
          <w:b/>
          <w:bCs/>
        </w:rPr>
        <w:t>Currency Restrictions:</w:t>
      </w:r>
      <w:r w:rsidRPr="00691571">
        <w:t> A government may impose foreign exchange controls, making it impossible for the buyer's bank to transfer funds out of the country.</w:t>
      </w:r>
    </w:p>
    <w:p w14:paraId="59AA4C2F" w14:textId="68EDB3F2" w:rsidR="00691571" w:rsidRPr="00691571" w:rsidRDefault="00691571" w:rsidP="00691571">
      <w:r w:rsidRPr="00691571">
        <w:lastRenderedPageBreak/>
        <w:t>• </w:t>
      </w:r>
      <w:r w:rsidRPr="00691571">
        <w:rPr>
          <w:b/>
          <w:bCs/>
        </w:rPr>
        <w:t>Economic Collapse:</w:t>
      </w:r>
      <w:r w:rsidRPr="00691571">
        <w:t xml:space="preserve"> A severe economic downturn in the buyer's country could lead to a systemic banking failure, rendering the issuing bank incapable of </w:t>
      </w:r>
      <w:r w:rsidRPr="00691571">
        <w:t>honouring</w:t>
      </w:r>
      <w:r w:rsidRPr="00691571">
        <w:t xml:space="preserve"> its letter of credit.</w:t>
      </w:r>
    </w:p>
    <w:p w14:paraId="75397BE4" w14:textId="77777777" w:rsidR="00691571" w:rsidRPr="00691571" w:rsidRDefault="00691571" w:rsidP="00691571">
      <w:r w:rsidRPr="00691571">
        <w:t>2.3 Documentary and Operational Risk</w:t>
      </w:r>
    </w:p>
    <w:p w14:paraId="3952CB58" w14:textId="77777777" w:rsidR="00691571" w:rsidRPr="00691571" w:rsidRDefault="00691571" w:rsidP="00691571">
      <w:r w:rsidRPr="00691571">
        <w:t>While a letter of credit provides a payment guarantee, that guarantee is strictly conditional, introducing a documentary and operational risk borne entirely by the exporter. The payment undertaking is contingent upon the exporter fulfilling its performance obligation: presenting documents that adhere to the principle of </w:t>
      </w:r>
      <w:r w:rsidRPr="00691571">
        <w:rPr>
          <w:b/>
          <w:bCs/>
        </w:rPr>
        <w:t>strict compliance</w:t>
      </w:r>
      <w:r w:rsidRPr="00691571">
        <w:t> with the terms stipulated in the LC. A bank may refuse to pay if the submitted paperwork contains discrepancies, no matter how minor. Therefore, the security of the instrument is directly tied to the exporter's operational precision.</w:t>
      </w:r>
    </w:p>
    <w:p w14:paraId="384FD000" w14:textId="77777777" w:rsidR="00691571" w:rsidRPr="00691571" w:rsidRDefault="00691571" w:rsidP="00691571">
      <w:r w:rsidRPr="00691571">
        <w:t>Having identified these core risks, the following analysis examines the mechanism designed specifically to counter them.</w:t>
      </w:r>
    </w:p>
    <w:p w14:paraId="68EB7274" w14:textId="77777777" w:rsidR="00691571" w:rsidRPr="00691571" w:rsidRDefault="00691571" w:rsidP="00691571">
      <w:r w:rsidRPr="00691571">
        <w:t>3.0 Case Study: The Confirmed LC Transaction in Practice</w:t>
      </w:r>
    </w:p>
    <w:p w14:paraId="2B92BFE8" w14:textId="77777777" w:rsidR="00691571" w:rsidRPr="00691571" w:rsidRDefault="00691571" w:rsidP="00691571">
      <w:r w:rsidRPr="00691571">
        <w:t>By breaking down the transaction flow of the Brazilian coffee exporter, we can pinpoint exactly how and when risk is transferred from the exporter to the financial institutions involved. This procedural analysis reveals the confirmed letter of credit not as a single event, but as a structured process that systematically insulates the seller from financial loss.</w:t>
      </w:r>
    </w:p>
    <w:p w14:paraId="37D8F31C" w14:textId="77777777" w:rsidR="00691571" w:rsidRPr="00691571" w:rsidRDefault="00691571" w:rsidP="00691571">
      <w:r w:rsidRPr="00691571">
        <w:t>3.1 Phase 1: Risk Mitigation at Inception (Steps 1-3)</w:t>
      </w:r>
    </w:p>
    <w:p w14:paraId="18F34C1F" w14:textId="77777777" w:rsidR="00691571" w:rsidRPr="00691571" w:rsidRDefault="00691571" w:rsidP="00691571">
      <w:r w:rsidRPr="00691571">
        <w:t>The foundation for risk mitigation was laid during the initial negotiation. By embedding the confirmed LC requirement into the initial sales agreement, the exporter established a non-negotiable precondition for risk transference before committing resources to the transaction. Following this agreement, the buyer's bank (the issuing bank) opened an LC and sent it to the exporter's bank in Brazil, which initially acted as the </w:t>
      </w:r>
      <w:r w:rsidRPr="00691571">
        <w:rPr>
          <w:i/>
          <w:iCs/>
        </w:rPr>
        <w:t>advising bank</w:t>
      </w:r>
      <w:r w:rsidRPr="00691571">
        <w:t>. Upon the exporter's request for confirmation, the Brazilian bank conducted its own due diligence on the issuing bank and the sovereign risk of the buyer's country. By adding its confirmation, the Brazilian bank assumed an independent payment obligation, effectively anchoring the transaction's financial settlement in the exporter's own, more stable jurisdiction. This action represents the core of the risk mitigation strategy: the commercial and country risks, previously borne by the exporter, were now transferred to the balance sheet of the confirming bank.</w:t>
      </w:r>
    </w:p>
    <w:p w14:paraId="48BBF7A9" w14:textId="77777777" w:rsidR="00691571" w:rsidRPr="00691571" w:rsidRDefault="00691571" w:rsidP="00691571">
      <w:r w:rsidRPr="00691571">
        <w:t>3.2 Phase 2: Performance and Secure Payment (Steps 4-5)</w:t>
      </w:r>
    </w:p>
    <w:p w14:paraId="6E18E349" w14:textId="5BD4E8FC" w:rsidR="00691571" w:rsidRPr="00691571" w:rsidRDefault="00691571" w:rsidP="00691571">
      <w:r w:rsidRPr="00691571">
        <w:t>With a secure payment mechanism in place, the exporter was able to ship the goods, confident that the financial risk associated with the transaction had been neutralized. After shipment, the exporter gathered the stipulated documents</w:t>
      </w:r>
      <w:r>
        <w:t xml:space="preserve"> </w:t>
      </w:r>
      <w:r w:rsidRPr="00691571">
        <w:t>the commercial invoice, bill of lading, insurance certificate, and certificate of origin</w:t>
      </w:r>
      <w:r>
        <w:t xml:space="preserve"> </w:t>
      </w:r>
      <w:r w:rsidRPr="00691571">
        <w:t>and presented them to the confirming bank. In a critical test of the exporter's operational diligence</w:t>
      </w:r>
      <w:r>
        <w:t xml:space="preserve"> </w:t>
      </w:r>
      <w:r w:rsidRPr="00691571">
        <w:t>the very documentary risk outlined in Section 2.3</w:t>
      </w:r>
      <w:r>
        <w:t xml:space="preserve"> </w:t>
      </w:r>
      <w:r w:rsidRPr="00691571">
        <w:t>the confirming bank's experts meticulously checked the documents against the LC's terms. Upon verifying compliance, the confirming bank paid the exporter immediately. At this point, the exporter had received its funds and was definitively insulated from any subsequent risk related to the buyer, the issuing bank, or the buyer's country.</w:t>
      </w:r>
    </w:p>
    <w:p w14:paraId="4BD46001" w14:textId="77777777" w:rsidR="00691571" w:rsidRPr="00691571" w:rsidRDefault="00691571" w:rsidP="00691571">
      <w:r w:rsidRPr="00691571">
        <w:t>3.3 Phase 3: Post-Payment Settlement (Steps 6-7)</w:t>
      </w:r>
    </w:p>
    <w:p w14:paraId="2D73E333" w14:textId="290CE205" w:rsidR="00691571" w:rsidRPr="00691571" w:rsidRDefault="00691571" w:rsidP="00691571">
      <w:r w:rsidRPr="00691571">
        <w:t xml:space="preserve">The final phase of the transaction was conducted entirely between the financial institutions, with the exporter already paid and secured. The Brazilian confirming bank forwarded the </w:t>
      </w:r>
      <w:r w:rsidRPr="00691571">
        <w:lastRenderedPageBreak/>
        <w:t>compliant documents to the foreign issuing bank to claim reimbursement. The issuing bank then reviewed the documents and reimbursed the confirming bank. This final phase underscores the complete insulation of the exporter. Any potential friction in reimbursement</w:t>
      </w:r>
      <w:r>
        <w:t xml:space="preserve"> </w:t>
      </w:r>
      <w:r w:rsidRPr="00691571">
        <w:t>whether due to document disputes or emerging country risk</w:t>
      </w:r>
      <w:r>
        <w:t xml:space="preserve"> </w:t>
      </w:r>
      <w:r w:rsidRPr="00691571">
        <w:t>is now a matter between two financial institutions, having no impact on the already-secured funds of the exporter. Finally, the issuing bank released the documents to the buyer upon receiving payment from them, allowing the buyer to claim the coffee shipment.</w:t>
      </w:r>
    </w:p>
    <w:p w14:paraId="51DFF763" w14:textId="77777777" w:rsidR="00691571" w:rsidRPr="00691571" w:rsidRDefault="00691571" w:rsidP="00691571">
      <w:r w:rsidRPr="00691571">
        <w:t>4.0 Evaluation of Risk Mitigation Outcomes</w:t>
      </w:r>
    </w:p>
    <w:p w14:paraId="18228555" w14:textId="77777777" w:rsidR="00691571" w:rsidRPr="00691571" w:rsidRDefault="00691571" w:rsidP="00691571">
      <w:r w:rsidRPr="00691571">
        <w:t>The application of a confirmed letter of credit in the case study successfully neutralized the primary risks identified in Section 2.0. By transferring the payment obligation from a high-risk counterparty and jurisdiction to a low-risk domestic financial institution, the exporter achieved comprehensive financial security. The specific outcomes are evaluated below.</w:t>
      </w:r>
    </w:p>
    <w:p w14:paraId="7F61C4B9" w14:textId="4D48C249" w:rsidR="00691571" w:rsidRPr="00691571" w:rsidRDefault="00691571" w:rsidP="00691571">
      <w:r w:rsidRPr="00691571">
        <w:t>1. </w:t>
      </w:r>
      <w:r w:rsidRPr="00691571">
        <w:rPr>
          <w:b/>
          <w:bCs/>
        </w:rPr>
        <w:t>Elimination of Commercial Risk</w:t>
      </w:r>
      <w:r w:rsidRPr="00691571">
        <w:t> The confirmed LC structure rendered the commercial risk of buyer default moot from the exporter's standpoint. This counterparty risk was effectively substituted with the institutional credit risk of the confirming bank</w:t>
      </w:r>
      <w:r>
        <w:t xml:space="preserve"> </w:t>
      </w:r>
      <w:r w:rsidRPr="00691571">
        <w:t>a far superior and more proximate credit. The confirming bank's irrevocable undertaking to pay was based on its own risk assessment, not the end buyer's performance.</w:t>
      </w:r>
    </w:p>
    <w:p w14:paraId="64C4EBE9" w14:textId="77777777" w:rsidR="00691571" w:rsidRPr="00691571" w:rsidRDefault="00691571" w:rsidP="00691571">
      <w:r w:rsidRPr="00691571">
        <w:t>2. </w:t>
      </w:r>
      <w:r w:rsidRPr="00691571">
        <w:rPr>
          <w:b/>
          <w:bCs/>
        </w:rPr>
        <w:t>Mitigation of Political and Country Risk</w:t>
      </w:r>
      <w:r w:rsidRPr="00691571">
        <w:t> The payment obligation was successfully transferred from a high-risk jurisdiction to the exporter's home country. The Brazilian confirming bank's guarantee provided direct cover against the precise jurisdictional risks associated with the buyer's unstable country, including potential </w:t>
      </w:r>
      <w:r w:rsidRPr="00691571">
        <w:rPr>
          <w:b/>
          <w:bCs/>
        </w:rPr>
        <w:t>political instability</w:t>
      </w:r>
      <w:r w:rsidRPr="00691571">
        <w:t>, </w:t>
      </w:r>
      <w:r w:rsidRPr="00691571">
        <w:rPr>
          <w:b/>
          <w:bCs/>
        </w:rPr>
        <w:t>currency restrictions</w:t>
      </w:r>
      <w:r w:rsidRPr="00691571">
        <w:t>, or a national </w:t>
      </w:r>
      <w:r w:rsidRPr="00691571">
        <w:rPr>
          <w:b/>
          <w:bCs/>
        </w:rPr>
        <w:t>economic collapse</w:t>
      </w:r>
      <w:r w:rsidRPr="00691571">
        <w:t>. Had any of these events occurred after shipment, the Brazilian bank would still be obligated to pay the exporter against compliant documents.</w:t>
      </w:r>
    </w:p>
    <w:p w14:paraId="719B297A" w14:textId="77777777" w:rsidR="00691571" w:rsidRPr="00691571" w:rsidRDefault="00691571" w:rsidP="00691571">
      <w:r w:rsidRPr="00691571">
        <w:t>3. </w:t>
      </w:r>
      <w:r w:rsidRPr="00691571">
        <w:rPr>
          <w:b/>
          <w:bCs/>
        </w:rPr>
        <w:t>Achievement of Payment Security</w:t>
      </w:r>
      <w:r w:rsidRPr="00691571">
        <w:t> By fulfilling its performance obligation to provide compliant documentation, the exporter achieved a guaranteed payment. This payment was received promptly, within their own country, and from a familiar local bank. This level of security was contingent only upon the exporter's operational execution, not on the buyer's ability to pay or the political and economic stability of the buyer's country.</w:t>
      </w:r>
    </w:p>
    <w:p w14:paraId="6893135F" w14:textId="77777777" w:rsidR="00691571" w:rsidRPr="00691571" w:rsidRDefault="00691571" w:rsidP="00691571">
      <w:r w:rsidRPr="00691571">
        <w:t>These outcomes demonstrate a clear and successful transfer of risk, securing the exporter's revenue stream.</w:t>
      </w:r>
    </w:p>
    <w:p w14:paraId="6D5B0CA2" w14:textId="77777777" w:rsidR="00691571" w:rsidRPr="00691571" w:rsidRDefault="00691571" w:rsidP="00691571">
      <w:r w:rsidRPr="00691571">
        <w:t>5.0 Conclusion: The Confirmed Letter of Credit as a Strategic Imperative</w:t>
      </w:r>
    </w:p>
    <w:p w14:paraId="59009CFC" w14:textId="77777777" w:rsidR="00691571" w:rsidRPr="00691571" w:rsidRDefault="00691571" w:rsidP="00691571">
      <w:r w:rsidRPr="00691571">
        <w:t>The confirmed letter of credit is a powerful instrument for transferring and neutralizing the critical financial risks inherent in international trade. The analysis of the Brazilian exporter's transaction demonstrates how this tool systematically dismantles counterparty and jurisdictional risks by replacing a distant buyer's payment promise with an irrevocable and independent guarantee from a local, creditworthy bank.</w:t>
      </w:r>
    </w:p>
    <w:p w14:paraId="07934C63" w14:textId="77777777" w:rsidR="00691571" w:rsidRPr="00691571" w:rsidRDefault="00691571" w:rsidP="00691571">
      <w:r w:rsidRPr="00691571">
        <w:t>The analysis confirms that for transactions with elevated counterparty or jurisdictional risk, the confirmed LC is not merely a payment tool but a strategic imperative for securing revenue and protecting the balance sheet. While it demands procedural and documentary diligence, the comprehensive risk mitigation it provides justifies these requirements, making it an essential tool for conducting secure global trade.</w:t>
      </w:r>
    </w:p>
    <w:p w14:paraId="47316B51" w14:textId="77777777" w:rsidR="00DF01BC" w:rsidRDefault="00DF01BC"/>
    <w:sectPr w:rsidR="00DF01B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FCBB2" w14:textId="77777777" w:rsidR="00455A57" w:rsidRDefault="00455A57" w:rsidP="00691571">
      <w:pPr>
        <w:spacing w:after="0" w:line="240" w:lineRule="auto"/>
      </w:pPr>
      <w:r>
        <w:separator/>
      </w:r>
    </w:p>
  </w:endnote>
  <w:endnote w:type="continuationSeparator" w:id="0">
    <w:p w14:paraId="5D3FD4F7" w14:textId="77777777" w:rsidR="00455A57" w:rsidRDefault="00455A57" w:rsidP="0069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C306" w14:textId="77777777" w:rsidR="00691571" w:rsidRDefault="00691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76984" w14:textId="77777777" w:rsidR="00691571" w:rsidRDefault="00691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E06C" w14:textId="77777777" w:rsidR="00691571" w:rsidRDefault="00691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FC9E2" w14:textId="77777777" w:rsidR="00455A57" w:rsidRDefault="00455A57" w:rsidP="00691571">
      <w:pPr>
        <w:spacing w:after="0" w:line="240" w:lineRule="auto"/>
      </w:pPr>
      <w:r>
        <w:separator/>
      </w:r>
    </w:p>
  </w:footnote>
  <w:footnote w:type="continuationSeparator" w:id="0">
    <w:p w14:paraId="65BD7576" w14:textId="77777777" w:rsidR="00455A57" w:rsidRDefault="00455A57" w:rsidP="0069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6D0C4" w14:textId="77777777" w:rsidR="00691571" w:rsidRDefault="00691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D587" w14:textId="55530303" w:rsidR="00691571" w:rsidRPr="00691571" w:rsidRDefault="00691571">
    <w:pPr>
      <w:pStyle w:val="Header"/>
      <w:rPr>
        <w:sz w:val="50"/>
        <w:szCs w:val="50"/>
      </w:rPr>
    </w:pPr>
    <w:sdt>
      <w:sdtPr>
        <w:rPr>
          <w:sz w:val="50"/>
          <w:szCs w:val="50"/>
        </w:rPr>
        <w:id w:val="-649210043"/>
        <w:docPartObj>
          <w:docPartGallery w:val="Watermarks"/>
          <w:docPartUnique/>
        </w:docPartObj>
      </w:sdtPr>
      <w:sdtContent>
        <w:r w:rsidRPr="00691571">
          <w:rPr>
            <w:noProof/>
            <w:sz w:val="50"/>
            <w:szCs w:val="50"/>
          </w:rPr>
          <w:pict w14:anchorId="590626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0229298" o:spid="_x0000_s1029"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Nirmit Verma"/>
              <w10:wrap anchorx="margin" anchory="margin"/>
            </v:shape>
          </w:pict>
        </w:r>
      </w:sdtContent>
    </w:sdt>
    <w:r w:rsidRPr="00691571">
      <w:rPr>
        <w:sz w:val="50"/>
        <w:szCs w:val="50"/>
      </w:rPr>
      <w:t xml:space="preserve">Case Study 2 : By Nirmit Verma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DF784" w14:textId="77777777" w:rsidR="00691571" w:rsidRDefault="006915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71"/>
    <w:rsid w:val="001C6578"/>
    <w:rsid w:val="00455A57"/>
    <w:rsid w:val="00691571"/>
    <w:rsid w:val="00DF01BC"/>
    <w:rsid w:val="00E54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635F2"/>
  <w15:chartTrackingRefBased/>
  <w15:docId w15:val="{4850F568-1DE3-411B-B7AC-62AB74CD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571"/>
    <w:rPr>
      <w:rFonts w:eastAsiaTheme="majorEastAsia" w:cstheme="majorBidi"/>
      <w:color w:val="272727" w:themeColor="text1" w:themeTint="D8"/>
    </w:rPr>
  </w:style>
  <w:style w:type="paragraph" w:styleId="Title">
    <w:name w:val="Title"/>
    <w:basedOn w:val="Normal"/>
    <w:next w:val="Normal"/>
    <w:link w:val="TitleChar"/>
    <w:uiPriority w:val="10"/>
    <w:qFormat/>
    <w:rsid w:val="00691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571"/>
    <w:pPr>
      <w:spacing w:before="160"/>
      <w:jc w:val="center"/>
    </w:pPr>
    <w:rPr>
      <w:i/>
      <w:iCs/>
      <w:color w:val="404040" w:themeColor="text1" w:themeTint="BF"/>
    </w:rPr>
  </w:style>
  <w:style w:type="character" w:customStyle="1" w:styleId="QuoteChar">
    <w:name w:val="Quote Char"/>
    <w:basedOn w:val="DefaultParagraphFont"/>
    <w:link w:val="Quote"/>
    <w:uiPriority w:val="29"/>
    <w:rsid w:val="00691571"/>
    <w:rPr>
      <w:i/>
      <w:iCs/>
      <w:color w:val="404040" w:themeColor="text1" w:themeTint="BF"/>
    </w:rPr>
  </w:style>
  <w:style w:type="paragraph" w:styleId="ListParagraph">
    <w:name w:val="List Paragraph"/>
    <w:basedOn w:val="Normal"/>
    <w:uiPriority w:val="34"/>
    <w:qFormat/>
    <w:rsid w:val="00691571"/>
    <w:pPr>
      <w:ind w:left="720"/>
      <w:contextualSpacing/>
    </w:pPr>
  </w:style>
  <w:style w:type="character" w:styleId="IntenseEmphasis">
    <w:name w:val="Intense Emphasis"/>
    <w:basedOn w:val="DefaultParagraphFont"/>
    <w:uiPriority w:val="21"/>
    <w:qFormat/>
    <w:rsid w:val="00691571"/>
    <w:rPr>
      <w:i/>
      <w:iCs/>
      <w:color w:val="0F4761" w:themeColor="accent1" w:themeShade="BF"/>
    </w:rPr>
  </w:style>
  <w:style w:type="paragraph" w:styleId="IntenseQuote">
    <w:name w:val="Intense Quote"/>
    <w:basedOn w:val="Normal"/>
    <w:next w:val="Normal"/>
    <w:link w:val="IntenseQuoteChar"/>
    <w:uiPriority w:val="30"/>
    <w:qFormat/>
    <w:rsid w:val="00691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571"/>
    <w:rPr>
      <w:i/>
      <w:iCs/>
      <w:color w:val="0F4761" w:themeColor="accent1" w:themeShade="BF"/>
    </w:rPr>
  </w:style>
  <w:style w:type="character" w:styleId="IntenseReference">
    <w:name w:val="Intense Reference"/>
    <w:basedOn w:val="DefaultParagraphFont"/>
    <w:uiPriority w:val="32"/>
    <w:qFormat/>
    <w:rsid w:val="00691571"/>
    <w:rPr>
      <w:b/>
      <w:bCs/>
      <w:smallCaps/>
      <w:color w:val="0F4761" w:themeColor="accent1" w:themeShade="BF"/>
      <w:spacing w:val="5"/>
    </w:rPr>
  </w:style>
  <w:style w:type="paragraph" w:styleId="Header">
    <w:name w:val="header"/>
    <w:basedOn w:val="Normal"/>
    <w:link w:val="HeaderChar"/>
    <w:uiPriority w:val="99"/>
    <w:unhideWhenUsed/>
    <w:rsid w:val="00691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571"/>
  </w:style>
  <w:style w:type="paragraph" w:styleId="Footer">
    <w:name w:val="footer"/>
    <w:basedOn w:val="Normal"/>
    <w:link w:val="FooterChar"/>
    <w:uiPriority w:val="99"/>
    <w:unhideWhenUsed/>
    <w:rsid w:val="00691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Verma</dc:creator>
  <cp:keywords/>
  <dc:description/>
  <cp:lastModifiedBy>Nirmit Verma</cp:lastModifiedBy>
  <cp:revision>1</cp:revision>
  <dcterms:created xsi:type="dcterms:W3CDTF">2025-10-11T03:59:00Z</dcterms:created>
  <dcterms:modified xsi:type="dcterms:W3CDTF">2025-10-11T04:06:00Z</dcterms:modified>
</cp:coreProperties>
</file>