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400" w:after="0" w:line="240"/>
        <w:ind w:right="0" w:left="0" w:firstLine="0"/>
        <w:jc w:val="center"/>
        <w:rPr>
          <w:rFonts w:ascii="Calibri" w:hAnsi="Calibri" w:cs="Calibri" w:eastAsia="Calibri"/>
          <w:color w:val="auto"/>
          <w:spacing w:val="0"/>
          <w:position w:val="0"/>
          <w:sz w:val="50"/>
          <w:shd w:fill="auto" w:val="clear"/>
        </w:rPr>
      </w:pPr>
      <w:r>
        <w:rPr>
          <w:rFonts w:ascii="Calibri" w:hAnsi="Calibri" w:cs="Calibri" w:eastAsia="Calibri"/>
          <w:b/>
          <w:color w:val="1B3A5C"/>
          <w:spacing w:val="0"/>
          <w:position w:val="0"/>
          <w:sz w:val="50"/>
          <w:shd w:fill="auto" w:val="clear"/>
        </w:rPr>
        <w:t xml:space="preserve">Influencer Marketing Campaign Analytics</w:t>
      </w:r>
    </w:p>
    <w:p>
      <w:pPr>
        <w:spacing w:before="200" w:after="400" w:line="240"/>
        <w:ind w:right="0" w:left="0" w:firstLine="0"/>
        <w:jc w:val="center"/>
        <w:rPr>
          <w:rFonts w:ascii="Calibri" w:hAnsi="Calibri" w:cs="Calibri" w:eastAsia="Calibri"/>
          <w:color w:val="auto"/>
          <w:spacing w:val="0"/>
          <w:position w:val="0"/>
          <w:sz w:val="28"/>
          <w:shd w:fill="auto" w:val="clear"/>
        </w:rPr>
      </w:pPr>
      <w:r>
        <w:rPr>
          <w:rFonts w:ascii="Calibri" w:hAnsi="Calibri" w:cs="Calibri" w:eastAsia="Calibri"/>
          <w:color w:val="2E7B8C"/>
          <w:spacing w:val="0"/>
          <w:position w:val="0"/>
          <w:sz w:val="28"/>
          <w:shd w:fill="auto" w:val="clear"/>
        </w:rPr>
        <w:t xml:space="preserve">An Exploratory Data Analysis of Influencer Campaign Performance</w:t>
      </w:r>
    </w:p>
    <w:p>
      <w:pPr>
        <w:spacing w:before="0" w:after="6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444444"/>
          <w:spacing w:val="0"/>
          <w:position w:val="0"/>
          <w:sz w:val="22"/>
          <w:shd w:fill="auto" w:val="clear"/>
        </w:rPr>
        <w:t xml:space="preserve">Patterns in spend, ROI, engagement, platform performance, audience response, and influencer segmentation, with correlation analysis and strategic recommendations.</w:t>
      </w:r>
    </w:p>
    <w:p>
      <w:pPr>
        <w:spacing w:before="800" w:after="0" w:line="240"/>
        <w:ind w:right="0" w:left="0" w:firstLine="0"/>
        <w:jc w:val="center"/>
        <w:rPr>
          <w:rFonts w:ascii="Calibri" w:hAnsi="Calibri" w:cs="Calibri" w:eastAsia="Calibri"/>
          <w:color w:val="auto"/>
          <w:spacing w:val="0"/>
          <w:position w:val="0"/>
          <w:sz w:val="26"/>
          <w:shd w:fill="auto" w:val="clear"/>
        </w:rPr>
      </w:pPr>
      <w:r>
        <w:rPr>
          <w:rFonts w:ascii="Calibri" w:hAnsi="Calibri" w:cs="Calibri" w:eastAsia="Calibri"/>
          <w:b/>
          <w:color w:val="1B3A5C"/>
          <w:spacing w:val="0"/>
          <w:position w:val="0"/>
          <w:sz w:val="26"/>
          <w:shd w:fill="auto" w:val="clear"/>
        </w:rPr>
        <w:t xml:space="preserve">Prepared by: NIROSHA V</w:t>
      </w:r>
    </w:p>
    <w:p>
      <w:pPr>
        <w:spacing w:before="500" w:after="0" w:line="240"/>
        <w:ind w:right="0" w:left="0" w:firstLine="0"/>
        <w:jc w:val="left"/>
        <w:rPr>
          <w:rFonts w:ascii="Calibri" w:hAnsi="Calibri" w:cs="Calibri" w:eastAsia="Calibri"/>
          <w:color w:val="auto"/>
          <w:spacing w:val="0"/>
          <w:position w:val="0"/>
          <w:sz w:val="22"/>
          <w:shd w:fill="auto" w:val="clear"/>
        </w:rPr>
      </w:pPr>
    </w:p>
    <w:tbl>
      <w:tblPr/>
      <w:tblGrid>
        <w:gridCol w:w="2600"/>
        <w:gridCol w:w="6800"/>
      </w:tblGrid>
      <w:tr>
        <w:trPr>
          <w:trHeight w:val="1" w:hRule="atLeast"/>
          <w:jc w:val="left"/>
        </w:trPr>
        <w:tc>
          <w:tcPr>
            <w:tcW w:w="26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Field</w:t>
            </w:r>
          </w:p>
        </w:tc>
        <w:tc>
          <w:tcPr>
            <w:tcW w:w="68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Detail</w:t>
            </w:r>
          </w:p>
        </w:tc>
      </w:tr>
      <w:tr>
        <w:trPr>
          <w:trHeight w:val="1" w:hRule="atLeast"/>
          <w:jc w:val="left"/>
        </w:trPr>
        <w:tc>
          <w:tcPr>
            <w:tcW w:w="2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Dataset</w:t>
            </w:r>
          </w:p>
        </w:tc>
        <w:tc>
          <w:tcPr>
            <w:tcW w:w="6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marketing_dataset.csv</w:t>
            </w:r>
          </w:p>
        </w:tc>
      </w:tr>
      <w:tr>
        <w:trPr>
          <w:trHeight w:val="1" w:hRule="atLeast"/>
          <w:jc w:val="left"/>
        </w:trPr>
        <w:tc>
          <w:tcPr>
            <w:tcW w:w="26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Scope</w:t>
            </w:r>
          </w:p>
        </w:tc>
        <w:tc>
          <w:tcPr>
            <w:tcW w:w="68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56,224 influencer marketing campaign records</w:t>
            </w:r>
          </w:p>
        </w:tc>
      </w:tr>
      <w:tr>
        <w:trPr>
          <w:trHeight w:val="1" w:hRule="atLeast"/>
          <w:jc w:val="left"/>
        </w:trPr>
        <w:tc>
          <w:tcPr>
            <w:tcW w:w="2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Techniques used</w:t>
            </w:r>
          </w:p>
        </w:tc>
        <w:tc>
          <w:tcPr>
            <w:tcW w:w="6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Data cleaning, feature engineering (Engagement Rate, ROI, Conversion Rate), KPI design, correlation analysis, cross-tabulation, influencer segmentation</w:t>
            </w:r>
          </w:p>
        </w:tc>
      </w:tr>
      <w:tr>
        <w:trPr>
          <w:trHeight w:val="1" w:hRule="atLeast"/>
          <w:jc w:val="left"/>
        </w:trPr>
        <w:tc>
          <w:tcPr>
            <w:tcW w:w="26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Report type</w:t>
            </w:r>
          </w:p>
        </w:tc>
        <w:tc>
          <w:tcPr>
            <w:tcW w:w="68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Exploratory Data Analysis (EDA) </w:t>
            </w:r>
            <w:r>
              <w:rPr>
                <w:rFonts w:ascii="Calibri" w:hAnsi="Calibri" w:cs="Calibri" w:eastAsia="Calibri"/>
                <w:color w:val="000000"/>
                <w:spacing w:val="0"/>
                <w:position w:val="0"/>
                <w:sz w:val="20"/>
                <w:shd w:fill="auto" w:val="clear"/>
              </w:rPr>
              <w:t xml:space="preserve">—</w:t>
            </w:r>
            <w:r>
              <w:rPr>
                <w:rFonts w:ascii="Calibri" w:hAnsi="Calibri" w:cs="Calibri" w:eastAsia="Calibri"/>
                <w:color w:val="000000"/>
                <w:spacing w:val="0"/>
                <w:position w:val="0"/>
                <w:sz w:val="20"/>
                <w:shd w:fill="auto" w:val="clear"/>
              </w:rPr>
              <w:t xml:space="preserve"> Project Report</w:t>
            </w:r>
          </w:p>
        </w:tc>
      </w:tr>
      <w:tr>
        <w:trPr>
          <w:trHeight w:val="1" w:hRule="atLeast"/>
          <w:jc w:val="left"/>
        </w:trPr>
        <w:tc>
          <w:tcPr>
            <w:tcW w:w="2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Prepared</w:t>
            </w:r>
          </w:p>
        </w:tc>
        <w:tc>
          <w:tcPr>
            <w:tcW w:w="6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July 2026</w:t>
            </w:r>
          </w:p>
        </w:tc>
      </w:tr>
    </w:tbl>
    <w:p>
      <w:pPr>
        <w:spacing w:before="500" w:after="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i/>
          <w:color w:val="555555"/>
          <w:spacing w:val="0"/>
          <w:position w:val="0"/>
          <w:sz w:val="20"/>
          <w:shd w:fill="auto" w:val="clear"/>
        </w:rPr>
        <w:t xml:space="preserve">This report was produced from a Jupyter notebook analysis (influencer.ipynb) covering data understanding, cleaning, KPI calculation, platform and audience performance analysis, correlation testing, visual analytics, and influencer segmentation for a Power BI dashboard build.</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b/>
          <w:color w:val="1B3A5C"/>
          <w:spacing w:val="0"/>
          <w:position w:val="0"/>
          <w:sz w:val="32"/>
          <w:shd w:fill="auto" w:val="clear"/>
        </w:rPr>
      </w:pPr>
      <w:r>
        <w:rPr>
          <w:rFonts w:ascii="Calibri" w:hAnsi="Calibri" w:cs="Calibri" w:eastAsia="Calibri"/>
          <w:b/>
          <w:color w:val="1B3A5C"/>
          <w:spacing w:val="0"/>
          <w:position w:val="0"/>
          <w:sz w:val="32"/>
          <w:shd w:fill="auto" w:val="clear"/>
        </w:rPr>
        <w:t xml:space="preserve">Table of Contents</w:t>
      </w:r>
    </w:p>
    <w:p>
      <w:pPr>
        <w:spacing w:before="400" w:after="200" w:line="240"/>
        <w:ind w:right="0" w:left="0" w:firstLine="0"/>
        <w:jc w:val="left"/>
        <w:rPr>
          <w:rFonts w:ascii="Calibri" w:hAnsi="Calibri" w:cs="Calibri" w:eastAsia="Calibri"/>
          <w:b/>
          <w:color w:val="1B3A5C"/>
          <w:spacing w:val="0"/>
          <w:position w:val="0"/>
          <w:sz w:val="32"/>
          <w:shd w:fill="auto" w:val="clear"/>
        </w:rPr>
      </w:pPr>
      <w:r>
        <w:rPr>
          <w:rFonts w:ascii="Calibri" w:hAnsi="Calibri" w:cs="Calibri" w:eastAsia="Calibri"/>
          <w:b/>
          <w:color w:val="1B3A5C"/>
          <w:spacing w:val="0"/>
          <w:position w:val="0"/>
          <w:sz w:val="32"/>
          <w:shd w:fill="auto" w:val="clear"/>
        </w:rPr>
        <w:t xml:space="preserve">1. Executive Summary  </w:t>
      </w:r>
    </w:p>
    <w:p>
      <w:pPr>
        <w:spacing w:before="400" w:after="200" w:line="240"/>
        <w:ind w:right="0" w:left="0" w:firstLine="0"/>
        <w:jc w:val="left"/>
        <w:rPr>
          <w:rFonts w:ascii="Calibri" w:hAnsi="Calibri" w:cs="Calibri" w:eastAsia="Calibri"/>
          <w:b/>
          <w:color w:val="1B3A5C"/>
          <w:spacing w:val="0"/>
          <w:position w:val="0"/>
          <w:sz w:val="32"/>
          <w:shd w:fill="auto" w:val="clear"/>
        </w:rPr>
      </w:pPr>
      <w:r>
        <w:rPr>
          <w:rFonts w:ascii="Calibri" w:hAnsi="Calibri" w:cs="Calibri" w:eastAsia="Calibri"/>
          <w:b/>
          <w:color w:val="1B3A5C"/>
          <w:spacing w:val="0"/>
          <w:position w:val="0"/>
          <w:sz w:val="32"/>
          <w:shd w:fill="auto" w:val="clear"/>
        </w:rPr>
        <w:t xml:space="preserve">2. Introduction &amp; Dataset Overview  </w:t>
      </w:r>
    </w:p>
    <w:p>
      <w:pPr>
        <w:spacing w:before="400" w:after="200" w:line="240"/>
        <w:ind w:right="0" w:left="0" w:firstLine="0"/>
        <w:jc w:val="left"/>
        <w:rPr>
          <w:rFonts w:ascii="Calibri" w:hAnsi="Calibri" w:cs="Calibri" w:eastAsia="Calibri"/>
          <w:b/>
          <w:color w:val="1B3A5C"/>
          <w:spacing w:val="0"/>
          <w:position w:val="0"/>
          <w:sz w:val="32"/>
          <w:shd w:fill="auto" w:val="clear"/>
        </w:rPr>
      </w:pPr>
      <w:r>
        <w:rPr>
          <w:rFonts w:ascii="Calibri" w:hAnsi="Calibri" w:cs="Calibri" w:eastAsia="Calibri"/>
          <w:b/>
          <w:color w:val="1B3A5C"/>
          <w:spacing w:val="0"/>
          <w:position w:val="0"/>
          <w:sz w:val="32"/>
          <w:shd w:fill="auto" w:val="clear"/>
        </w:rPr>
        <w:t xml:space="preserve">   - 2.1 Dataset at a glance  </w:t>
      </w:r>
    </w:p>
    <w:p>
      <w:pPr>
        <w:spacing w:before="400" w:after="200" w:line="240"/>
        <w:ind w:right="0" w:left="0" w:firstLine="0"/>
        <w:jc w:val="left"/>
        <w:rPr>
          <w:rFonts w:ascii="Calibri" w:hAnsi="Calibri" w:cs="Calibri" w:eastAsia="Calibri"/>
          <w:b/>
          <w:color w:val="1B3A5C"/>
          <w:spacing w:val="0"/>
          <w:position w:val="0"/>
          <w:sz w:val="32"/>
          <w:shd w:fill="auto" w:val="clear"/>
        </w:rPr>
      </w:pPr>
      <w:r>
        <w:rPr>
          <w:rFonts w:ascii="Calibri" w:hAnsi="Calibri" w:cs="Calibri" w:eastAsia="Calibri"/>
          <w:b/>
          <w:color w:val="1B3A5C"/>
          <w:spacing w:val="0"/>
          <w:position w:val="0"/>
          <w:sz w:val="32"/>
          <w:shd w:fill="auto" w:val="clear"/>
        </w:rPr>
        <w:t xml:space="preserve">3. Methodology  </w:t>
      </w:r>
    </w:p>
    <w:p>
      <w:pPr>
        <w:spacing w:before="400" w:after="200" w:line="240"/>
        <w:ind w:right="0" w:left="0" w:firstLine="0"/>
        <w:jc w:val="left"/>
        <w:rPr>
          <w:rFonts w:ascii="Calibri" w:hAnsi="Calibri" w:cs="Calibri" w:eastAsia="Calibri"/>
          <w:b/>
          <w:color w:val="1B3A5C"/>
          <w:spacing w:val="0"/>
          <w:position w:val="0"/>
          <w:sz w:val="32"/>
          <w:shd w:fill="auto" w:val="clear"/>
        </w:rPr>
      </w:pPr>
      <w:r>
        <w:rPr>
          <w:rFonts w:ascii="Calibri" w:hAnsi="Calibri" w:cs="Calibri" w:eastAsia="Calibri"/>
          <w:b/>
          <w:color w:val="1B3A5C"/>
          <w:spacing w:val="0"/>
          <w:position w:val="0"/>
          <w:sz w:val="32"/>
          <w:shd w:fill="auto" w:val="clear"/>
        </w:rPr>
        <w:t xml:space="preserve">4. Data Cleaning &amp; Feature Engineering  </w:t>
      </w:r>
    </w:p>
    <w:p>
      <w:pPr>
        <w:spacing w:before="400" w:after="200" w:line="240"/>
        <w:ind w:right="0" w:left="0" w:firstLine="0"/>
        <w:jc w:val="left"/>
        <w:rPr>
          <w:rFonts w:ascii="Calibri" w:hAnsi="Calibri" w:cs="Calibri" w:eastAsia="Calibri"/>
          <w:b/>
          <w:color w:val="1B3A5C"/>
          <w:spacing w:val="0"/>
          <w:position w:val="0"/>
          <w:sz w:val="32"/>
          <w:shd w:fill="auto" w:val="clear"/>
        </w:rPr>
      </w:pPr>
      <w:r>
        <w:rPr>
          <w:rFonts w:ascii="Calibri" w:hAnsi="Calibri" w:cs="Calibri" w:eastAsia="Calibri"/>
          <w:b/>
          <w:color w:val="1B3A5C"/>
          <w:spacing w:val="0"/>
          <w:position w:val="0"/>
          <w:sz w:val="32"/>
          <w:shd w:fill="auto" w:val="clear"/>
        </w:rPr>
        <w:t xml:space="preserve">5. KPI Summary </w:t>
      </w:r>
      <w:r>
        <w:rPr>
          <w:rFonts w:ascii="Calibri" w:hAnsi="Calibri" w:cs="Calibri" w:eastAsia="Calibri"/>
          <w:b/>
          <w:color w:val="1B3A5C"/>
          <w:spacing w:val="0"/>
          <w:position w:val="0"/>
          <w:sz w:val="32"/>
          <w:shd w:fill="auto" w:val="clear"/>
        </w:rPr>
        <w:t xml:space="preserve">— Campaign Performance Overview  </w:t>
      </w:r>
    </w:p>
    <w:p>
      <w:pPr>
        <w:spacing w:before="400" w:after="200" w:line="240"/>
        <w:ind w:right="0" w:left="0" w:firstLine="0"/>
        <w:jc w:val="left"/>
        <w:rPr>
          <w:rFonts w:ascii="Calibri" w:hAnsi="Calibri" w:cs="Calibri" w:eastAsia="Calibri"/>
          <w:b/>
          <w:color w:val="1B3A5C"/>
          <w:spacing w:val="0"/>
          <w:position w:val="0"/>
          <w:sz w:val="32"/>
          <w:shd w:fill="auto" w:val="clear"/>
        </w:rPr>
      </w:pPr>
      <w:r>
        <w:rPr>
          <w:rFonts w:ascii="Calibri" w:hAnsi="Calibri" w:cs="Calibri" w:eastAsia="Calibri"/>
          <w:b/>
          <w:color w:val="1B3A5C"/>
          <w:spacing w:val="0"/>
          <w:position w:val="0"/>
          <w:sz w:val="32"/>
          <w:shd w:fill="auto" w:val="clear"/>
        </w:rPr>
        <w:t xml:space="preserve">6. Platform Performance — Engagement &amp; Reach  </w:t>
      </w:r>
    </w:p>
    <w:p>
      <w:pPr>
        <w:spacing w:before="400" w:after="200" w:line="240"/>
        <w:ind w:right="0" w:left="0" w:firstLine="0"/>
        <w:jc w:val="left"/>
        <w:rPr>
          <w:rFonts w:ascii="Calibri" w:hAnsi="Calibri" w:cs="Calibri" w:eastAsia="Calibri"/>
          <w:b/>
          <w:color w:val="1B3A5C"/>
          <w:spacing w:val="0"/>
          <w:position w:val="0"/>
          <w:sz w:val="32"/>
          <w:shd w:fill="auto" w:val="clear"/>
        </w:rPr>
      </w:pPr>
      <w:r>
        <w:rPr>
          <w:rFonts w:ascii="Calibri" w:hAnsi="Calibri" w:cs="Calibri" w:eastAsia="Calibri"/>
          <w:b/>
          <w:color w:val="1B3A5C"/>
          <w:spacing w:val="0"/>
          <w:position w:val="0"/>
          <w:sz w:val="32"/>
          <w:shd w:fill="auto" w:val="clear"/>
        </w:rPr>
        <w:t xml:space="preserve">7. Correlation Analysis — Spend, ROI, Followers, Reach  </w:t>
      </w:r>
    </w:p>
    <w:p>
      <w:pPr>
        <w:spacing w:before="400" w:after="200" w:line="240"/>
        <w:ind w:right="0" w:left="0" w:firstLine="0"/>
        <w:jc w:val="left"/>
        <w:rPr>
          <w:rFonts w:ascii="Calibri" w:hAnsi="Calibri" w:cs="Calibri" w:eastAsia="Calibri"/>
          <w:b/>
          <w:color w:val="1B3A5C"/>
          <w:spacing w:val="0"/>
          <w:position w:val="0"/>
          <w:sz w:val="32"/>
          <w:shd w:fill="auto" w:val="clear"/>
        </w:rPr>
      </w:pPr>
      <w:r>
        <w:rPr>
          <w:rFonts w:ascii="Calibri" w:hAnsi="Calibri" w:cs="Calibri" w:eastAsia="Calibri"/>
          <w:b/>
          <w:color w:val="1B3A5C"/>
          <w:spacing w:val="0"/>
          <w:position w:val="0"/>
          <w:sz w:val="32"/>
          <w:shd w:fill="auto" w:val="clear"/>
        </w:rPr>
        <w:t xml:space="preserve">   - 7.1 Spend vs ROI  </w:t>
      </w:r>
    </w:p>
    <w:p>
      <w:pPr>
        <w:spacing w:before="400" w:after="200" w:line="240"/>
        <w:ind w:right="0" w:left="0" w:firstLine="0"/>
        <w:jc w:val="left"/>
        <w:rPr>
          <w:rFonts w:ascii="Calibri" w:hAnsi="Calibri" w:cs="Calibri" w:eastAsia="Calibri"/>
          <w:b/>
          <w:color w:val="1B3A5C"/>
          <w:spacing w:val="0"/>
          <w:position w:val="0"/>
          <w:sz w:val="32"/>
          <w:shd w:fill="auto" w:val="clear"/>
        </w:rPr>
      </w:pPr>
      <w:r>
        <w:rPr>
          <w:rFonts w:ascii="Calibri" w:hAnsi="Calibri" w:cs="Calibri" w:eastAsia="Calibri"/>
          <w:b/>
          <w:color w:val="1B3A5C"/>
          <w:spacing w:val="0"/>
          <w:position w:val="0"/>
          <w:sz w:val="32"/>
          <w:shd w:fill="auto" w:val="clear"/>
        </w:rPr>
        <w:t xml:space="preserve">   - 7.2 Followers vs Reach  </w:t>
      </w:r>
    </w:p>
    <w:p>
      <w:pPr>
        <w:spacing w:before="400" w:after="200" w:line="240"/>
        <w:ind w:right="0" w:left="0" w:firstLine="0"/>
        <w:jc w:val="left"/>
        <w:rPr>
          <w:rFonts w:ascii="Calibri" w:hAnsi="Calibri" w:cs="Calibri" w:eastAsia="Calibri"/>
          <w:b/>
          <w:color w:val="1B3A5C"/>
          <w:spacing w:val="0"/>
          <w:position w:val="0"/>
          <w:sz w:val="32"/>
          <w:shd w:fill="auto" w:val="clear"/>
        </w:rPr>
      </w:pPr>
      <w:r>
        <w:rPr>
          <w:rFonts w:ascii="Calibri" w:hAnsi="Calibri" w:cs="Calibri" w:eastAsia="Calibri"/>
          <w:b/>
          <w:color w:val="1B3A5C"/>
          <w:spacing w:val="0"/>
          <w:position w:val="0"/>
          <w:sz w:val="32"/>
          <w:shd w:fill="auto" w:val="clear"/>
        </w:rPr>
        <w:t xml:space="preserve">8. Influencer-Level Revenue Analysis  </w:t>
      </w:r>
    </w:p>
    <w:p>
      <w:pPr>
        <w:spacing w:before="400" w:after="200" w:line="240"/>
        <w:ind w:right="0" w:left="0" w:firstLine="0"/>
        <w:jc w:val="left"/>
        <w:rPr>
          <w:rFonts w:ascii="Calibri" w:hAnsi="Calibri" w:cs="Calibri" w:eastAsia="Calibri"/>
          <w:b/>
          <w:color w:val="1B3A5C"/>
          <w:spacing w:val="0"/>
          <w:position w:val="0"/>
          <w:sz w:val="32"/>
          <w:shd w:fill="auto" w:val="clear"/>
        </w:rPr>
      </w:pPr>
      <w:r>
        <w:rPr>
          <w:rFonts w:ascii="Calibri" w:hAnsi="Calibri" w:cs="Calibri" w:eastAsia="Calibri"/>
          <w:b/>
          <w:color w:val="1B3A5C"/>
          <w:spacing w:val="0"/>
          <w:position w:val="0"/>
          <w:sz w:val="32"/>
          <w:shd w:fill="auto" w:val="clear"/>
        </w:rPr>
        <w:t xml:space="preserve">9. Audience Group Performance  </w:t>
      </w:r>
    </w:p>
    <w:p>
      <w:pPr>
        <w:spacing w:before="400" w:after="200" w:line="240"/>
        <w:ind w:right="0" w:left="0" w:firstLine="0"/>
        <w:jc w:val="left"/>
        <w:rPr>
          <w:rFonts w:ascii="Calibri" w:hAnsi="Calibri" w:cs="Calibri" w:eastAsia="Calibri"/>
          <w:b/>
          <w:color w:val="1B3A5C"/>
          <w:spacing w:val="0"/>
          <w:position w:val="0"/>
          <w:sz w:val="32"/>
          <w:shd w:fill="auto" w:val="clear"/>
        </w:rPr>
      </w:pPr>
      <w:r>
        <w:rPr>
          <w:rFonts w:ascii="Calibri" w:hAnsi="Calibri" w:cs="Calibri" w:eastAsia="Calibri"/>
          <w:b/>
          <w:color w:val="1B3A5C"/>
          <w:spacing w:val="0"/>
          <w:position w:val="0"/>
          <w:sz w:val="32"/>
          <w:shd w:fill="auto" w:val="clear"/>
        </w:rPr>
        <w:t xml:space="preserve">10. Multi-Metric Visual Analytics  </w:t>
      </w:r>
    </w:p>
    <w:p>
      <w:pPr>
        <w:spacing w:before="400" w:after="200" w:line="240"/>
        <w:ind w:right="0" w:left="0" w:firstLine="0"/>
        <w:jc w:val="left"/>
        <w:rPr>
          <w:rFonts w:ascii="Calibri" w:hAnsi="Calibri" w:cs="Calibri" w:eastAsia="Calibri"/>
          <w:b/>
          <w:color w:val="1B3A5C"/>
          <w:spacing w:val="0"/>
          <w:position w:val="0"/>
          <w:sz w:val="32"/>
          <w:shd w:fill="auto" w:val="clear"/>
        </w:rPr>
      </w:pPr>
      <w:r>
        <w:rPr>
          <w:rFonts w:ascii="Calibri" w:hAnsi="Calibri" w:cs="Calibri" w:eastAsia="Calibri"/>
          <w:b/>
          <w:color w:val="1B3A5C"/>
          <w:spacing w:val="0"/>
          <w:position w:val="0"/>
          <w:sz w:val="32"/>
          <w:shd w:fill="auto" w:val="clear"/>
        </w:rPr>
        <w:t xml:space="preserve">11. Top Performing Influencers  </w:t>
      </w:r>
    </w:p>
    <w:p>
      <w:pPr>
        <w:spacing w:before="400" w:after="200" w:line="240"/>
        <w:ind w:right="0" w:left="0" w:firstLine="0"/>
        <w:jc w:val="left"/>
        <w:rPr>
          <w:rFonts w:ascii="Calibri" w:hAnsi="Calibri" w:cs="Calibri" w:eastAsia="Calibri"/>
          <w:b/>
          <w:color w:val="1B3A5C"/>
          <w:spacing w:val="0"/>
          <w:position w:val="0"/>
          <w:sz w:val="32"/>
          <w:shd w:fill="auto" w:val="clear"/>
        </w:rPr>
      </w:pPr>
      <w:r>
        <w:rPr>
          <w:rFonts w:ascii="Calibri" w:hAnsi="Calibri" w:cs="Calibri" w:eastAsia="Calibri"/>
          <w:b/>
          <w:color w:val="1B3A5C"/>
          <w:spacing w:val="0"/>
          <w:position w:val="0"/>
          <w:sz w:val="32"/>
          <w:shd w:fill="auto" w:val="clear"/>
        </w:rPr>
        <w:t xml:space="preserve">12. Influencer Segmentation  </w:t>
      </w:r>
    </w:p>
    <w:p>
      <w:pPr>
        <w:spacing w:before="400" w:after="200" w:line="240"/>
        <w:ind w:right="0" w:left="0" w:firstLine="0"/>
        <w:jc w:val="left"/>
        <w:rPr>
          <w:rFonts w:ascii="Calibri" w:hAnsi="Calibri" w:cs="Calibri" w:eastAsia="Calibri"/>
          <w:b/>
          <w:color w:val="1B3A5C"/>
          <w:spacing w:val="0"/>
          <w:position w:val="0"/>
          <w:sz w:val="32"/>
          <w:shd w:fill="auto" w:val="clear"/>
        </w:rPr>
      </w:pPr>
      <w:r>
        <w:rPr>
          <w:rFonts w:ascii="Calibri" w:hAnsi="Calibri" w:cs="Calibri" w:eastAsia="Calibri"/>
          <w:b/>
          <w:color w:val="1B3A5C"/>
          <w:spacing w:val="0"/>
          <w:position w:val="0"/>
          <w:sz w:val="32"/>
          <w:shd w:fill="auto" w:val="clear"/>
        </w:rPr>
        <w:t xml:space="preserve">13. Key Insights Summary  </w:t>
      </w:r>
    </w:p>
    <w:p>
      <w:pPr>
        <w:spacing w:before="400" w:after="200" w:line="240"/>
        <w:ind w:right="0" w:left="0" w:firstLine="0"/>
        <w:jc w:val="left"/>
        <w:rPr>
          <w:rFonts w:ascii="Calibri" w:hAnsi="Calibri" w:cs="Calibri" w:eastAsia="Calibri"/>
          <w:b/>
          <w:color w:val="1B3A5C"/>
          <w:spacing w:val="0"/>
          <w:position w:val="0"/>
          <w:sz w:val="32"/>
          <w:shd w:fill="auto" w:val="clear"/>
        </w:rPr>
      </w:pPr>
      <w:r>
        <w:rPr>
          <w:rFonts w:ascii="Calibri" w:hAnsi="Calibri" w:cs="Calibri" w:eastAsia="Calibri"/>
          <w:b/>
          <w:color w:val="1B3A5C"/>
          <w:spacing w:val="0"/>
          <w:position w:val="0"/>
          <w:sz w:val="32"/>
          <w:shd w:fill="auto" w:val="clear"/>
        </w:rPr>
        <w:t xml:space="preserve">14. Recommendations  </w:t>
      </w:r>
    </w:p>
    <w:p>
      <w:pPr>
        <w:spacing w:before="400" w:after="200" w:line="240"/>
        <w:ind w:right="0" w:left="0" w:firstLine="0"/>
        <w:jc w:val="left"/>
        <w:rPr>
          <w:rFonts w:ascii="Calibri" w:hAnsi="Calibri" w:cs="Calibri" w:eastAsia="Calibri"/>
          <w:b/>
          <w:color w:val="1B3A5C"/>
          <w:spacing w:val="0"/>
          <w:position w:val="0"/>
          <w:sz w:val="32"/>
          <w:shd w:fill="auto" w:val="clear"/>
        </w:rPr>
      </w:pPr>
      <w:r>
        <w:rPr>
          <w:rFonts w:ascii="Calibri" w:hAnsi="Calibri" w:cs="Calibri" w:eastAsia="Calibri"/>
          <w:b/>
          <w:color w:val="1B3A5C"/>
          <w:spacing w:val="0"/>
          <w:position w:val="0"/>
          <w:sz w:val="32"/>
          <w:shd w:fill="auto" w:val="clear"/>
        </w:rPr>
        <w:t xml:space="preserve">   - For campaign planning and media buying  </w:t>
      </w:r>
    </w:p>
    <w:p>
      <w:pPr>
        <w:spacing w:before="400" w:after="200" w:line="240"/>
        <w:ind w:right="0" w:left="0" w:firstLine="0"/>
        <w:jc w:val="left"/>
        <w:rPr>
          <w:rFonts w:ascii="Calibri" w:hAnsi="Calibri" w:cs="Calibri" w:eastAsia="Calibri"/>
          <w:b/>
          <w:color w:val="1B3A5C"/>
          <w:spacing w:val="0"/>
          <w:position w:val="0"/>
          <w:sz w:val="32"/>
          <w:shd w:fill="auto" w:val="clear"/>
        </w:rPr>
      </w:pPr>
      <w:r>
        <w:rPr>
          <w:rFonts w:ascii="Calibri" w:hAnsi="Calibri" w:cs="Calibri" w:eastAsia="Calibri"/>
          <w:b/>
          <w:color w:val="1B3A5C"/>
          <w:spacing w:val="0"/>
          <w:position w:val="0"/>
          <w:sz w:val="32"/>
          <w:shd w:fill="auto" w:val="clear"/>
        </w:rPr>
        <w:t xml:space="preserve">   - For influencer selection  </w:t>
      </w:r>
    </w:p>
    <w:p>
      <w:pPr>
        <w:spacing w:before="400" w:after="200" w:line="240"/>
        <w:ind w:right="0" w:left="0" w:firstLine="0"/>
        <w:jc w:val="left"/>
        <w:rPr>
          <w:rFonts w:ascii="Calibri" w:hAnsi="Calibri" w:cs="Calibri" w:eastAsia="Calibri"/>
          <w:b/>
          <w:color w:val="1B3A5C"/>
          <w:spacing w:val="0"/>
          <w:position w:val="0"/>
          <w:sz w:val="32"/>
          <w:shd w:fill="auto" w:val="clear"/>
        </w:rPr>
      </w:pPr>
      <w:r>
        <w:rPr>
          <w:rFonts w:ascii="Calibri" w:hAnsi="Calibri" w:cs="Calibri" w:eastAsia="Calibri"/>
          <w:b/>
          <w:color w:val="1B3A5C"/>
          <w:spacing w:val="0"/>
          <w:position w:val="0"/>
          <w:sz w:val="32"/>
          <w:shd w:fill="auto" w:val="clear"/>
        </w:rPr>
        <w:t xml:space="preserve">   - For future analysis  </w:t>
      </w:r>
    </w:p>
    <w:p>
      <w:pPr>
        <w:spacing w:before="400" w:after="200" w:line="240"/>
        <w:ind w:right="0" w:left="0" w:firstLine="0"/>
        <w:jc w:val="left"/>
        <w:rPr>
          <w:rFonts w:ascii="Calibri" w:hAnsi="Calibri" w:cs="Calibri" w:eastAsia="Calibri"/>
          <w:b/>
          <w:color w:val="1B3A5C"/>
          <w:spacing w:val="0"/>
          <w:position w:val="0"/>
          <w:sz w:val="32"/>
          <w:shd w:fill="auto" w:val="clear"/>
        </w:rPr>
      </w:pPr>
      <w:r>
        <w:rPr>
          <w:rFonts w:ascii="Calibri" w:hAnsi="Calibri" w:cs="Calibri" w:eastAsia="Calibri"/>
          <w:b/>
          <w:color w:val="1B3A5C"/>
          <w:spacing w:val="0"/>
          <w:position w:val="0"/>
          <w:sz w:val="32"/>
          <w:shd w:fill="auto" w:val="clear"/>
        </w:rPr>
        <w:t xml:space="preserve">15. Limitations  </w:t>
      </w: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16. Conclusion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1. Executive Summary</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report analyses 56,224 influencer marketing campaign records to understand how spend, platform choice, follower count, and audience group relate to engagement, conversions, and return on investment (ROI). Each record represents a single campaign-level transaction linking an influencer, a product, and a customer, so the analysis focuses on campaign-level performance patterns rather than influencer biographies.</w:t>
      </w:r>
    </w:p>
    <w:tbl>
      <w:tblPr/>
      <w:tblGrid>
        <w:gridCol w:w="5200"/>
        <w:gridCol w:w="3200"/>
      </w:tblGrid>
      <w:tr>
        <w:trPr>
          <w:trHeight w:val="1" w:hRule="atLeast"/>
          <w:jc w:val="left"/>
        </w:trPr>
        <w:tc>
          <w:tcPr>
            <w:tcW w:w="52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Metric</w:t>
            </w:r>
          </w:p>
        </w:tc>
        <w:tc>
          <w:tcPr>
            <w:tcW w:w="32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Value</w:t>
            </w:r>
          </w:p>
        </w:tc>
      </w:tr>
      <w:tr>
        <w:trPr>
          <w:trHeight w:val="1" w:hRule="atLeast"/>
          <w:jc w:val="left"/>
        </w:trPr>
        <w:tc>
          <w:tcPr>
            <w:tcW w:w="5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Campaign records analysed</w:t>
            </w:r>
          </w:p>
        </w:tc>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56,224</w:t>
            </w:r>
          </w:p>
        </w:tc>
      </w:tr>
      <w:tr>
        <w:trPr>
          <w:trHeight w:val="1" w:hRule="atLeast"/>
          <w:jc w:val="left"/>
        </w:trPr>
        <w:tc>
          <w:tcPr>
            <w:tcW w:w="5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Total ad spend</w:t>
            </w:r>
          </w:p>
        </w:tc>
        <w:tc>
          <w:tcPr>
            <w:tcW w:w="3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₹1.42 Billion</w:t>
            </w:r>
          </w:p>
        </w:tc>
      </w:tr>
      <w:tr>
        <w:trPr>
          <w:trHeight w:val="1" w:hRule="atLeast"/>
          <w:jc w:val="left"/>
        </w:trPr>
        <w:tc>
          <w:tcPr>
            <w:tcW w:w="5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Total revenue generated</w:t>
            </w:r>
          </w:p>
        </w:tc>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₹2.83 Billion</w:t>
            </w:r>
          </w:p>
        </w:tc>
      </w:tr>
      <w:tr>
        <w:trPr>
          <w:trHeight w:val="1" w:hRule="atLeast"/>
          <w:jc w:val="left"/>
        </w:trPr>
        <w:tc>
          <w:tcPr>
            <w:tcW w:w="5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Spend-weighted ROI</w:t>
            </w:r>
          </w:p>
        </w:tc>
        <w:tc>
          <w:tcPr>
            <w:tcW w:w="3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100.2%</w:t>
            </w:r>
          </w:p>
        </w:tc>
      </w:tr>
      <w:tr>
        <w:trPr>
          <w:trHeight w:val="1" w:hRule="atLeast"/>
          <w:jc w:val="left"/>
        </w:trPr>
        <w:tc>
          <w:tcPr>
            <w:tcW w:w="5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Overall conversion rate</w:t>
            </w:r>
          </w:p>
        </w:tc>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20.06%</w:t>
            </w:r>
          </w:p>
        </w:tc>
      </w:tr>
      <w:tr>
        <w:trPr>
          <w:trHeight w:val="1" w:hRule="atLeast"/>
          <w:jc w:val="left"/>
        </w:trPr>
        <w:tc>
          <w:tcPr>
            <w:tcW w:w="5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Correlation: Followers vs Reach</w:t>
            </w:r>
          </w:p>
        </w:tc>
        <w:tc>
          <w:tcPr>
            <w:tcW w:w="3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0.92 (strong positive)</w:t>
            </w:r>
          </w:p>
        </w:tc>
      </w:tr>
      <w:tr>
        <w:trPr>
          <w:trHeight w:val="1" w:hRule="atLeast"/>
          <w:jc w:val="left"/>
        </w:trPr>
        <w:tc>
          <w:tcPr>
            <w:tcW w:w="5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Correlation: Spend vs ROI</w:t>
            </w:r>
          </w:p>
        </w:tc>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-0.45 (moderate negative)</w:t>
            </w:r>
          </w:p>
        </w:tc>
      </w:tr>
      <w:tr>
        <w:trPr>
          <w:trHeight w:val="1" w:hRule="atLeast"/>
          <w:jc w:val="left"/>
        </w:trPr>
        <w:tc>
          <w:tcPr>
            <w:tcW w:w="5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Top platform by engagement</w:t>
            </w:r>
          </w:p>
        </w:tc>
        <w:tc>
          <w:tcPr>
            <w:tcW w:w="3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Instagram</w:t>
            </w:r>
          </w:p>
        </w:tc>
      </w:tr>
      <w:tr>
        <w:trPr>
          <w:trHeight w:val="1" w:hRule="atLeast"/>
          <w:jc w:val="left"/>
        </w:trPr>
        <w:tc>
          <w:tcPr>
            <w:tcW w:w="5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Largest influencer segment</w:t>
            </w:r>
          </w:p>
        </w:tc>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Cost Efficient Influencer (35,143 campaigns)</w:t>
            </w:r>
          </w:p>
        </w:tc>
      </w:tr>
    </w:tbl>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Spend and ROI move in opposite directions: campaigns in the lowest spend quartile post the highest average ROI, while the highest-spend quartile shows the lowest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 pattern consistent with diminishing returns and with a small number of very-low-spend, very-high-revenue campaigns pulling the percentage-based ROI metric upward. Followers and Reach are strongly correlated (0.92), but the ratio of Reach to Followers varies materially by platform, with TikTok converting followers into reach most efficiently. Gen Z and Millennial audiences generate the most engagement and revenue, while Baby Boomers lag on both engagement and conversion. A follower-count-and-performance-based segmentation splits campaigns into five practical influencer tiers for planning future partnerships.</w:t>
      </w: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2. Introduction &amp; Dataset Overview</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Influencer marketing has become a core acquisition channel for digital brands, but campaign spend is often allocated on reach and follower count alone rather than on measured return. This project analyses a structured log of influencer campaign transactions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spend, engagement, conversions, and revenue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to surface which platforms, audience groups, and influencer profiles actually convert, and to build a KPI framework and segmentation suitable for an ongoing performance dashboard.</w:t>
      </w:r>
    </w:p>
    <w:p>
      <w:pPr>
        <w:spacing w:before="300" w:after="15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7B8C"/>
          <w:spacing w:val="0"/>
          <w:position w:val="0"/>
          <w:sz w:val="26"/>
          <w:shd w:fill="auto" w:val="clear"/>
        </w:rPr>
        <w:t xml:space="preserve">2.1 Dataset at a glance</w:t>
      </w:r>
    </w:p>
    <w:tbl>
      <w:tblPr/>
      <w:tblGrid>
        <w:gridCol w:w="3400"/>
        <w:gridCol w:w="5000"/>
      </w:tblGrid>
      <w:tr>
        <w:trPr>
          <w:trHeight w:val="1" w:hRule="atLeast"/>
          <w:jc w:val="left"/>
        </w:trPr>
        <w:tc>
          <w:tcPr>
            <w:tcW w:w="34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Field</w:t>
            </w:r>
          </w:p>
        </w:tc>
        <w:tc>
          <w:tcPr>
            <w:tcW w:w="50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Description</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Campaign_ID / Product_ID</w:t>
            </w:r>
          </w:p>
        </w:tc>
        <w:tc>
          <w:tcPr>
            <w:tcW w:w="5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Unique identifiers for the campaign and the product promoted</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Spend (Budget)</w:t>
            </w:r>
          </w:p>
        </w:tc>
        <w:tc>
          <w:tcPr>
            <w:tcW w:w="50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Amount spent on the campaign, in Indian Rupees</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Clicks / Conversions</w:t>
            </w:r>
          </w:p>
        </w:tc>
        <w:tc>
          <w:tcPr>
            <w:tcW w:w="5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Click-throughs and completed conversions from the campaign</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Revenue (Revenue_Generated)</w:t>
            </w:r>
          </w:p>
        </w:tc>
        <w:tc>
          <w:tcPr>
            <w:tcW w:w="50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Revenue attributed to the campaign, in Indian Rupees</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ROI</w:t>
            </w:r>
          </w:p>
        </w:tc>
        <w:tc>
          <w:tcPr>
            <w:tcW w:w="5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Return on investment for the campaign</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Customer_ID / Subscription_Tier / Subscription_Length</w:t>
            </w:r>
          </w:p>
        </w:tc>
        <w:tc>
          <w:tcPr>
            <w:tcW w:w="50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Customer identifiers and subscription details</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Influencer_Name / Platform / Followers</w:t>
            </w:r>
          </w:p>
        </w:tc>
        <w:tc>
          <w:tcPr>
            <w:tcW w:w="5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Influencer identity, social platform, and follower count</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Reach / Likes / Comments / Shares</w:t>
            </w:r>
          </w:p>
        </w:tc>
        <w:tc>
          <w:tcPr>
            <w:tcW w:w="50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Post-level performance metrics</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Audience_Group</w:t>
            </w:r>
          </w:p>
        </w:tc>
        <w:tc>
          <w:tcPr>
            <w:tcW w:w="5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Demographic segment reached (Gen Z, Millennials, Gen X, Baby Boomers)</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Campaign_Date</w:t>
            </w:r>
          </w:p>
        </w:tc>
        <w:tc>
          <w:tcPr>
            <w:tcW w:w="50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Date the campaign ran</w:t>
            </w:r>
          </w:p>
        </w:tc>
      </w:tr>
    </w:tbl>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raw file contained 56,224 rows and 26 columns. Missing values were present in three fields: Platform (1,125 missing), Followers (846 missing), and Audience_Group (561 missing)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all handled during cleaning (Section 4). No fully duplicate rows were found after the cleaning pass, and 26 columns were reduced to a clean, consistently-typed working set of 29 columns once engineered features were added.</w:t>
      </w: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3. Methodology</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analysis followed a standard exploratory data-analysis workflow, implemented in Python (pandas, NumPy, Matplotlib, Seaborn) inside a Jupyter notebook, followed by dashboard design in Power BI.</w:t>
      </w:r>
    </w:p>
    <w:p>
      <w:pPr>
        <w:numPr>
          <w:ilvl w:val="0"/>
          <w:numId w:val="100"/>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understanding &amp; cleaning: loaded the CSV, checked shape, column types, and missing values; imputed and standardised key fields.</w:t>
      </w:r>
    </w:p>
    <w:p>
      <w:pPr>
        <w:numPr>
          <w:ilvl w:val="0"/>
          <w:numId w:val="100"/>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Feature engineering: derived Engagement_Rate, recalculated ROI as a percentage, Conversion_Rate, and Total_Engagement from raw interaction counts.</w:t>
      </w:r>
    </w:p>
    <w:p>
      <w:pPr>
        <w:numPr>
          <w:ilvl w:val="0"/>
          <w:numId w:val="100"/>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KPI design: built a single-page KPI summary (total reach, total revenue, total spend, average engagement, spend-weighted ROI, cost per engagement, conversion rate) for executive reporting.</w:t>
      </w:r>
    </w:p>
    <w:p>
      <w:pPr>
        <w:numPr>
          <w:ilvl w:val="0"/>
          <w:numId w:val="100"/>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Bivariate &amp; cross-tabulation analysis: examined engagement, ROI, and revenue across platform, influencer, and audience group using grouped aggregations and heatmaps.</w:t>
      </w:r>
    </w:p>
    <w:p>
      <w:pPr>
        <w:numPr>
          <w:ilvl w:val="0"/>
          <w:numId w:val="100"/>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Correlation analysis: tested Spend vs ROI and Followers vs Reach relationships, and built a full numeric correlation heatmap.</w:t>
      </w:r>
    </w:p>
    <w:p>
      <w:pPr>
        <w:numPr>
          <w:ilvl w:val="0"/>
          <w:numId w:val="100"/>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Visual analytics: produced multi-panel scatter plots (cost vs ROI, followers vs reach, platform vs engagement, influencer vs revenue) and a campaign funnel view.</w:t>
      </w:r>
    </w:p>
    <w:p>
      <w:pPr>
        <w:numPr>
          <w:ilvl w:val="0"/>
          <w:numId w:val="100"/>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Segmentation: classified campaigns into influencer tiers (Micro, Mid-tier, Mega, High ROI, High Engagement, Cost Efficient) using a rule-based, sequential-overwrite scheme.</w:t>
      </w:r>
    </w:p>
    <w:p>
      <w:pPr>
        <w:spacing w:before="0" w:after="200" w:line="30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i/>
          <w:color w:val="555555"/>
          <w:spacing w:val="0"/>
          <w:position w:val="0"/>
          <w:sz w:val="20"/>
          <w:shd w:fill="auto" w:val="clear"/>
        </w:rPr>
        <w:t xml:space="preserve">All charts in this report are reproduced directly from the notebook's outputs to preserve traceability between the analysis code and the findings presented below.</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4. Data Cleaning &amp; Feature Engineering</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Before analysis, the dataset was cleaned and standardised in the following order:</w:t>
      </w:r>
    </w:p>
    <w:p>
      <w:pPr>
        <w:numPr>
          <w:ilvl w:val="0"/>
          <w:numId w:val="105"/>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Renamed Budget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Spend and Revenue_Generated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Revenue for clarity across all downstream KPIs and charts.</w:t>
      </w:r>
    </w:p>
    <w:p>
      <w:pPr>
        <w:numPr>
          <w:ilvl w:val="0"/>
          <w:numId w:val="105"/>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Filled missing Platform and Audience_Group values with "Unknown" rather than dropping rows, to preserve campaign volume for spend and revenue totals.</w:t>
      </w:r>
    </w:p>
    <w:p>
      <w:pPr>
        <w:numPr>
          <w:ilvl w:val="0"/>
          <w:numId w:val="105"/>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Imputed missing Followers using the median follower count for the same influencer where available, falling back to the dataset-wide median.</w:t>
      </w:r>
    </w:p>
    <w:p>
      <w:pPr>
        <w:numPr>
          <w:ilvl w:val="0"/>
          <w:numId w:val="105"/>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Removed duplicate rows and dropped campaigns with zero Reach, since a zero denominator makes Engagement_Rate mathematically undefined (this fix was applied after an earlier pass produced an infinite average engagement rate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see Section 5).</w:t>
      </w:r>
    </w:p>
    <w:p>
      <w:pPr>
        <w:numPr>
          <w:ilvl w:val="0"/>
          <w:numId w:val="105"/>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Derived Engagement_Rate = (Likes + Comments + Shares) / Reach, Conversion_Rate = Conversions / Clicks, Total_Engagement = Likes + Comments + Shares, and recomputed ROI as ((Revenue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Spend) / Spend) × 100.</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One notable data-quality finding: recomputing ROI as a percentage produced an extremely wide range (from about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98% to over 18,600%), because a handful of campaigns paired very small spend with disproportionately large revenue. This long tail materially affects any simple average of ROI and is discussed further in Sections 7 and 8.</w:t>
      </w:r>
    </w:p>
    <w:tbl>
      <w:tblPr/>
      <w:tblGrid>
        <w:gridCol w:w="2200"/>
        <w:gridCol w:w="2200"/>
        <w:gridCol w:w="2200"/>
        <w:gridCol w:w="2200"/>
      </w:tblGrid>
      <w:tr>
        <w:trPr>
          <w:trHeight w:val="1" w:hRule="atLeast"/>
          <w:jc w:val="left"/>
        </w:trPr>
        <w:tc>
          <w:tcPr>
            <w:tcW w:w="22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Statistic</w:t>
            </w:r>
          </w:p>
        </w:tc>
        <w:tc>
          <w:tcPr>
            <w:tcW w:w="22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Spend (</w:t>
            </w:r>
            <w:r>
              <w:rPr>
                <w:rFonts w:ascii="Calibri" w:hAnsi="Calibri" w:cs="Calibri" w:eastAsia="Calibri"/>
                <w:b/>
                <w:color w:val="FFFFFF"/>
                <w:spacing w:val="0"/>
                <w:position w:val="0"/>
                <w:sz w:val="20"/>
                <w:shd w:fill="auto" w:val="clear"/>
              </w:rPr>
              <w:t xml:space="preserve">₹)</w:t>
            </w:r>
          </w:p>
        </w:tc>
        <w:tc>
          <w:tcPr>
            <w:tcW w:w="22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Conversions</w:t>
            </w:r>
          </w:p>
        </w:tc>
        <w:tc>
          <w:tcPr>
            <w:tcW w:w="22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Revenue (</w:t>
            </w:r>
            <w:r>
              <w:rPr>
                <w:rFonts w:ascii="Calibri" w:hAnsi="Calibri" w:cs="Calibri" w:eastAsia="Calibri"/>
                <w:b/>
                <w:color w:val="FFFFFF"/>
                <w:spacing w:val="0"/>
                <w:position w:val="0"/>
                <w:sz w:val="20"/>
                <w:shd w:fill="auto" w:val="clear"/>
              </w:rPr>
              <w:t xml:space="preserve">₹)</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Count</w:t>
            </w:r>
          </w:p>
        </w:tc>
        <w:tc>
          <w:tcPr>
            <w:tcW w:w="2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56,224</w:t>
            </w:r>
          </w:p>
        </w:tc>
        <w:tc>
          <w:tcPr>
            <w:tcW w:w="2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56,224</w:t>
            </w:r>
          </w:p>
        </w:tc>
        <w:tc>
          <w:tcPr>
            <w:tcW w:w="2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56,224</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Mean</w:t>
            </w:r>
          </w:p>
        </w:tc>
        <w:tc>
          <w:tcPr>
            <w:tcW w:w="2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25,178.96</w:t>
            </w:r>
          </w:p>
        </w:tc>
        <w:tc>
          <w:tcPr>
            <w:tcW w:w="2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501.01</w:t>
            </w:r>
          </w:p>
        </w:tc>
        <w:tc>
          <w:tcPr>
            <w:tcW w:w="2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50,412.88</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Std deviation</w:t>
            </w:r>
          </w:p>
        </w:tc>
        <w:tc>
          <w:tcPr>
            <w:tcW w:w="2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14,265.34</w:t>
            </w:r>
          </w:p>
        </w:tc>
        <w:tc>
          <w:tcPr>
            <w:tcW w:w="2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287.83</w:t>
            </w:r>
          </w:p>
        </w:tc>
        <w:tc>
          <w:tcPr>
            <w:tcW w:w="2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28,540.67</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Minimum</w:t>
            </w:r>
          </w:p>
        </w:tc>
        <w:tc>
          <w:tcPr>
            <w:tcW w:w="2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500.44</w:t>
            </w:r>
          </w:p>
        </w:tc>
        <w:tc>
          <w:tcPr>
            <w:tcW w:w="2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w:t>
            </w:r>
          </w:p>
        </w:tc>
        <w:tc>
          <w:tcPr>
            <w:tcW w:w="2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1,002.08</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Median</w:t>
            </w:r>
          </w:p>
        </w:tc>
        <w:tc>
          <w:tcPr>
            <w:tcW w:w="2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25,116.47</w:t>
            </w:r>
          </w:p>
        </w:tc>
        <w:tc>
          <w:tcPr>
            <w:tcW w:w="2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502</w:t>
            </w:r>
          </w:p>
        </w:tc>
        <w:tc>
          <w:tcPr>
            <w:tcW w:w="2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50,298.27</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Maximum</w:t>
            </w:r>
          </w:p>
        </w:tc>
        <w:tc>
          <w:tcPr>
            <w:tcW w:w="2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49,999.63</w:t>
            </w:r>
          </w:p>
        </w:tc>
        <w:tc>
          <w:tcPr>
            <w:tcW w:w="2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999</w:t>
            </w:r>
          </w:p>
        </w:tc>
        <w:tc>
          <w:tcPr>
            <w:tcW w:w="2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99,999.47</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5. KPI Summary </w:t>
      </w:r>
      <w:r>
        <w:rPr>
          <w:rFonts w:ascii="Calibri" w:hAnsi="Calibri" w:cs="Calibri" w:eastAsia="Calibri"/>
          <w:b/>
          <w:color w:val="1B3A5C"/>
          <w:spacing w:val="0"/>
          <w:position w:val="0"/>
          <w:sz w:val="32"/>
          <w:shd w:fill="auto" w:val="clear"/>
        </w:rPr>
        <w:t xml:space="preserve">—</w:t>
      </w:r>
      <w:r>
        <w:rPr>
          <w:rFonts w:ascii="Calibri" w:hAnsi="Calibri" w:cs="Calibri" w:eastAsia="Calibri"/>
          <w:b/>
          <w:color w:val="1B3A5C"/>
          <w:spacing w:val="0"/>
          <w:position w:val="0"/>
          <w:sz w:val="32"/>
          <w:shd w:fill="auto" w:val="clear"/>
        </w:rPr>
        <w:t xml:space="preserve"> Campaign Performance Overview</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single executive KPI table was built to summarise overall program performance for stakeholder reporting.</w:t>
      </w:r>
    </w:p>
    <w:tbl>
      <w:tblPr/>
      <w:tblGrid>
        <w:gridCol w:w="5200"/>
        <w:gridCol w:w="3200"/>
      </w:tblGrid>
      <w:tr>
        <w:trPr>
          <w:trHeight w:val="1" w:hRule="atLeast"/>
          <w:jc w:val="left"/>
        </w:trPr>
        <w:tc>
          <w:tcPr>
            <w:tcW w:w="52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KPI</w:t>
            </w:r>
          </w:p>
        </w:tc>
        <w:tc>
          <w:tcPr>
            <w:tcW w:w="32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Value</w:t>
            </w:r>
          </w:p>
        </w:tc>
      </w:tr>
      <w:tr>
        <w:trPr>
          <w:trHeight w:val="1" w:hRule="atLeast"/>
          <w:jc w:val="left"/>
        </w:trPr>
        <w:tc>
          <w:tcPr>
            <w:tcW w:w="5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Total Campaigns</w:t>
            </w:r>
          </w:p>
        </w:tc>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55,999 unique</w:t>
            </w:r>
          </w:p>
        </w:tc>
      </w:tr>
      <w:tr>
        <w:trPr>
          <w:trHeight w:val="1" w:hRule="atLeast"/>
          <w:jc w:val="left"/>
        </w:trPr>
        <w:tc>
          <w:tcPr>
            <w:tcW w:w="5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Total Reach</w:t>
            </w:r>
          </w:p>
        </w:tc>
        <w:tc>
          <w:tcPr>
            <w:tcW w:w="3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7.93 Billion</w:t>
            </w:r>
          </w:p>
        </w:tc>
      </w:tr>
      <w:tr>
        <w:trPr>
          <w:trHeight w:val="1" w:hRule="atLeast"/>
          <w:jc w:val="left"/>
        </w:trPr>
        <w:tc>
          <w:tcPr>
            <w:tcW w:w="5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Total Revenue</w:t>
            </w:r>
          </w:p>
        </w:tc>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₹2.83 Billion</w:t>
            </w:r>
          </w:p>
        </w:tc>
      </w:tr>
      <w:tr>
        <w:trPr>
          <w:trHeight w:val="1" w:hRule="atLeast"/>
          <w:jc w:val="left"/>
        </w:trPr>
        <w:tc>
          <w:tcPr>
            <w:tcW w:w="5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Total Spend</w:t>
            </w:r>
          </w:p>
        </w:tc>
        <w:tc>
          <w:tcPr>
            <w:tcW w:w="3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₹1.42 Billion</w:t>
            </w:r>
          </w:p>
        </w:tc>
      </w:tr>
      <w:tr>
        <w:trPr>
          <w:trHeight w:val="1" w:hRule="atLeast"/>
          <w:jc w:val="left"/>
        </w:trPr>
        <w:tc>
          <w:tcPr>
            <w:tcW w:w="5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Average ROI (simple)</w:t>
            </w:r>
          </w:p>
        </w:tc>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2.75 (raw dataset ROI field)</w:t>
            </w:r>
          </w:p>
        </w:tc>
      </w:tr>
      <w:tr>
        <w:trPr>
          <w:trHeight w:val="1" w:hRule="atLeast"/>
          <w:jc w:val="left"/>
        </w:trPr>
        <w:tc>
          <w:tcPr>
            <w:tcW w:w="5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Average ROI (spend-weighted, %)</w:t>
            </w:r>
          </w:p>
        </w:tc>
        <w:tc>
          <w:tcPr>
            <w:tcW w:w="3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100.2%</w:t>
            </w:r>
          </w:p>
        </w:tc>
      </w:tr>
      <w:tr>
        <w:trPr>
          <w:trHeight w:val="1" w:hRule="atLeast"/>
          <w:jc w:val="left"/>
        </w:trPr>
        <w:tc>
          <w:tcPr>
            <w:tcW w:w="5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Cost Per Engagement</w:t>
            </w:r>
          </w:p>
        </w:tc>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₹4.48</w:t>
            </w:r>
          </w:p>
        </w:tc>
      </w:tr>
      <w:tr>
        <w:trPr>
          <w:trHeight w:val="1" w:hRule="atLeast"/>
          <w:jc w:val="left"/>
        </w:trPr>
        <w:tc>
          <w:tcPr>
            <w:tcW w:w="5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Conversion Rate</w:t>
            </w:r>
          </w:p>
        </w:tc>
        <w:tc>
          <w:tcPr>
            <w:tcW w:w="3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20.06%</w:t>
            </w:r>
          </w:p>
        </w:tc>
      </w:tr>
    </w:tbl>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spend-weighted ROI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total revenue minus total spend, divided by total spend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is the more reliable program-level figure at 100.2%, meaning the program generated roughly ₹2 in revenue for every ₹1 spent in aggregate. This differs from a simple per-campaign average ROI, which is heavily skewed by the extreme high-ROI outliers noted in Section 4. An earlier calculation pass reported an infinite average engagement rate; this was traced to campaigns with zero Reach in the uncleaned data (a division-by-zero case), and was resolved by excluding zero-Reach campaigns before computing engagement metrics, as described in Section 4.</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6. Platform Performance </w:t>
      </w:r>
      <w:r>
        <w:rPr>
          <w:rFonts w:ascii="Calibri" w:hAnsi="Calibri" w:cs="Calibri" w:eastAsia="Calibri"/>
          <w:b/>
          <w:color w:val="1B3A5C"/>
          <w:spacing w:val="0"/>
          <w:position w:val="0"/>
          <w:sz w:val="32"/>
          <w:shd w:fill="auto" w:val="clear"/>
        </w:rPr>
        <w:t xml:space="preserve">—</w:t>
      </w:r>
      <w:r>
        <w:rPr>
          <w:rFonts w:ascii="Calibri" w:hAnsi="Calibri" w:cs="Calibri" w:eastAsia="Calibri"/>
          <w:b/>
          <w:color w:val="1B3A5C"/>
          <w:spacing w:val="0"/>
          <w:position w:val="0"/>
          <w:sz w:val="32"/>
          <w:shd w:fill="auto" w:val="clear"/>
        </w:rPr>
        <w:t xml:space="preserve"> Engagement &amp; Reach</w:t>
      </w:r>
    </w:p>
    <w:p>
      <w:pPr>
        <w:spacing w:before="150" w:after="150" w:line="240"/>
        <w:ind w:right="0" w:left="0" w:firstLine="0"/>
        <w:jc w:val="center"/>
        <w:rPr>
          <w:rFonts w:ascii="Calibri" w:hAnsi="Calibri" w:cs="Calibri" w:eastAsia="Calibri"/>
          <w:color w:val="auto"/>
          <w:spacing w:val="0"/>
          <w:position w:val="0"/>
          <w:sz w:val="22"/>
          <w:shd w:fill="auto" w:val="clear"/>
        </w:rPr>
      </w:pPr>
      <w:r>
        <w:object w:dxaOrig="9000" w:dyaOrig="5580">
          <v:rect xmlns:o="urn:schemas-microsoft-com:office:office" xmlns:v="urn:schemas-microsoft-com:vml" id="rectole0000000000" style="width:450.000000pt;height:279.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40"/>
        <w:ind w:right="0" w:left="0" w:firstLine="0"/>
        <w:jc w:val="center"/>
        <w:rPr>
          <w:rFonts w:ascii="Calibri" w:hAnsi="Calibri" w:cs="Calibri" w:eastAsia="Calibri"/>
          <w:color w:val="auto"/>
          <w:spacing w:val="0"/>
          <w:position w:val="0"/>
          <w:sz w:val="18"/>
          <w:shd w:fill="auto" w:val="clear"/>
        </w:rPr>
      </w:pPr>
      <w:r>
        <w:rPr>
          <w:rFonts w:ascii="Calibri" w:hAnsi="Calibri" w:cs="Calibri" w:eastAsia="Calibri"/>
          <w:i/>
          <w:color w:val="555555"/>
          <w:spacing w:val="0"/>
          <w:position w:val="0"/>
          <w:sz w:val="18"/>
          <w:shd w:fill="auto" w:val="clear"/>
        </w:rPr>
        <w:t xml:space="preserve">Figure 6.1 </w:t>
      </w:r>
      <w:r>
        <w:rPr>
          <w:rFonts w:ascii="Calibri" w:hAnsi="Calibri" w:cs="Calibri" w:eastAsia="Calibri"/>
          <w:i/>
          <w:color w:val="555555"/>
          <w:spacing w:val="0"/>
          <w:position w:val="0"/>
          <w:sz w:val="18"/>
          <w:shd w:fill="auto" w:val="clear"/>
        </w:rPr>
        <w:t xml:space="preserve">—</w:t>
      </w:r>
      <w:r>
        <w:rPr>
          <w:rFonts w:ascii="Calibri" w:hAnsi="Calibri" w:cs="Calibri" w:eastAsia="Calibri"/>
          <w:i/>
          <w:color w:val="555555"/>
          <w:spacing w:val="0"/>
          <w:position w:val="0"/>
          <w:sz w:val="18"/>
          <w:shd w:fill="auto" w:val="clear"/>
        </w:rPr>
        <w:t xml:space="preserve"> Average engagement rate by platform, computed after excluding zero-Reach campaigns.</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Instagram and TikTok post the strongest average engagement rates among the five tracked platforms, with Twitter, YouTube, and Facebook trailing. Average ROI is far more stable across platforms (2.74</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2.76 on the raw ROI scale) than engagement is, and campaign volume is heavily weighted toward Instagram (19,639 campaigns) and TikTok (13,505 campaigns), which together account for the majority of the reach measured in this dataset.</w:t>
      </w:r>
    </w:p>
    <w:tbl>
      <w:tblPr/>
      <w:tblGrid>
        <w:gridCol w:w="1800"/>
        <w:gridCol w:w="2000"/>
        <w:gridCol w:w="1400"/>
        <w:gridCol w:w="2400"/>
        <w:gridCol w:w="1800"/>
      </w:tblGrid>
      <w:tr>
        <w:trPr>
          <w:trHeight w:val="1" w:hRule="atLeast"/>
          <w:jc w:val="left"/>
        </w:trPr>
        <w:tc>
          <w:tcPr>
            <w:tcW w:w="18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Platform</w:t>
            </w:r>
          </w:p>
        </w:tc>
        <w:tc>
          <w:tcPr>
            <w:tcW w:w="20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Avg Engagement Rate</w:t>
            </w:r>
          </w:p>
        </w:tc>
        <w:tc>
          <w:tcPr>
            <w:tcW w:w="14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Avg ROI</w:t>
            </w:r>
          </w:p>
        </w:tc>
        <w:tc>
          <w:tcPr>
            <w:tcW w:w="24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Total Reach</w:t>
            </w:r>
          </w:p>
        </w:tc>
        <w:tc>
          <w:tcPr>
            <w:tcW w:w="18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Campaign Count</w:t>
            </w:r>
          </w:p>
        </w:tc>
      </w:tr>
      <w:tr>
        <w:trPr>
          <w:trHeight w:val="1" w:hRule="atLeast"/>
          <w:jc w:val="left"/>
        </w:trPr>
        <w:tc>
          <w:tcPr>
            <w:tcW w:w="1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Instagram</w:t>
            </w:r>
          </w:p>
        </w:tc>
        <w:tc>
          <w:tcPr>
            <w:tcW w:w="2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highest</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2.76</w:t>
            </w:r>
          </w:p>
        </w:tc>
        <w:tc>
          <w:tcPr>
            <w:tcW w:w="2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1,629,946,421</w:t>
            </w:r>
          </w:p>
        </w:tc>
        <w:tc>
          <w:tcPr>
            <w:tcW w:w="1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19,639</w:t>
            </w:r>
          </w:p>
        </w:tc>
      </w:tr>
      <w:tr>
        <w:trPr>
          <w:trHeight w:val="1" w:hRule="atLeast"/>
          <w:jc w:val="left"/>
        </w:trPr>
        <w:tc>
          <w:tcPr>
            <w:tcW w:w="18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TikTok</w:t>
            </w:r>
          </w:p>
        </w:tc>
        <w:tc>
          <w:tcPr>
            <w:tcW w:w="20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2nd highest</w:t>
            </w:r>
          </w:p>
        </w:tc>
        <w:tc>
          <w:tcPr>
            <w:tcW w:w="14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2.74</w:t>
            </w:r>
          </w:p>
        </w:tc>
        <w:tc>
          <w:tcPr>
            <w:tcW w:w="24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1,413,473,013</w:t>
            </w:r>
          </w:p>
        </w:tc>
        <w:tc>
          <w:tcPr>
            <w:tcW w:w="18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13,505</w:t>
            </w:r>
          </w:p>
        </w:tc>
      </w:tr>
      <w:tr>
        <w:trPr>
          <w:trHeight w:val="1" w:hRule="atLeast"/>
          <w:jc w:val="left"/>
        </w:trPr>
        <w:tc>
          <w:tcPr>
            <w:tcW w:w="1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YouTube</w:t>
            </w:r>
          </w:p>
        </w:tc>
        <w:tc>
          <w:tcPr>
            <w:tcW w:w="2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mid</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2.75</w:t>
            </w:r>
          </w:p>
        </w:tc>
        <w:tc>
          <w:tcPr>
            <w:tcW w:w="2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671,688,206</w:t>
            </w:r>
          </w:p>
        </w:tc>
        <w:tc>
          <w:tcPr>
            <w:tcW w:w="1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9,657</w:t>
            </w:r>
          </w:p>
        </w:tc>
      </w:tr>
      <w:tr>
        <w:trPr>
          <w:trHeight w:val="1" w:hRule="atLeast"/>
          <w:jc w:val="left"/>
        </w:trPr>
        <w:tc>
          <w:tcPr>
            <w:tcW w:w="18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Twitter</w:t>
            </w:r>
          </w:p>
        </w:tc>
        <w:tc>
          <w:tcPr>
            <w:tcW w:w="20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lower</w:t>
            </w:r>
          </w:p>
        </w:tc>
        <w:tc>
          <w:tcPr>
            <w:tcW w:w="14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2.75</w:t>
            </w:r>
          </w:p>
        </w:tc>
        <w:tc>
          <w:tcPr>
            <w:tcW w:w="24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3,774,691,490</w:t>
            </w:r>
          </w:p>
        </w:tc>
        <w:tc>
          <w:tcPr>
            <w:tcW w:w="18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6,177</w:t>
            </w:r>
          </w:p>
        </w:tc>
      </w:tr>
      <w:tr>
        <w:trPr>
          <w:trHeight w:val="1" w:hRule="atLeast"/>
          <w:jc w:val="left"/>
        </w:trPr>
        <w:tc>
          <w:tcPr>
            <w:tcW w:w="1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Facebook</w:t>
            </w:r>
          </w:p>
        </w:tc>
        <w:tc>
          <w:tcPr>
            <w:tcW w:w="2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lowest</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2.74</w:t>
            </w:r>
          </w:p>
        </w:tc>
        <w:tc>
          <w:tcPr>
            <w:tcW w:w="2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242,225,899</w:t>
            </w:r>
          </w:p>
        </w:tc>
        <w:tc>
          <w:tcPr>
            <w:tcW w:w="1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5,902</w:t>
            </w:r>
          </w:p>
        </w:tc>
      </w:tr>
    </w:tbl>
    <w:p>
      <w:pPr>
        <w:spacing w:before="150" w:after="150" w:line="240"/>
        <w:ind w:right="0" w:left="0" w:firstLine="0"/>
        <w:jc w:val="center"/>
        <w:rPr>
          <w:rFonts w:ascii="Calibri" w:hAnsi="Calibri" w:cs="Calibri" w:eastAsia="Calibri"/>
          <w:color w:val="auto"/>
          <w:spacing w:val="0"/>
          <w:position w:val="0"/>
          <w:sz w:val="22"/>
          <w:shd w:fill="auto" w:val="clear"/>
        </w:rPr>
      </w:pPr>
      <w:r>
        <w:object w:dxaOrig="8280" w:dyaOrig="5256">
          <v:rect xmlns:o="urn:schemas-microsoft-com:office:office" xmlns:v="urn:schemas-microsoft-com:vml" id="rectole0000000001" style="width:414.000000pt;height:262.8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40"/>
        <w:ind w:right="0" w:left="0" w:firstLine="0"/>
        <w:jc w:val="center"/>
        <w:rPr>
          <w:rFonts w:ascii="Calibri" w:hAnsi="Calibri" w:cs="Calibri" w:eastAsia="Calibri"/>
          <w:color w:val="auto"/>
          <w:spacing w:val="0"/>
          <w:position w:val="0"/>
          <w:sz w:val="18"/>
          <w:shd w:fill="auto" w:val="clear"/>
        </w:rPr>
      </w:pPr>
      <w:r>
        <w:rPr>
          <w:rFonts w:ascii="Calibri" w:hAnsi="Calibri" w:cs="Calibri" w:eastAsia="Calibri"/>
          <w:i/>
          <w:color w:val="555555"/>
          <w:spacing w:val="0"/>
          <w:position w:val="0"/>
          <w:sz w:val="18"/>
          <w:shd w:fill="auto" w:val="clear"/>
        </w:rPr>
        <w:t xml:space="preserve">Figure 6.2 </w:t>
      </w:r>
      <w:r>
        <w:rPr>
          <w:rFonts w:ascii="Calibri" w:hAnsi="Calibri" w:cs="Calibri" w:eastAsia="Calibri"/>
          <w:i/>
          <w:color w:val="555555"/>
          <w:spacing w:val="0"/>
          <w:position w:val="0"/>
          <w:sz w:val="18"/>
          <w:shd w:fill="auto" w:val="clear"/>
        </w:rPr>
        <w:t xml:space="preserve">—</w:t>
      </w:r>
      <w:r>
        <w:rPr>
          <w:rFonts w:ascii="Calibri" w:hAnsi="Calibri" w:cs="Calibri" w:eastAsia="Calibri"/>
          <w:i/>
          <w:color w:val="555555"/>
          <w:spacing w:val="0"/>
          <w:position w:val="0"/>
          <w:sz w:val="18"/>
          <w:shd w:fill="auto" w:val="clear"/>
        </w:rPr>
        <w:t xml:space="preserve"> Platform vs Engagement Rate heatmap, confirming Instagram and TikTok as the top engagement platforms.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7. Correlation Analysis </w:t>
      </w:r>
      <w:r>
        <w:rPr>
          <w:rFonts w:ascii="Calibri" w:hAnsi="Calibri" w:cs="Calibri" w:eastAsia="Calibri"/>
          <w:b/>
          <w:color w:val="1B3A5C"/>
          <w:spacing w:val="0"/>
          <w:position w:val="0"/>
          <w:sz w:val="32"/>
          <w:shd w:fill="auto" w:val="clear"/>
        </w:rPr>
        <w:t xml:space="preserve">—</w:t>
      </w:r>
      <w:r>
        <w:rPr>
          <w:rFonts w:ascii="Calibri" w:hAnsi="Calibri" w:cs="Calibri" w:eastAsia="Calibri"/>
          <w:b/>
          <w:color w:val="1B3A5C"/>
          <w:spacing w:val="0"/>
          <w:position w:val="0"/>
          <w:sz w:val="32"/>
          <w:shd w:fill="auto" w:val="clear"/>
        </w:rPr>
        <w:t xml:space="preserve"> Spend, ROI, Followers, Reach</w:t>
      </w:r>
    </w:p>
    <w:p>
      <w:pPr>
        <w:spacing w:before="150" w:after="150" w:line="240"/>
        <w:ind w:right="0" w:left="0" w:firstLine="0"/>
        <w:jc w:val="center"/>
        <w:rPr>
          <w:rFonts w:ascii="Calibri" w:hAnsi="Calibri" w:cs="Calibri" w:eastAsia="Calibri"/>
          <w:color w:val="auto"/>
          <w:spacing w:val="0"/>
          <w:position w:val="0"/>
          <w:sz w:val="22"/>
          <w:shd w:fill="auto" w:val="clear"/>
        </w:rPr>
      </w:pPr>
      <w:r>
        <w:object w:dxaOrig="9000" w:dyaOrig="6821">
          <v:rect xmlns:o="urn:schemas-microsoft-com:office:office" xmlns:v="urn:schemas-microsoft-com:vml" id="rectole0000000002" style="width:450.000000pt;height:341.0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200" w:line="240"/>
        <w:ind w:right="0" w:left="0" w:firstLine="0"/>
        <w:jc w:val="center"/>
        <w:rPr>
          <w:rFonts w:ascii="Calibri" w:hAnsi="Calibri" w:cs="Calibri" w:eastAsia="Calibri"/>
          <w:color w:val="auto"/>
          <w:spacing w:val="0"/>
          <w:position w:val="0"/>
          <w:sz w:val="18"/>
          <w:shd w:fill="auto" w:val="clear"/>
        </w:rPr>
      </w:pPr>
      <w:r>
        <w:rPr>
          <w:rFonts w:ascii="Calibri" w:hAnsi="Calibri" w:cs="Calibri" w:eastAsia="Calibri"/>
          <w:i/>
          <w:color w:val="555555"/>
          <w:spacing w:val="0"/>
          <w:position w:val="0"/>
          <w:sz w:val="18"/>
          <w:shd w:fill="auto" w:val="clear"/>
        </w:rPr>
        <w:t xml:space="preserve">Figure 7.1 </w:t>
      </w:r>
      <w:r>
        <w:rPr>
          <w:rFonts w:ascii="Calibri" w:hAnsi="Calibri" w:cs="Calibri" w:eastAsia="Calibri"/>
          <w:i/>
          <w:color w:val="555555"/>
          <w:spacing w:val="0"/>
          <w:position w:val="0"/>
          <w:sz w:val="18"/>
          <w:shd w:fill="auto" w:val="clear"/>
        </w:rPr>
        <w:t xml:space="preserve">—</w:t>
      </w:r>
      <w:r>
        <w:rPr>
          <w:rFonts w:ascii="Calibri" w:hAnsi="Calibri" w:cs="Calibri" w:eastAsia="Calibri"/>
          <w:i/>
          <w:color w:val="555555"/>
          <w:spacing w:val="0"/>
          <w:position w:val="0"/>
          <w:sz w:val="18"/>
          <w:shd w:fill="auto" w:val="clear"/>
        </w:rPr>
        <w:t xml:space="preserve"> Correlation heatmap of numeric campaign metrics.</w:t>
      </w:r>
    </w:p>
    <w:p>
      <w:pPr>
        <w:spacing w:before="300" w:after="15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7B8C"/>
          <w:spacing w:val="0"/>
          <w:position w:val="0"/>
          <w:sz w:val="26"/>
          <w:shd w:fill="auto" w:val="clear"/>
        </w:rPr>
        <w:t xml:space="preserve">7.1 Spend vs ROI</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Spend and ROI show a moderate negative correlation of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0.4455. Splitting campaigns into spend quartiles makes the pattern concrete:</w:t>
      </w:r>
    </w:p>
    <w:tbl>
      <w:tblPr/>
      <w:tblGrid>
        <w:gridCol w:w="3200"/>
        <w:gridCol w:w="3200"/>
      </w:tblGrid>
      <w:tr>
        <w:trPr>
          <w:trHeight w:val="1" w:hRule="atLeast"/>
          <w:jc w:val="left"/>
        </w:trPr>
        <w:tc>
          <w:tcPr>
            <w:tcW w:w="32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Spend Quartile</w:t>
            </w:r>
          </w:p>
        </w:tc>
        <w:tc>
          <w:tcPr>
            <w:tcW w:w="32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Average ROI (%)</w:t>
            </w:r>
          </w:p>
        </w:tc>
      </w:tr>
      <w:tr>
        <w:trPr>
          <w:trHeight w:val="1" w:hRule="atLeast"/>
          <w:jc w:val="left"/>
        </w:trPr>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Low</w:t>
            </w:r>
          </w:p>
        </w:tc>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1,212.87</w:t>
            </w:r>
          </w:p>
        </w:tc>
      </w:tr>
      <w:tr>
        <w:trPr>
          <w:trHeight w:val="1" w:hRule="atLeast"/>
          <w:jc w:val="left"/>
        </w:trPr>
        <w:tc>
          <w:tcPr>
            <w:tcW w:w="3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Medium</w:t>
            </w:r>
          </w:p>
        </w:tc>
        <w:tc>
          <w:tcPr>
            <w:tcW w:w="3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176.80</w:t>
            </w:r>
          </w:p>
        </w:tc>
      </w:tr>
      <w:tr>
        <w:trPr>
          <w:trHeight w:val="1" w:hRule="atLeast"/>
          <w:jc w:val="left"/>
        </w:trPr>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High</w:t>
            </w:r>
          </w:p>
        </w:tc>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62.59</w:t>
            </w:r>
          </w:p>
        </w:tc>
      </w:tr>
      <w:tr>
        <w:trPr>
          <w:trHeight w:val="1" w:hRule="atLeast"/>
          <w:jc w:val="left"/>
        </w:trPr>
        <w:tc>
          <w:tcPr>
            <w:tcW w:w="3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Very High</w:t>
            </w:r>
          </w:p>
        </w:tc>
        <w:tc>
          <w:tcPr>
            <w:tcW w:w="3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15.89</w:t>
            </w:r>
          </w:p>
        </w:tc>
      </w:tr>
    </w:tbl>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Average ROI falls sharply as spend rises, consistent with diminishing marginal returns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but also consistent with a small number of very-low-spend campaigns generating disproportionately large percentage returns, which pulls the low-spend quartile's average upward. This reinforces the recommendation (Section 15) to review ROI on a median or trimmed-mean basis, not a simple average, when comparing spend tiers.</w:t>
      </w:r>
    </w:p>
    <w:p>
      <w:pPr>
        <w:spacing w:before="300" w:after="15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7B8C"/>
          <w:spacing w:val="0"/>
          <w:position w:val="0"/>
          <w:sz w:val="26"/>
          <w:shd w:fill="auto" w:val="clear"/>
        </w:rPr>
        <w:t xml:space="preserve">7.2 Followers vs Reach</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Followers and Reach are strongly positively correlated at 0.9237, confirming that follower count remains a reasonable first-pass predictor of campaign reach. However, the efficiency of turning followers into reach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 Reach-to-Followers ratio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varies by platform:</w:t>
      </w:r>
    </w:p>
    <w:tbl>
      <w:tblPr/>
      <w:tblGrid>
        <w:gridCol w:w="3200"/>
        <w:gridCol w:w="3200"/>
      </w:tblGrid>
      <w:tr>
        <w:trPr>
          <w:trHeight w:val="1" w:hRule="atLeast"/>
          <w:jc w:val="left"/>
        </w:trPr>
        <w:tc>
          <w:tcPr>
            <w:tcW w:w="32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Platform</w:t>
            </w:r>
          </w:p>
        </w:tc>
        <w:tc>
          <w:tcPr>
            <w:tcW w:w="32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Reach ÷ Followers Ratio</w:t>
            </w:r>
          </w:p>
        </w:tc>
      </w:tr>
      <w:tr>
        <w:trPr>
          <w:trHeight w:val="1" w:hRule="atLeast"/>
          <w:jc w:val="left"/>
        </w:trPr>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TikTok</w:t>
            </w:r>
          </w:p>
        </w:tc>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0.499</w:t>
            </w:r>
          </w:p>
        </w:tc>
      </w:tr>
      <w:tr>
        <w:trPr>
          <w:trHeight w:val="1" w:hRule="atLeast"/>
          <w:jc w:val="left"/>
        </w:trPr>
        <w:tc>
          <w:tcPr>
            <w:tcW w:w="3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Instagram</w:t>
            </w:r>
          </w:p>
        </w:tc>
        <w:tc>
          <w:tcPr>
            <w:tcW w:w="3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0.351</w:t>
            </w:r>
          </w:p>
        </w:tc>
      </w:tr>
      <w:tr>
        <w:trPr>
          <w:trHeight w:val="1" w:hRule="atLeast"/>
          <w:jc w:val="left"/>
        </w:trPr>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Unknown</w:t>
            </w:r>
          </w:p>
        </w:tc>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0.344</w:t>
            </w:r>
          </w:p>
        </w:tc>
      </w:tr>
      <w:tr>
        <w:trPr>
          <w:trHeight w:val="1" w:hRule="atLeast"/>
          <w:jc w:val="left"/>
        </w:trPr>
        <w:tc>
          <w:tcPr>
            <w:tcW w:w="3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YouTube</w:t>
            </w:r>
          </w:p>
        </w:tc>
        <w:tc>
          <w:tcPr>
            <w:tcW w:w="3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0.275</w:t>
            </w:r>
          </w:p>
        </w:tc>
      </w:tr>
      <w:tr>
        <w:trPr>
          <w:trHeight w:val="1" w:hRule="atLeast"/>
          <w:jc w:val="left"/>
        </w:trPr>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Twitter</w:t>
            </w:r>
          </w:p>
        </w:tc>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0.225</w:t>
            </w:r>
          </w:p>
        </w:tc>
      </w:tr>
      <w:tr>
        <w:trPr>
          <w:trHeight w:val="1" w:hRule="atLeast"/>
          <w:jc w:val="left"/>
        </w:trPr>
        <w:tc>
          <w:tcPr>
            <w:tcW w:w="3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Facebook</w:t>
            </w:r>
          </w:p>
        </w:tc>
        <w:tc>
          <w:tcPr>
            <w:tcW w:w="3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0.200</w:t>
            </w:r>
          </w:p>
        </w:tc>
      </w:tr>
    </w:tbl>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TikTok converts a follower base into actual campaign reach roughly 2.5× more efficiently than Facebook does, which is useful context when comparing influencers with similar follower counts across different platforms.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8. Influencer-Level Revenue Analysis</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Aggregating to the influencer level (summed across all of their campaigns) surfaces the highest-value partnerships in the dataset:</w:t>
      </w:r>
    </w:p>
    <w:tbl>
      <w:tblPr/>
      <w:tblGrid>
        <w:gridCol w:w="1800"/>
        <w:gridCol w:w="1800"/>
        <w:gridCol w:w="1800"/>
        <w:gridCol w:w="1400"/>
        <w:gridCol w:w="1200"/>
        <w:gridCol w:w="1400"/>
      </w:tblGrid>
      <w:tr>
        <w:trPr>
          <w:trHeight w:val="1" w:hRule="atLeast"/>
          <w:jc w:val="left"/>
        </w:trPr>
        <w:tc>
          <w:tcPr>
            <w:tcW w:w="18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Influencer</w:t>
            </w:r>
          </w:p>
        </w:tc>
        <w:tc>
          <w:tcPr>
            <w:tcW w:w="18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Total Revenue (</w:t>
            </w:r>
            <w:r>
              <w:rPr>
                <w:rFonts w:ascii="Calibri" w:hAnsi="Calibri" w:cs="Calibri" w:eastAsia="Calibri"/>
                <w:b/>
                <w:color w:val="FFFFFF"/>
                <w:spacing w:val="0"/>
                <w:position w:val="0"/>
                <w:sz w:val="20"/>
                <w:shd w:fill="auto" w:val="clear"/>
              </w:rPr>
              <w:t xml:space="preserve">₹)</w:t>
            </w:r>
          </w:p>
        </w:tc>
        <w:tc>
          <w:tcPr>
            <w:tcW w:w="18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Total Spend (</w:t>
            </w:r>
            <w:r>
              <w:rPr>
                <w:rFonts w:ascii="Calibri" w:hAnsi="Calibri" w:cs="Calibri" w:eastAsia="Calibri"/>
                <w:b/>
                <w:color w:val="FFFFFF"/>
                <w:spacing w:val="0"/>
                <w:position w:val="0"/>
                <w:sz w:val="20"/>
                <w:shd w:fill="auto" w:val="clear"/>
              </w:rPr>
              <w:t xml:space="preserve">₹)</w:t>
            </w:r>
          </w:p>
        </w:tc>
        <w:tc>
          <w:tcPr>
            <w:tcW w:w="14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Avg ROI (%)</w:t>
            </w:r>
          </w:p>
        </w:tc>
        <w:tc>
          <w:tcPr>
            <w:tcW w:w="12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Campaigns</w:t>
            </w:r>
          </w:p>
        </w:tc>
        <w:tc>
          <w:tcPr>
            <w:tcW w:w="14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Platform</w:t>
            </w:r>
          </w:p>
        </w:tc>
      </w:tr>
      <w:tr>
        <w:trPr>
          <w:trHeight w:val="1" w:hRule="atLeast"/>
          <w:jc w:val="left"/>
        </w:trPr>
        <w:tc>
          <w:tcPr>
            <w:tcW w:w="1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Lucas Malhotra</w:t>
            </w:r>
          </w:p>
        </w:tc>
        <w:tc>
          <w:tcPr>
            <w:tcW w:w="1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78,127,078</w:t>
            </w:r>
          </w:p>
        </w:tc>
        <w:tc>
          <w:tcPr>
            <w:tcW w:w="1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3,570,650</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3,007.3</w:t>
            </w:r>
          </w:p>
        </w:tc>
        <w:tc>
          <w:tcPr>
            <w:tcW w:w="1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1,536</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Unknown</w:t>
            </w:r>
          </w:p>
        </w:tc>
      </w:tr>
      <w:tr>
        <w:trPr>
          <w:trHeight w:val="1" w:hRule="atLeast"/>
          <w:jc w:val="left"/>
        </w:trPr>
        <w:tc>
          <w:tcPr>
            <w:tcW w:w="18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Tanvi Sharma</w:t>
            </w:r>
          </w:p>
        </w:tc>
        <w:tc>
          <w:tcPr>
            <w:tcW w:w="18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78,061,368</w:t>
            </w:r>
          </w:p>
        </w:tc>
        <w:tc>
          <w:tcPr>
            <w:tcW w:w="18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75,950,621</w:t>
            </w:r>
          </w:p>
        </w:tc>
        <w:tc>
          <w:tcPr>
            <w:tcW w:w="14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2.8</w:t>
            </w:r>
          </w:p>
        </w:tc>
        <w:tc>
          <w:tcPr>
            <w:tcW w:w="1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1,576</w:t>
            </w:r>
          </w:p>
        </w:tc>
        <w:tc>
          <w:tcPr>
            <w:tcW w:w="14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Twitter</w:t>
            </w:r>
          </w:p>
        </w:tc>
      </w:tr>
      <w:tr>
        <w:trPr>
          <w:trHeight w:val="1" w:hRule="atLeast"/>
          <w:jc w:val="left"/>
        </w:trPr>
        <w:tc>
          <w:tcPr>
            <w:tcW w:w="1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Sara Pillai</w:t>
            </w:r>
          </w:p>
        </w:tc>
        <w:tc>
          <w:tcPr>
            <w:tcW w:w="1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20,847,561</w:t>
            </w:r>
          </w:p>
        </w:tc>
        <w:tc>
          <w:tcPr>
            <w:tcW w:w="1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5,271,479</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323.6</w:t>
            </w:r>
          </w:p>
        </w:tc>
        <w:tc>
          <w:tcPr>
            <w:tcW w:w="1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407</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Instagram</w:t>
            </w:r>
          </w:p>
        </w:tc>
      </w:tr>
      <w:tr>
        <w:trPr>
          <w:trHeight w:val="1" w:hRule="atLeast"/>
          <w:jc w:val="left"/>
        </w:trPr>
        <w:tc>
          <w:tcPr>
            <w:tcW w:w="18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Aiden Bennett</w:t>
            </w:r>
          </w:p>
        </w:tc>
        <w:tc>
          <w:tcPr>
            <w:tcW w:w="18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20,737,197</w:t>
            </w:r>
          </w:p>
        </w:tc>
        <w:tc>
          <w:tcPr>
            <w:tcW w:w="18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17,208,407</w:t>
            </w:r>
          </w:p>
        </w:tc>
        <w:tc>
          <w:tcPr>
            <w:tcW w:w="14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21.1</w:t>
            </w:r>
          </w:p>
        </w:tc>
        <w:tc>
          <w:tcPr>
            <w:tcW w:w="1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395</w:t>
            </w:r>
          </w:p>
        </w:tc>
        <w:tc>
          <w:tcPr>
            <w:tcW w:w="14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TikTok</w:t>
            </w:r>
          </w:p>
        </w:tc>
      </w:tr>
      <w:tr>
        <w:trPr>
          <w:trHeight w:val="1" w:hRule="atLeast"/>
          <w:jc w:val="left"/>
        </w:trPr>
        <w:tc>
          <w:tcPr>
            <w:tcW w:w="1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Della Nair</w:t>
            </w:r>
          </w:p>
        </w:tc>
        <w:tc>
          <w:tcPr>
            <w:tcW w:w="1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20,630,442</w:t>
            </w:r>
          </w:p>
        </w:tc>
        <w:tc>
          <w:tcPr>
            <w:tcW w:w="1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3,499,464</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587.5</w:t>
            </w:r>
          </w:p>
        </w:tc>
        <w:tc>
          <w:tcPr>
            <w:tcW w:w="1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417</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YouTube</w:t>
            </w:r>
          </w:p>
        </w:tc>
      </w:tr>
    </w:tbl>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Lucas Malhotra and Tanvi Sharma generate near-identical total revenue, but with dramatically different economics: Lucas Malhotra achieves that revenue on a fraction of the spend (avg ROI over 3,000%), while Tanvi Sharma's spend is nearly as large as the revenue itself (ROI close to break-even). This illustrates why total revenue alone is an insufficient metric for influencer selection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spend efficiency must be reviewed alongside it.</w:t>
      </w:r>
    </w:p>
    <w:p>
      <w:pPr>
        <w:spacing w:before="150" w:after="150" w:line="240"/>
        <w:ind w:right="0" w:left="0" w:firstLine="0"/>
        <w:jc w:val="center"/>
        <w:rPr>
          <w:rFonts w:ascii="Calibri" w:hAnsi="Calibri" w:cs="Calibri" w:eastAsia="Calibri"/>
          <w:color w:val="auto"/>
          <w:spacing w:val="0"/>
          <w:position w:val="0"/>
          <w:sz w:val="22"/>
          <w:shd w:fill="auto" w:val="clear"/>
        </w:rPr>
      </w:pPr>
      <w:r>
        <w:object w:dxaOrig="9000" w:dyaOrig="5328">
          <v:rect xmlns:o="urn:schemas-microsoft-com:office:office" xmlns:v="urn:schemas-microsoft-com:vml" id="rectole0000000003" style="width:450.000000pt;height:266.4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200" w:line="240"/>
        <w:ind w:right="0" w:left="0" w:firstLine="0"/>
        <w:jc w:val="center"/>
        <w:rPr>
          <w:rFonts w:ascii="Calibri" w:hAnsi="Calibri" w:cs="Calibri" w:eastAsia="Calibri"/>
          <w:color w:val="auto"/>
          <w:spacing w:val="0"/>
          <w:position w:val="0"/>
          <w:sz w:val="18"/>
          <w:shd w:fill="auto" w:val="clear"/>
        </w:rPr>
      </w:pPr>
      <w:r>
        <w:rPr>
          <w:rFonts w:ascii="Calibri" w:hAnsi="Calibri" w:cs="Calibri" w:eastAsia="Calibri"/>
          <w:i/>
          <w:color w:val="555555"/>
          <w:spacing w:val="0"/>
          <w:position w:val="0"/>
          <w:sz w:val="18"/>
          <w:shd w:fill="auto" w:val="clear"/>
        </w:rPr>
        <w:t xml:space="preserve">Figure 8.1 </w:t>
      </w:r>
      <w:r>
        <w:rPr>
          <w:rFonts w:ascii="Calibri" w:hAnsi="Calibri" w:cs="Calibri" w:eastAsia="Calibri"/>
          <w:i/>
          <w:color w:val="555555"/>
          <w:spacing w:val="0"/>
          <w:position w:val="0"/>
          <w:sz w:val="18"/>
          <w:shd w:fill="auto" w:val="clear"/>
        </w:rPr>
        <w:t xml:space="preserve">—</w:t>
      </w:r>
      <w:r>
        <w:rPr>
          <w:rFonts w:ascii="Calibri" w:hAnsi="Calibri" w:cs="Calibri" w:eastAsia="Calibri"/>
          <w:i/>
          <w:color w:val="555555"/>
          <w:spacing w:val="0"/>
          <w:position w:val="0"/>
          <w:sz w:val="18"/>
          <w:shd w:fill="auto" w:val="clear"/>
        </w:rPr>
        <w:t xml:space="preserve"> Average revenue by influencer (heatmap view), highlighting the small set of consistently high-revenue partners.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9. Audience Group Performance</w:t>
      </w:r>
    </w:p>
    <w:p>
      <w:pPr>
        <w:spacing w:before="150" w:after="150" w:line="240"/>
        <w:ind w:right="0" w:left="0" w:firstLine="0"/>
        <w:jc w:val="center"/>
        <w:rPr>
          <w:rFonts w:ascii="Calibri" w:hAnsi="Calibri" w:cs="Calibri" w:eastAsia="Calibri"/>
          <w:color w:val="auto"/>
          <w:spacing w:val="0"/>
          <w:position w:val="0"/>
          <w:sz w:val="22"/>
          <w:shd w:fill="auto" w:val="clear"/>
        </w:rPr>
      </w:pPr>
      <w:r>
        <w:object w:dxaOrig="8640" w:dyaOrig="5976">
          <v:rect xmlns:o="urn:schemas-microsoft-com:office:office" xmlns:v="urn:schemas-microsoft-com:vml" id="rectole0000000004" style="width:432.000000pt;height:298.8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200" w:line="240"/>
        <w:ind w:right="0" w:left="0" w:firstLine="0"/>
        <w:jc w:val="center"/>
        <w:rPr>
          <w:rFonts w:ascii="Calibri" w:hAnsi="Calibri" w:cs="Calibri" w:eastAsia="Calibri"/>
          <w:color w:val="auto"/>
          <w:spacing w:val="0"/>
          <w:position w:val="0"/>
          <w:sz w:val="18"/>
          <w:shd w:fill="auto" w:val="clear"/>
        </w:rPr>
      </w:pPr>
      <w:r>
        <w:rPr>
          <w:rFonts w:ascii="Calibri" w:hAnsi="Calibri" w:cs="Calibri" w:eastAsia="Calibri"/>
          <w:i/>
          <w:color w:val="555555"/>
          <w:spacing w:val="0"/>
          <w:position w:val="0"/>
          <w:sz w:val="18"/>
          <w:shd w:fill="auto" w:val="clear"/>
        </w:rPr>
        <w:t xml:space="preserve">Figure 9.1 </w:t>
      </w:r>
      <w:r>
        <w:rPr>
          <w:rFonts w:ascii="Calibri" w:hAnsi="Calibri" w:cs="Calibri" w:eastAsia="Calibri"/>
          <w:i/>
          <w:color w:val="555555"/>
          <w:spacing w:val="0"/>
          <w:position w:val="0"/>
          <w:sz w:val="18"/>
          <w:shd w:fill="auto" w:val="clear"/>
        </w:rPr>
        <w:t xml:space="preserve">—</w:t>
      </w:r>
      <w:r>
        <w:rPr>
          <w:rFonts w:ascii="Calibri" w:hAnsi="Calibri" w:cs="Calibri" w:eastAsia="Calibri"/>
          <w:i/>
          <w:color w:val="555555"/>
          <w:spacing w:val="0"/>
          <w:position w:val="0"/>
          <w:sz w:val="18"/>
          <w:shd w:fill="auto" w:val="clear"/>
        </w:rPr>
        <w:t xml:space="preserve"> Average engagement rate by audience group.</w:t>
      </w:r>
    </w:p>
    <w:tbl>
      <w:tblPr/>
      <w:tblGrid>
        <w:gridCol w:w="1600"/>
        <w:gridCol w:w="1800"/>
        <w:gridCol w:w="1800"/>
        <w:gridCol w:w="1400"/>
        <w:gridCol w:w="1800"/>
      </w:tblGrid>
      <w:tr>
        <w:trPr>
          <w:trHeight w:val="1" w:hRule="atLeast"/>
          <w:jc w:val="left"/>
        </w:trPr>
        <w:tc>
          <w:tcPr>
            <w:tcW w:w="16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Audience Group</w:t>
            </w:r>
          </w:p>
        </w:tc>
        <w:tc>
          <w:tcPr>
            <w:tcW w:w="18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Avg Engagement Rate</w:t>
            </w:r>
          </w:p>
        </w:tc>
        <w:tc>
          <w:tcPr>
            <w:tcW w:w="18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Avg Conversion Rate</w:t>
            </w:r>
          </w:p>
        </w:tc>
        <w:tc>
          <w:tcPr>
            <w:tcW w:w="14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Avg ROI (%)</w:t>
            </w:r>
          </w:p>
        </w:tc>
        <w:tc>
          <w:tcPr>
            <w:tcW w:w="18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Total Revenue (</w:t>
            </w:r>
            <w:r>
              <w:rPr>
                <w:rFonts w:ascii="Calibri" w:hAnsi="Calibri" w:cs="Calibri" w:eastAsia="Calibri"/>
                <w:b/>
                <w:color w:val="FFFFFF"/>
                <w:spacing w:val="0"/>
                <w:position w:val="0"/>
                <w:sz w:val="20"/>
                <w:shd w:fill="auto" w:val="clear"/>
              </w:rPr>
              <w:t xml:space="preserve">₹)</w:t>
            </w:r>
          </w:p>
        </w:tc>
      </w:tr>
      <w:tr>
        <w:trPr>
          <w:trHeight w:val="1" w:hRule="atLeast"/>
          <w:jc w:val="left"/>
        </w:trPr>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Gen Z</w:t>
            </w:r>
          </w:p>
        </w:tc>
        <w:tc>
          <w:tcPr>
            <w:tcW w:w="1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6.64%</w:t>
            </w:r>
          </w:p>
        </w:tc>
        <w:tc>
          <w:tcPr>
            <w:tcW w:w="1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63.1%</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416.0</w:t>
            </w:r>
          </w:p>
        </w:tc>
        <w:tc>
          <w:tcPr>
            <w:tcW w:w="1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1.10 Billion</w:t>
            </w:r>
          </w:p>
        </w:tc>
      </w:tr>
      <w:tr>
        <w:trPr>
          <w:trHeight w:val="1" w:hRule="atLeast"/>
          <w:jc w:val="left"/>
        </w:trPr>
        <w:tc>
          <w:tcPr>
            <w:tcW w:w="16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Millennials</w:t>
            </w:r>
          </w:p>
        </w:tc>
        <w:tc>
          <w:tcPr>
            <w:tcW w:w="18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4.60%</w:t>
            </w:r>
          </w:p>
        </w:tc>
        <w:tc>
          <w:tcPr>
            <w:tcW w:w="18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63.3%</w:t>
            </w:r>
          </w:p>
        </w:tc>
        <w:tc>
          <w:tcPr>
            <w:tcW w:w="14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384.2</w:t>
            </w:r>
          </w:p>
        </w:tc>
        <w:tc>
          <w:tcPr>
            <w:tcW w:w="18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1.12 Billion</w:t>
            </w:r>
          </w:p>
        </w:tc>
      </w:tr>
      <w:tr>
        <w:trPr>
          <w:trHeight w:val="1" w:hRule="atLeast"/>
          <w:jc w:val="left"/>
        </w:trPr>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Unknown</w:t>
            </w:r>
          </w:p>
        </w:tc>
        <w:tc>
          <w:tcPr>
            <w:tcW w:w="1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4.81%</w:t>
            </w:r>
          </w:p>
        </w:tc>
        <w:tc>
          <w:tcPr>
            <w:tcW w:w="1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46.1%</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405.8</w:t>
            </w:r>
          </w:p>
        </w:tc>
        <w:tc>
          <w:tcPr>
            <w:tcW w:w="1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28.3 Million</w:t>
            </w:r>
          </w:p>
        </w:tc>
      </w:tr>
      <w:tr>
        <w:trPr>
          <w:trHeight w:val="1" w:hRule="atLeast"/>
          <w:jc w:val="left"/>
        </w:trPr>
        <w:tc>
          <w:tcPr>
            <w:tcW w:w="16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Gen X</w:t>
            </w:r>
          </w:p>
        </w:tc>
        <w:tc>
          <w:tcPr>
            <w:tcW w:w="18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1.86%</w:t>
            </w:r>
          </w:p>
        </w:tc>
        <w:tc>
          <w:tcPr>
            <w:tcW w:w="18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59.3%</w:t>
            </w:r>
          </w:p>
        </w:tc>
        <w:tc>
          <w:tcPr>
            <w:tcW w:w="14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258.1</w:t>
            </w:r>
          </w:p>
        </w:tc>
        <w:tc>
          <w:tcPr>
            <w:tcW w:w="18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471.8 Million</w:t>
            </w:r>
          </w:p>
        </w:tc>
      </w:tr>
      <w:tr>
        <w:trPr>
          <w:trHeight w:val="1" w:hRule="atLeast"/>
          <w:jc w:val="left"/>
        </w:trPr>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Baby Boomers</w:t>
            </w:r>
          </w:p>
        </w:tc>
        <w:tc>
          <w:tcPr>
            <w:tcW w:w="1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1.23%</w:t>
            </w:r>
          </w:p>
        </w:tc>
        <w:tc>
          <w:tcPr>
            <w:tcW w:w="1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67.8%</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156.8</w:t>
            </w:r>
          </w:p>
        </w:tc>
        <w:tc>
          <w:tcPr>
            <w:tcW w:w="1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106.3 Million</w:t>
            </w:r>
          </w:p>
        </w:tc>
      </w:tr>
    </w:tbl>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 Z shows both the highest engagement rate and the highest average ROI, and together with Millennials accounts for the large majority of total revenue in the dataset. Baby Boomers post the highest conversion rate of any group but the lowest engagement and ROI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suggesting campaigns reaching this group convert well once seen, but struggle to generate the reach and interaction volume that Gen Z and Millennial campaigns achieve.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10. Multi-Metric Visual Analytics</w:t>
      </w:r>
    </w:p>
    <w:p>
      <w:pPr>
        <w:spacing w:before="150" w:after="150" w:line="240"/>
        <w:ind w:right="0" w:left="0" w:firstLine="0"/>
        <w:jc w:val="center"/>
        <w:rPr>
          <w:rFonts w:ascii="Calibri" w:hAnsi="Calibri" w:cs="Calibri" w:eastAsia="Calibri"/>
          <w:color w:val="auto"/>
          <w:spacing w:val="0"/>
          <w:position w:val="0"/>
          <w:sz w:val="22"/>
          <w:shd w:fill="auto" w:val="clear"/>
        </w:rPr>
      </w:pPr>
      <w:r>
        <w:object w:dxaOrig="10080" w:dyaOrig="7200">
          <v:rect xmlns:o="urn:schemas-microsoft-com:office:office" xmlns:v="urn:schemas-microsoft-com:vml" id="rectole0000000005" style="width:504.000000pt;height:360.0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200" w:line="240"/>
        <w:ind w:right="0" w:left="0" w:firstLine="0"/>
        <w:jc w:val="center"/>
        <w:rPr>
          <w:rFonts w:ascii="Calibri" w:hAnsi="Calibri" w:cs="Calibri" w:eastAsia="Calibri"/>
          <w:color w:val="auto"/>
          <w:spacing w:val="0"/>
          <w:position w:val="0"/>
          <w:sz w:val="18"/>
          <w:shd w:fill="auto" w:val="clear"/>
        </w:rPr>
      </w:pPr>
      <w:r>
        <w:rPr>
          <w:rFonts w:ascii="Calibri" w:hAnsi="Calibri" w:cs="Calibri" w:eastAsia="Calibri"/>
          <w:i/>
          <w:color w:val="555555"/>
          <w:spacing w:val="0"/>
          <w:position w:val="0"/>
          <w:sz w:val="18"/>
          <w:shd w:fill="auto" w:val="clear"/>
        </w:rPr>
        <w:t xml:space="preserve">Figure 10.1 </w:t>
      </w:r>
      <w:r>
        <w:rPr>
          <w:rFonts w:ascii="Calibri" w:hAnsi="Calibri" w:cs="Calibri" w:eastAsia="Calibri"/>
          <w:i/>
          <w:color w:val="555555"/>
          <w:spacing w:val="0"/>
          <w:position w:val="0"/>
          <w:sz w:val="18"/>
          <w:shd w:fill="auto" w:val="clear"/>
        </w:rPr>
        <w:t xml:space="preserve">—</w:t>
      </w:r>
      <w:r>
        <w:rPr>
          <w:rFonts w:ascii="Calibri" w:hAnsi="Calibri" w:cs="Calibri" w:eastAsia="Calibri"/>
          <w:i/>
          <w:color w:val="555555"/>
          <w:spacing w:val="0"/>
          <w:position w:val="0"/>
          <w:sz w:val="18"/>
          <w:shd w:fill="auto" w:val="clear"/>
        </w:rPr>
        <w:t xml:space="preserve"> Campaign cost vs ROI, followers vs reach, platform vs engagement rate, and influencer vs revenue.</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Viewing these four relationships together confirms the patterns found in Sections 7</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9: the cost-vs-ROI panel shows the ROI distribution concentrated at lower spend levels with a long upward tail; the followers-vs-reach panel shows a tight, near-linear relationship consistent with the 0.92 correlation; the platform-vs-engagement panel shows engagement rate scattered fairly evenly within each platform (no platform is uniformly high or low); and the influencer-vs-revenue panel highlights a small number of individual influencers who separate clearly from the bulk of the field.</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11. Top Performing Influencers</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Ranking influencers by average revenue per individual campaign (rather than total revenue summed across all campaigns) surfaces a different, more consistency-focused leaderboard:</w:t>
      </w:r>
    </w:p>
    <w:tbl>
      <w:tblPr/>
      <w:tblGrid>
        <w:gridCol w:w="4000"/>
        <w:gridCol w:w="4000"/>
      </w:tblGrid>
      <w:tr>
        <w:trPr>
          <w:trHeight w:val="1" w:hRule="atLeast"/>
          <w:jc w:val="left"/>
        </w:trPr>
        <w:tc>
          <w:tcPr>
            <w:tcW w:w="40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Influencer</w:t>
            </w:r>
          </w:p>
        </w:tc>
        <w:tc>
          <w:tcPr>
            <w:tcW w:w="40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Average Revenue per Campaign (</w:t>
            </w:r>
            <w:r>
              <w:rPr>
                <w:rFonts w:ascii="Calibri" w:hAnsi="Calibri" w:cs="Calibri" w:eastAsia="Calibri"/>
                <w:b/>
                <w:color w:val="FFFFFF"/>
                <w:spacing w:val="0"/>
                <w:position w:val="0"/>
                <w:sz w:val="20"/>
                <w:shd w:fill="auto" w:val="clear"/>
              </w:rPr>
              <w:t xml:space="preserve">₹)</w:t>
            </w:r>
          </w:p>
        </w:tc>
      </w:tr>
      <w:tr>
        <w:trPr>
          <w:trHeight w:val="1" w:hRule="atLeast"/>
          <w:jc w:val="left"/>
        </w:trPr>
        <w:tc>
          <w:tcPr>
            <w:tcW w:w="4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Mira Patel</w:t>
            </w:r>
          </w:p>
        </w:tc>
        <w:tc>
          <w:tcPr>
            <w:tcW w:w="4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53,919.45</w:t>
            </w:r>
          </w:p>
        </w:tc>
      </w:tr>
      <w:tr>
        <w:trPr>
          <w:trHeight w:val="1" w:hRule="atLeast"/>
          <w:jc w:val="left"/>
        </w:trPr>
        <w:tc>
          <w:tcPr>
            <w:tcW w:w="40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Chloe Iyer</w:t>
            </w:r>
          </w:p>
        </w:tc>
        <w:tc>
          <w:tcPr>
            <w:tcW w:w="40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53,618.73</w:t>
            </w:r>
          </w:p>
        </w:tc>
      </w:tr>
      <w:tr>
        <w:trPr>
          <w:trHeight w:val="1" w:hRule="atLeast"/>
          <w:jc w:val="left"/>
        </w:trPr>
        <w:tc>
          <w:tcPr>
            <w:tcW w:w="4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Noah Sharma</w:t>
            </w:r>
          </w:p>
        </w:tc>
        <w:tc>
          <w:tcPr>
            <w:tcW w:w="4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53,325.28</w:t>
            </w:r>
          </w:p>
        </w:tc>
      </w:tr>
      <w:tr>
        <w:trPr>
          <w:trHeight w:val="1" w:hRule="atLeast"/>
          <w:jc w:val="left"/>
        </w:trPr>
        <w:tc>
          <w:tcPr>
            <w:tcW w:w="40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Tara Khan</w:t>
            </w:r>
          </w:p>
        </w:tc>
        <w:tc>
          <w:tcPr>
            <w:tcW w:w="40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53,142.06</w:t>
            </w:r>
          </w:p>
        </w:tc>
      </w:tr>
      <w:tr>
        <w:trPr>
          <w:trHeight w:val="1" w:hRule="atLeast"/>
          <w:jc w:val="left"/>
        </w:trPr>
        <w:tc>
          <w:tcPr>
            <w:tcW w:w="4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Rohan Bennett</w:t>
            </w:r>
          </w:p>
        </w:tc>
        <w:tc>
          <w:tcPr>
            <w:tcW w:w="4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52,863.00</w:t>
            </w:r>
          </w:p>
        </w:tc>
      </w:tr>
    </w:tbl>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These five influencers do not overlap with the highest total-revenue partners in Section 8, since total revenue also rewards a high campaign count. This average-revenue view is more useful for predicting the expected value of a single new campaign with a given influencer, while the total-revenue view in Section 8 is more useful for identifying which existing partnerships are worth the most in aggregate.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12. Influencer Segmentation</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Campaigns were segmented into influencer tiers using a rule-based, sequentially-applied scheme, so that later rules override earlier ones where a campaign qualifies for more than one label:</w:t>
      </w:r>
    </w:p>
    <w:p>
      <w:pPr>
        <w:numPr>
          <w:ilvl w:val="0"/>
          <w:numId w:val="307"/>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Base tier by follower count: Micro_Influencer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100K), Mid-tier_Influencer (100K</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1M), Mega_Influencer (&gt;1M).</w:t>
      </w:r>
    </w:p>
    <w:p>
      <w:pPr>
        <w:numPr>
          <w:ilvl w:val="0"/>
          <w:numId w:val="307"/>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 ROI Influencer: campaigns with ROI above the dataset-wide mean ROI (this label is applied but is fully overwritten by the two rules below wherever both conditions are met).</w:t>
      </w:r>
    </w:p>
    <w:p>
      <w:pPr>
        <w:numPr>
          <w:ilvl w:val="0"/>
          <w:numId w:val="307"/>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 Engagement Creator: campaigns with Engagement_Rate above the dataset-wide mean engagement rate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applied after, and so overriding, the High ROI label.</w:t>
      </w:r>
    </w:p>
    <w:p>
      <w:pPr>
        <w:numPr>
          <w:ilvl w:val="0"/>
          <w:numId w:val="307"/>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Cost Efficient Influencer: campaigns where Revenue ÷ Spend exceeds 1.5×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applied last, and so overriding both prior labels.</w:t>
      </w:r>
    </w:p>
    <w:tbl>
      <w:tblPr/>
      <w:tblGrid>
        <w:gridCol w:w="4000"/>
        <w:gridCol w:w="4000"/>
      </w:tblGrid>
      <w:tr>
        <w:trPr>
          <w:trHeight w:val="1" w:hRule="atLeast"/>
          <w:jc w:val="left"/>
        </w:trPr>
        <w:tc>
          <w:tcPr>
            <w:tcW w:w="40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Category</w:t>
            </w:r>
          </w:p>
        </w:tc>
        <w:tc>
          <w:tcPr>
            <w:tcW w:w="40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Campaign Count</w:t>
            </w:r>
          </w:p>
        </w:tc>
      </w:tr>
      <w:tr>
        <w:trPr>
          <w:trHeight w:val="1" w:hRule="atLeast"/>
          <w:jc w:val="left"/>
        </w:trPr>
        <w:tc>
          <w:tcPr>
            <w:tcW w:w="4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Cost Efficient Influencer</w:t>
            </w:r>
          </w:p>
        </w:tc>
        <w:tc>
          <w:tcPr>
            <w:tcW w:w="4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35,143</w:t>
            </w:r>
          </w:p>
        </w:tc>
      </w:tr>
      <w:tr>
        <w:trPr>
          <w:trHeight w:val="1" w:hRule="atLeast"/>
          <w:jc w:val="left"/>
        </w:trPr>
        <w:tc>
          <w:tcPr>
            <w:tcW w:w="40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High Engagement Creator</w:t>
            </w:r>
          </w:p>
        </w:tc>
        <w:tc>
          <w:tcPr>
            <w:tcW w:w="40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7,014</w:t>
            </w:r>
          </w:p>
        </w:tc>
      </w:tr>
      <w:tr>
        <w:trPr>
          <w:trHeight w:val="1" w:hRule="atLeast"/>
          <w:jc w:val="left"/>
        </w:trPr>
        <w:tc>
          <w:tcPr>
            <w:tcW w:w="4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Mid-tier_Influencer</w:t>
            </w:r>
          </w:p>
        </w:tc>
        <w:tc>
          <w:tcPr>
            <w:tcW w:w="4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5,568</w:t>
            </w:r>
          </w:p>
        </w:tc>
      </w:tr>
      <w:tr>
        <w:trPr>
          <w:trHeight w:val="1" w:hRule="atLeast"/>
          <w:jc w:val="left"/>
        </w:trPr>
        <w:tc>
          <w:tcPr>
            <w:tcW w:w="40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Micro_Influencer</w:t>
            </w:r>
          </w:p>
        </w:tc>
        <w:tc>
          <w:tcPr>
            <w:tcW w:w="40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5,548</w:t>
            </w:r>
          </w:p>
        </w:tc>
      </w:tr>
      <w:tr>
        <w:trPr>
          <w:trHeight w:val="1" w:hRule="atLeast"/>
          <w:jc w:val="left"/>
        </w:trPr>
        <w:tc>
          <w:tcPr>
            <w:tcW w:w="4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Mega_Influencer</w:t>
            </w:r>
          </w:p>
        </w:tc>
        <w:tc>
          <w:tcPr>
            <w:tcW w:w="4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2,699</w:t>
            </w:r>
          </w:p>
        </w:tc>
      </w:tr>
      <w:tr>
        <w:trPr>
          <w:trHeight w:val="1" w:hRule="atLeast"/>
          <w:jc w:val="left"/>
        </w:trPr>
        <w:tc>
          <w:tcPr>
            <w:tcW w:w="40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High ROI Influencer</w:t>
            </w:r>
          </w:p>
        </w:tc>
        <w:tc>
          <w:tcPr>
            <w:tcW w:w="40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0</w:t>
            </w:r>
          </w:p>
        </w:tc>
      </w:tr>
    </w:tbl>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Because the rules are applied in sequence and each later rule can overwrite an earlier one, the "High ROI Influencer" label ends up empty (0 campaigns)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every campaign that initially qualified as High ROI also qualified as either High Engagement or Cost Efficient, and was relabelled accordingly. This is a methodological artifact of the ordering, not evidence that no campaign has above-average ROI; it is flagged here as a limitation and improvement opportunity in Section 14.</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13. Key Insights Summary</w:t>
      </w:r>
    </w:p>
    <w:p>
      <w:pPr>
        <w:numPr>
          <w:ilvl w:val="0"/>
          <w:numId w:val="332"/>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program is profitable in aggregate. Spend-weighted ROI across all 56,224 campaigns is 100.2%, meaning total revenue is roughly double total spend.</w:t>
      </w:r>
    </w:p>
    <w:p>
      <w:pPr>
        <w:numPr>
          <w:ilvl w:val="0"/>
          <w:numId w:val="332"/>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Higher spend does not mean higher percentage ROI. Average ROI falls from 1,212.9% in the lowest spend quartile to 15.9% in the highest, driven partly by diminishing returns and partly by a small number of very-low-spend, high-return outliers.</w:t>
      </w:r>
    </w:p>
    <w:p>
      <w:pPr>
        <w:numPr>
          <w:ilvl w:val="0"/>
          <w:numId w:val="332"/>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Followers strongly predict reach (r = 0.92), but platform matters for efficiency. TikTok turns followers into reach roughly 2.5× more efficiently than Facebook.</w:t>
      </w:r>
    </w:p>
    <w:p>
      <w:pPr>
        <w:numPr>
          <w:ilvl w:val="0"/>
          <w:numId w:val="332"/>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Instagram and TikTok lead on engagement, and together account for the majority of tracked campaign volume and reach.</w:t>
      </w:r>
    </w:p>
    <w:p>
      <w:pPr>
        <w:numPr>
          <w:ilvl w:val="0"/>
          <w:numId w:val="332"/>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 Z and Millennials are the highest-value audiences, combining the strongest engagement and ROI with the largest share of total revenue; Baby Boomers convert well but engage the least.</w:t>
      </w:r>
    </w:p>
    <w:p>
      <w:pPr>
        <w:numPr>
          <w:ilvl w:val="0"/>
          <w:numId w:val="332"/>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handful of influencers create disproportionate value. The top 5 influencers by total revenue each generated over </w:t>
      </w:r>
      <w:r>
        <w:rPr>
          <w:rFonts w:ascii="Calibri" w:hAnsi="Calibri" w:cs="Calibri" w:eastAsia="Calibri"/>
          <w:color w:val="auto"/>
          <w:spacing w:val="0"/>
          <w:position w:val="0"/>
          <w:sz w:val="22"/>
          <w:shd w:fill="auto" w:val="clear"/>
        </w:rPr>
        <w:t xml:space="preserve">₹20 million, with some achieving that on far less spend than others.</w:t>
      </w:r>
    </w:p>
    <w:p>
      <w:pPr>
        <w:numPr>
          <w:ilvl w:val="0"/>
          <w:numId w:val="332"/>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Cost efficiency, not just reach, drives the influencer mix. 35,143 of 56,224 campaigns (63%) were classified as Cost Efficient, the single largest segment.</w:t>
      </w:r>
    </w:p>
    <w:p>
      <w:pPr>
        <w:numPr>
          <w:ilvl w:val="0"/>
          <w:numId w:val="332"/>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Data-quality issues surfaced during analysis were real and instructive: a zero-Reach division error initially produced an infinite average engagement rate, and a sequential segmentation rule inadvertently zeroed out the High ROI Influencer category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both are documented for correction in any future iteration.</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14. Recommendations</w:t>
      </w:r>
    </w:p>
    <w:p>
      <w:pPr>
        <w:spacing w:before="300" w:after="15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7B8C"/>
          <w:spacing w:val="0"/>
          <w:position w:val="0"/>
          <w:sz w:val="26"/>
          <w:shd w:fill="auto" w:val="clear"/>
        </w:rPr>
        <w:t xml:space="preserve">For campaign planning and media buying:</w:t>
      </w:r>
    </w:p>
    <w:p>
      <w:pPr>
        <w:numPr>
          <w:ilvl w:val="0"/>
          <w:numId w:val="336"/>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Prioritise Instagram and TikTok for engagement-led campaigns, and treat TikTok as the more reach-efficient platform per follower when comparing influencers of similar audience size.</w:t>
      </w:r>
    </w:p>
    <w:p>
      <w:pPr>
        <w:numPr>
          <w:ilvl w:val="0"/>
          <w:numId w:val="336"/>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Weight campaign budgets toward Gen Z and Millennial audience targeting, which combine the strongest engagement, ROI, and total revenue contribution.</w:t>
      </w:r>
    </w:p>
    <w:p>
      <w:pPr>
        <w:numPr>
          <w:ilvl w:val="0"/>
          <w:numId w:val="336"/>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Review the highest-spend campaign tier specifically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its average ROI is the lowest observed, and a focused audit could reveal whether spend is being allocated efficiently at that scale.</w:t>
      </w:r>
    </w:p>
    <w:p>
      <w:pPr>
        <w:spacing w:before="300" w:after="15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7B8C"/>
          <w:spacing w:val="0"/>
          <w:position w:val="0"/>
          <w:sz w:val="26"/>
          <w:shd w:fill="auto" w:val="clear"/>
        </w:rPr>
        <w:t xml:space="preserve">For influencer selection:</w:t>
      </w:r>
    </w:p>
    <w:p>
      <w:pPr>
        <w:numPr>
          <w:ilvl w:val="0"/>
          <w:numId w:val="338"/>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average revenue per campaign (Section 11), not total revenue (Section 8), when evaluating a new or lower-volume influencer for a first partnership, since total revenue rewards volume over per-campaign value.</w:t>
      </w:r>
    </w:p>
    <w:p>
      <w:pPr>
        <w:numPr>
          <w:ilvl w:val="0"/>
          <w:numId w:val="338"/>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Apply the Cost Efficient Influencer segment as a first screening filter for budget-constrained campaigns, since it already captures the majority (63%) of campaigns meeting a healthy revenue-to-spend ratio.</w:t>
      </w:r>
    </w:p>
    <w:p>
      <w:pPr>
        <w:spacing w:before="300" w:after="15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7B8C"/>
          <w:spacing w:val="0"/>
          <w:position w:val="0"/>
          <w:sz w:val="26"/>
          <w:shd w:fill="auto" w:val="clear"/>
        </w:rPr>
        <w:t xml:space="preserve">For future analysis:</w:t>
      </w:r>
    </w:p>
    <w:p>
      <w:pPr>
        <w:numPr>
          <w:ilvl w:val="0"/>
          <w:numId w:val="340"/>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Recompute average ROI using median or a trimmed mean alongside the current mean, to reduce the influence of extreme low-spend/high-revenue outliers on reported KPIs.</w:t>
      </w:r>
    </w:p>
    <w:p>
      <w:pPr>
        <w:numPr>
          <w:ilvl w:val="0"/>
          <w:numId w:val="340"/>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Re-run the influencer segmentation with a priority-based (not purely sequential) rule set, or allow multi-label tagging, so the High ROI Influencer segment is not structurally emptied by later rules.</w:t>
      </w:r>
    </w:p>
    <w:p>
      <w:pPr>
        <w:numPr>
          <w:ilvl w:val="0"/>
          <w:numId w:val="340"/>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Extend the KPI dashboard with a time-series view once campaign dates are validated, to track whether platform and audience performance patterns are stable or shifting month to month.</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15. Limitations</w:t>
      </w:r>
    </w:p>
    <w:p>
      <w:pPr>
        <w:numPr>
          <w:ilvl w:val="0"/>
          <w:numId w:val="343"/>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Percentage-based ROI is highly sensitive to small-spend campaigns. A handful of very-low-spend, high-revenue campaigns produce ROI values in the thousands of percent, which can distort simple averages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medians or trimmed means are more robust for this dataset.</w:t>
      </w:r>
    </w:p>
    <w:p>
      <w:pPr>
        <w:numPr>
          <w:ilvl w:val="0"/>
          <w:numId w:val="343"/>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Missing data required imputation. Platform, Followers, and Audience_Group all had missing values that were filled using "Unknown" or group medians rather than observed; this is a reasonable approximation but not ground truth.</w:t>
      </w:r>
    </w:p>
    <w:p>
      <w:pPr>
        <w:numPr>
          <w:ilvl w:val="0"/>
          <w:numId w:val="343"/>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influencer segmentation is order-dependent. Because later rules overwrite earlier ones, the resulting category counts reflect rule sequence as much as the underlying data (see Section 12).</w:t>
      </w:r>
    </w:p>
    <w:p>
      <w:pPr>
        <w:numPr>
          <w:ilvl w:val="0"/>
          <w:numId w:val="343"/>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Zero-Reach campaigns had to be excluded to compute Engagement_Rate, which slightly reduces the analysed sample from the full 56,224 rows for engagement-specific metrics.</w:t>
      </w:r>
    </w:p>
    <w:p>
      <w:pPr>
        <w:numPr>
          <w:ilvl w:val="0"/>
          <w:numId w:val="343"/>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Campaign_Date was not validated or analysed for seasonality in this pass, so any time-based trends remain unexplored.</w:t>
      </w: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16. Conclusion</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analysis of 56,224 influencer marketing campaigns shows a program that is profitable overall (spend-weighted ROI of 100.2%) but with highly uneven economics underneath that headline number. Followers reliably predict reach, but platform choice changes how efficiently that reach is realised, with TikTok and Instagram leading. Gen Z and Millennial audiences are the clear priority segments on both engagement and ROI. At the influencer level, a small number of partners generate outsized value, and a rule-based segmentation shows that most campaigns (63%) already qualify as cost-efficient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 useful starting filter for future budget allocation. The most actionable finding is methodological as much as commercial: because a simple average ROI is easily distorted by a handful of extreme campaigns, and because the current segmentation rules can structurally empty a category, refining both the KPI calculation and the segmentation logic is the highest-leverage next step before scaling this analysis into a recurring dashboard.</w:t>
      </w:r>
    </w:p>
    <w:p>
      <w:pPr>
        <w:spacing w:before="40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i/>
          <w:color w:val="1B3A5C"/>
          <w:spacing w:val="0"/>
          <w:position w:val="0"/>
          <w:sz w:val="22"/>
          <w:shd w:fill="auto" w:val="clear"/>
        </w:rPr>
        <w:t xml:space="preserve">—</w:t>
      </w:r>
      <w:r>
        <w:rPr>
          <w:rFonts w:ascii="Calibri" w:hAnsi="Calibri" w:cs="Calibri" w:eastAsia="Calibri"/>
          <w:b/>
          <w:i/>
          <w:color w:val="1B3A5C"/>
          <w:spacing w:val="0"/>
          <w:position w:val="0"/>
          <w:sz w:val="22"/>
          <w:shd w:fill="auto" w:val="clear"/>
        </w:rPr>
        <w:t xml:space="preserve"> End of report </w:t>
      </w:r>
      <w:r>
        <w:rPr>
          <w:rFonts w:ascii="Calibri" w:hAnsi="Calibri" w:cs="Calibri" w:eastAsia="Calibri"/>
          <w:b/>
          <w:i/>
          <w:color w:val="1B3A5C"/>
          <w:spacing w:val="0"/>
          <w:position w:val="0"/>
          <w:sz w:val="22"/>
          <w:shd w:fill="auto" w:val="clear"/>
        </w:rPr>
        <w:t xml:space="preserv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num w:numId="100">
    <w:abstractNumId w:val="42"/>
  </w:num>
  <w:num w:numId="105">
    <w:abstractNumId w:val="36"/>
  </w:num>
  <w:num w:numId="307">
    <w:abstractNumId w:val="30"/>
  </w:num>
  <w:num w:numId="332">
    <w:abstractNumId w:val="24"/>
  </w:num>
  <w:num w:numId="336">
    <w:abstractNumId w:val="18"/>
  </w:num>
  <w:num w:numId="338">
    <w:abstractNumId w:val="12"/>
  </w:num>
  <w:num w:numId="340">
    <w:abstractNumId w:val="6"/>
  </w:num>
  <w:num w:numId="34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3" Type="http://schemas.openxmlformats.org/officeDocument/2006/relationships/styles" /><Relationship Target="media/image1.wmf" Id="docRId3"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numbering.xml" Id="docRId12"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s>
</file>