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0" w:after="0" w:line="240"/>
        <w:ind w:right="0" w:left="0" w:firstLine="0"/>
        <w:jc w:val="center"/>
        <w:rPr>
          <w:rFonts w:ascii="Calibri" w:hAnsi="Calibri" w:cs="Calibri" w:eastAsia="Calibri"/>
          <w:color w:val="auto"/>
          <w:spacing w:val="0"/>
          <w:position w:val="0"/>
          <w:sz w:val="56"/>
          <w:shd w:fill="auto" w:val="clear"/>
        </w:rPr>
      </w:pPr>
      <w:r>
        <w:rPr>
          <w:rFonts w:ascii="Calibri" w:hAnsi="Calibri" w:cs="Calibri" w:eastAsia="Calibri"/>
          <w:b/>
          <w:color w:val="1B3A5C"/>
          <w:spacing w:val="0"/>
          <w:position w:val="0"/>
          <w:sz w:val="56"/>
          <w:shd w:fill="auto" w:val="clear"/>
        </w:rPr>
        <w:t xml:space="preserve">UPI Fraud in India</w:t>
      </w:r>
    </w:p>
    <w:p>
      <w:pPr>
        <w:spacing w:before="200" w:after="40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2E7B8C"/>
          <w:spacing w:val="0"/>
          <w:position w:val="0"/>
          <w:sz w:val="28"/>
          <w:shd w:fill="auto" w:val="clear"/>
        </w:rPr>
        <w:t xml:space="preserve">An Exploratory Data Analysis of Reported UPI Fraud Cases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44444"/>
          <w:spacing w:val="0"/>
          <w:position w:val="0"/>
          <w:sz w:val="22"/>
          <w:shd w:fill="auto" w:val="clear"/>
        </w:rPr>
        <w:t xml:space="preserve">Patterns in transaction value, timing, geography, fraud typology, platform exposure, victim demographics, and reporting behaviour, with statistical testing and risk-mitigation recommendations.</w:t>
      </w:r>
    </w:p>
    <w:p>
      <w:pPr>
        <w:spacing w:before="800" w:after="0" w:line="240"/>
        <w:ind w:right="0" w:left="0" w:firstLine="0"/>
        <w:jc w:val="center"/>
        <w:rPr>
          <w:rFonts w:ascii="Calibri" w:hAnsi="Calibri" w:cs="Calibri" w:eastAsia="Calibri"/>
          <w:color w:val="auto"/>
          <w:spacing w:val="0"/>
          <w:position w:val="0"/>
          <w:sz w:val="26"/>
          <w:shd w:fill="auto" w:val="clear"/>
        </w:rPr>
      </w:pPr>
      <w:r>
        <w:rPr>
          <w:rFonts w:ascii="Calibri" w:hAnsi="Calibri" w:cs="Calibri" w:eastAsia="Calibri"/>
          <w:b/>
          <w:color w:val="1B3A5C"/>
          <w:spacing w:val="0"/>
          <w:position w:val="0"/>
          <w:sz w:val="26"/>
          <w:shd w:fill="auto" w:val="clear"/>
        </w:rPr>
        <w:t xml:space="preserve">Prepared by: NIROSHA V</w:t>
      </w:r>
    </w:p>
    <w:p>
      <w:pPr>
        <w:spacing w:before="500" w:after="0" w:line="240"/>
        <w:ind w:right="0" w:left="0" w:firstLine="0"/>
        <w:jc w:val="center"/>
        <w:rPr>
          <w:rFonts w:ascii="Calibri" w:hAnsi="Calibri" w:cs="Calibri" w:eastAsia="Calibri"/>
          <w:color w:val="auto"/>
          <w:spacing w:val="0"/>
          <w:position w:val="0"/>
          <w:sz w:val="22"/>
          <w:shd w:fill="auto" w:val="clear"/>
        </w:rPr>
      </w:pPr>
    </w:p>
    <w:tbl>
      <w:tblPr/>
      <w:tblGrid>
        <w:gridCol w:w="2600"/>
        <w:gridCol w:w="6800"/>
      </w:tblGrid>
      <w:tr>
        <w:trPr>
          <w:trHeight w:val="1" w:hRule="atLeast"/>
          <w:jc w:val="left"/>
        </w:trPr>
        <w:tc>
          <w:tcPr>
            <w:tcW w:w="26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6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Detail</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Dataset</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upi_fraud_india_dataset.csv</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Scope</w:t>
            </w:r>
          </w:p>
        </w:tc>
        <w:tc>
          <w:tcPr>
            <w:tcW w:w="6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10,000 reported UPI fraud cases (India)</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Techniques used</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Descriptive statistics, outlier detection (IQR &amp; Z-score), cross-tabulation, correlation, hypothesis testing (t-test, ANOVA, Chi-square)</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Report type</w:t>
            </w:r>
          </w:p>
        </w:tc>
        <w:tc>
          <w:tcPr>
            <w:tcW w:w="6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Exploratory Data Analysis (EDA)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Project Report</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Prepared</w:t>
            </w:r>
          </w:p>
        </w:tc>
        <w:tc>
          <w:tcPr>
            <w:tcW w:w="6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July 2026</w:t>
            </w:r>
          </w:p>
        </w:tc>
      </w:tr>
    </w:tbl>
    <w:p>
      <w:pPr>
        <w:spacing w:before="50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i/>
          <w:color w:val="555555"/>
          <w:spacing w:val="0"/>
          <w:position w:val="0"/>
          <w:sz w:val="20"/>
          <w:shd w:fill="auto" w:val="clear"/>
        </w:rPr>
        <w:t xml:space="preserve">This report was produced from a Jupyter notebook analysis (upidata.ipynb) covering data understanding, descriptive statistics, outlier/anomaly detection, correlation and heatmap analysis, bivariate exploration, and inferential statistical testing.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Table of Contents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Executive Summary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Introduction &amp; Dataset Overview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- 2.1 Dataset at a glance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Methodology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Descriptive Statistics of Transaction Amounts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Outlier &amp; Anomaly Detection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- 5.1 IQR-based outliers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- 5.2 Z-score anomalies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Temporal Patterns </w:t>
      </w:r>
      <w:r>
        <w:rPr>
          <w:rFonts w:ascii="Calibri" w:hAnsi="Calibri" w:cs="Calibri" w:eastAsia="Calibri"/>
          <w:color w:val="auto"/>
          <w:spacing w:val="0"/>
          <w:position w:val="0"/>
          <w:sz w:val="22"/>
          <w:shd w:fill="auto" w:val="clear"/>
        </w:rPr>
        <w:t xml:space="preserve">— When Fraud Happens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Geographic Patterns — Where Fraud Happens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Fraud Typology — How Fraud Happens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Platform &amp; Device Exposure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Victim Demographics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Reporting Behaviour &amp; Response Time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Correlation &amp; Statistical Hypothesis Testing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- 12.1 Correlation heatmap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- 12.2 Hypothesis tests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Key Insights Summary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Recommendations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For banks, UPI apps, and NPCI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For regulators and consumer-protection bodies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For future analysis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Limitations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Conclusion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 Executive Summary</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analyses 10,000 reported Unified Payments Interface (UPI) fraud incidents from India, examining transaction value, timing, geography, fraud method, platform/device exposure, victim demographics, and victim reporting speed. Every record in the dataset represents a confirmed fraud case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data is a case log of fraud incidents, not a mixed sample of genuine and fraudulent transactions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so the analysis focuses on characterising the fraud population itself rather than building a fraud/non-fraud classifier.</w:t>
      </w:r>
    </w:p>
    <w:tbl>
      <w:tblPr/>
      <w:tblGrid>
        <w:gridCol w:w="5200"/>
        <w:gridCol w:w="3200"/>
      </w:tblGrid>
      <w:tr>
        <w:trPr>
          <w:trHeight w:val="1" w:hRule="atLeast"/>
          <w:jc w:val="left"/>
        </w:trPr>
        <w:tc>
          <w:tcPr>
            <w:tcW w:w="5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Metric</w:t>
            </w:r>
          </w:p>
        </w:tc>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Reported fraud cases analysed</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1,000</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Average amount lost per case</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15,911</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Median amount lost per case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5,300</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Cases flagged as statistical outliers (IQR)</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12%</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Most common fraud type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Phishing (22%)</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Highest-incidence state</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Karnataka (132 cases)</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Peak fraud reporting window</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 AM</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2 PM</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Cases reported 6+ hours late</w:t>
            </w:r>
          </w:p>
        </w:tc>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69%</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Amounts lost are heavily right-skewed (skewness ~ 7.05): most cases involve modest sums (median Rs. 5,300) but a long tail of high-value cases (up to Rs. 4.95 lakh) pulls the mean well above the median. Fraud is concentrated on Android devices and on the two most widely-used apps (PhonePe, Google Pay)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consistent with overall market share rather than a specific platform weakness. Victims aged 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 account for the majority of cases, and reporting delay is the biggest systemic gap: most victims report well after the window in which banks can still reverse a transaction.</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2. Introduction &amp; Dataset Overview</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Unified Payments Interface (UPI) is India's real-time payment rail, processing billions of peer-to-peer and merchant transactions every month. Its convenience has also made it a major target for social-engineering and technical fraud. This project analyses a structured dataset of reported UPI fraud cases to surface patterns that can inform fraud-prevention strategy, user education, and incident-response design.</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2.1 Dataset at a glance</w:t>
      </w:r>
    </w:p>
    <w:tbl>
      <w:tblPr/>
      <w:tblGrid>
        <w:gridCol w:w="3200"/>
        <w:gridCol w:w="5200"/>
      </w:tblGrid>
      <w:tr>
        <w:trPr>
          <w:trHeight w:val="1" w:hRule="atLeast"/>
          <w:jc w:val="left"/>
        </w:trPr>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5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transaction_id / sender_upi_id</w:t>
            </w:r>
          </w:p>
        </w:tc>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Unique identifiers for the transaction and sender's UPI handle</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amount_inr</w:t>
            </w:r>
          </w:p>
        </w:tc>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Value of the fraudulent transaction, in Indian Rupees</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date / time / day_of_week</w:t>
            </w:r>
          </w:p>
        </w:tc>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When the transaction occurred</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upi_app</w:t>
            </w:r>
          </w:p>
        </w:tc>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Payment app used (Google Pay, PhonePe, Paytm, BHIM, Amazon Pay)</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device_type</w:t>
            </w:r>
          </w:p>
        </w:tc>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Android, iOS, or Feature Phone</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fraud_type</w:t>
            </w:r>
          </w:p>
        </w:tc>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Method of fraud (Phishing, Vishing, QR Code Swap, OTP Sharing, etc.)</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victim_state / victim_age_group</w:t>
            </w:r>
          </w:p>
        </w:tc>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Victim's state and age bracket</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first_time_upi_user</w:t>
            </w:r>
          </w:p>
        </w:tc>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Whether the victim was new to UPI</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report_delay</w:t>
            </w:r>
          </w:p>
        </w:tc>
        <w:tc>
          <w:tcPr>
            <w:tcW w:w="5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Time taken by the victim to report the fraud</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is_fraud</w:t>
            </w:r>
          </w:p>
        </w:tc>
        <w:tc>
          <w:tcPr>
            <w:tcW w:w="5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Fraud flag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constant at 1 for every record in this dataset</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raw file contained 10,000 rows and no duplicate records. There were no missing values in the fields used for this analysis. Because is_fraud equals 1 for all 10,000 records, this dataset should be read as a curated log of fraud incidents (e.g. from complaints or bank reports) rather than a general transaction sample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important framing that shapes every result in this report.</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3. Methodology</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analysis followed a standard exploratory data-analysis workflow, implemented in Python (pandas, NumPy, Matplotlib, Seaborn, SciPy) inside a Jupyter notebook.</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understanding &amp; cleaning: loaded the CSV, checked shape, column types, and missing values, and removed duplicate rows.</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Descriptive statistics: computed mean, median, standard deviation, percentiles (90th/95th/99th) and skewness for transaction amount; computed daily transaction frequency.</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Outlier / anomaly detection: applied the IQR rule (1.5×IQR beyond Q1/Q3) and Z-score thresholding (|Z| &gt; 3) to flag unusually large transactions and the users associated with them.</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Bivariate &amp; cross-tabulation analysis: examined fraud counts and amounts across time (hour, day of week), geography (state), fraud type, UPI app, device type, and victim age group using bar charts, heatmaps, and scatter plots.</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Correlation analysis: built a correlation matrix between transaction amount, victim age group, and the fraud flag.</w:t>
      </w:r>
    </w:p>
    <w:p>
      <w:pPr>
        <w:numPr>
          <w:ilvl w:val="0"/>
          <w:numId w:val="97"/>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Inferential statistics: ran an independent-samples t-test (fraud vs non-fraud amounts, and Vishing vs Phishing amounts), a one-way ANOVA (amount across UPI apps), and a Chi-square test of independence (device type vs fraud flag).</w:t>
      </w:r>
    </w:p>
    <w:p>
      <w:pPr>
        <w:spacing w:before="0" w:after="200" w:line="30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i/>
          <w:color w:val="555555"/>
          <w:spacing w:val="0"/>
          <w:position w:val="0"/>
          <w:sz w:val="20"/>
          <w:shd w:fill="auto" w:val="clear"/>
        </w:rPr>
        <w:t xml:space="preserve">All charts in this report are reproduced directly from the notebook's outputs to preserve traceability between the analysis code and the findings presented below.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4. Descriptive Statistics of Transaction Amounts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 amount is the primary continuous variable in the dataset. Its distribution is summarised below.</w:t>
      </w:r>
    </w:p>
    <w:tbl>
      <w:tblPr/>
      <w:tblGrid>
        <w:gridCol w:w="4200"/>
        <w:gridCol w:w="4200"/>
      </w:tblGrid>
      <w:tr>
        <w:trPr>
          <w:trHeight w:val="1" w:hRule="atLeast"/>
          <w:jc w:val="left"/>
        </w:trPr>
        <w:tc>
          <w:tcPr>
            <w:tcW w:w="4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Statistic</w:t>
            </w:r>
          </w:p>
        </w:tc>
        <w:tc>
          <w:tcPr>
            <w:tcW w:w="4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 (INR)</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Count</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Mean</w:t>
            </w:r>
          </w:p>
        </w:tc>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15,911.45</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Median</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5,300.00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Standard deviation</w:t>
            </w:r>
          </w:p>
        </w:tc>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36,184.66</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Minimum</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500.00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Maximum</w:t>
            </w:r>
          </w:p>
        </w:tc>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4,95,050.00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90th percentile</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39,765.00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95th percentile</w:t>
            </w:r>
          </w:p>
        </w:tc>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68,395.00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99th percentile</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Rs. 1,38,739.00</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Skewness</w:t>
            </w:r>
          </w:p>
        </w:tc>
        <w:tc>
          <w:tcPr>
            <w:tcW w:w="4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7.05 (heavily right-skewed)</w:t>
            </w:r>
          </w:p>
        </w:tc>
      </w:tr>
      <w:tr>
        <w:trPr>
          <w:trHeight w:val="1" w:hRule="atLeast"/>
          <w:jc w:val="left"/>
        </w:trPr>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Avg. daily fraud frequency</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1.80 cases/day (range 1</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6)</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mean (Rs. 15,911) is roughly three times the median (Rs. 5,300), and skewness of 7.05 confirms a strongly right-skewed distribution: the majority of fraud cases involve relatively small sums typical of scams like QR code swaps or fake collect requests, while a minority of cases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often social-engineering or remote-access scams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drain much larger amounts, up to Rs. 4.95 lakh. This means the median, not the mean, is the more representative measure of a "typical" fraud case, and any awareness campaign quoting an "average loss" figure will overstate what a typical victim experiences.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4680">
          <v:rect xmlns:o="urn:schemas-microsoft-com:office:office" xmlns:v="urn:schemas-microsoft-com:vml" id="rectole0000000000" style="width:495.000000pt;height:23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4.1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Boxplot of transaction amounts. The narrow box (bulk of cases under ~Rs. 15,000) and long right whisker of individual high-value points illustrate the skew.</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040">
          <v:rect xmlns:o="urn:schemas-microsoft-com:office:office" xmlns:v="urn:schemas-microsoft-com:vml" id="rectole0000000001" style="width:495.000000pt;height:25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4.2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Distribution of transaction amounts. Most cases cluster below Rs. 20,000, with a thin but persistent tail extending toward Rs. 5 lakh.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5. Outlier &amp; Anomaly Detection</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5.1 IQR-based outliers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the classic Tukey rule (values beyond Q1 - 1.5×IQR or Q3 + 1.5×IQR), 120 of 10,000 cases (12%) were flagged as amount outliers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all on the high side, since the lower bound is below the minimum recorded amount. A sample of the flagged high-value cases:</w:t>
      </w:r>
    </w:p>
    <w:tbl>
      <w:tblPr/>
      <w:tblGrid>
        <w:gridCol w:w="3200"/>
        <w:gridCol w:w="2400"/>
        <w:gridCol w:w="2800"/>
      </w:tblGrid>
      <w:tr>
        <w:trPr>
          <w:trHeight w:val="1" w:hRule="atLeast"/>
          <w:jc w:val="left"/>
        </w:trPr>
        <w:tc>
          <w:tcPr>
            <w:tcW w:w="3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Transaction ID</w:t>
            </w:r>
          </w:p>
        </w:tc>
        <w:tc>
          <w:tcPr>
            <w:tcW w:w="2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Amount (INR)</w:t>
            </w:r>
          </w:p>
        </w:tc>
        <w:tc>
          <w:tcPr>
            <w:tcW w:w="2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Fraud Type</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TXN108901504899</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87,350</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QR Code Swap</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TXN782987331574</w:t>
            </w:r>
          </w:p>
        </w:tc>
        <w:tc>
          <w:tcPr>
            <w:tcW w:w="2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34,100</w:t>
            </w:r>
          </w:p>
        </w:tc>
        <w:tc>
          <w:tcPr>
            <w:tcW w:w="2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Vishing</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TXN950275468961</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80,800</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Fake UPI App</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TXN650298037487</w:t>
            </w:r>
          </w:p>
        </w:tc>
        <w:tc>
          <w:tcPr>
            <w:tcW w:w="2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62,350</w:t>
            </w:r>
          </w:p>
        </w:tc>
        <w:tc>
          <w:tcPr>
            <w:tcW w:w="2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Vishing</w:t>
            </w:r>
          </w:p>
        </w:tc>
      </w:tr>
      <w:tr>
        <w:trPr>
          <w:trHeight w:val="1" w:hRule="atLeast"/>
          <w:jc w:val="left"/>
        </w:trPr>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TXN778759018230</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54,900</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Fake UPI App</w:t>
            </w:r>
          </w:p>
        </w:tc>
      </w:tr>
    </w:tbl>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5.2 Z-score anomalies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stricter Z-score test (|Z| &gt; 3, i.e. more than 3 standard deviations from the mean) flagged a smaller, more extreme set of transactions belonging to 11 distinct UPI handles, including txn2562@apl, user9480@okicici, user2153@ybl, acct9871@oksbi, acct2789@okhdfcbank and others. Each of these handles appears only once among the extreme cases in this sample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i.e. within this dataset there is no single UPI ID responsible for multiple extreme-value frauds, suggesting these are largely independent, high-value one-off incidents rather than a repeat-offender pattern.</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040">
          <v:rect xmlns:o="urn:schemas-microsoft-com:office:office" xmlns:v="urn:schemas-microsoft-com:vml" id="rectole0000000002" style="width:495.000000pt;height:252.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5.1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Z-scores of all transaction amounts. Points beyond the </w:t>
      </w:r>
      <w:r>
        <w:rPr>
          <w:rFonts w:ascii="Calibri" w:hAnsi="Calibri" w:cs="Calibri" w:eastAsia="Calibri"/>
          <w:i/>
          <w:color w:val="555555"/>
          <w:spacing w:val="0"/>
          <w:position w:val="0"/>
          <w:sz w:val="18"/>
          <w:shd w:fill="auto" w:val="clear"/>
        </w:rPr>
        <w:t xml:space="preserve">±3 threshold lines (red) are the statistically extreme cases described above.</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methods agree on the underlying story: fraud amounts are not uniform. A small but consistent share of cases (~12% by IQR, a tighter core by Z-score) represent high-value incidents that deserve separate handling in any triage or alerting system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for example, routing very large flagged transactions to manual review or expedited bank freeze procedures rather than treating every case identically.</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040">
          <v:rect xmlns:o="urn:schemas-microsoft-com:office:office" xmlns:v="urn:schemas-microsoft-com:vml" id="rectole0000000003" style="width:495.000000pt;height:252.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5.2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Z-scores highlighting statistically unusual (|Z| &gt; 3) transactions in red among the full case set.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6. Temporal Patterns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When Fraud Happens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Fraud incidence was examined by hour of day and by day of week to identify whether attackers concentrate activity at particular times.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040">
          <v:rect xmlns:o="urn:schemas-microsoft-com:office:office" xmlns:v="urn:schemas-microsoft-com:vml" id="rectole0000000004" style="width:495.000000pt;height:252.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6.1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transactions by hour of day. Activity is low overnight (00:00</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05:00) and rises sharply from 08:00, peaking between 10:00 and 14:00 before gradually tapering into the evening.</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Fraud is far more likely during standard business hours (10 AM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PM) than late at night. This pattern is consistent with scams that require the victim to be reachable and cooperative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such as phishing calls, vishing, and fake customer-support outreach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which work best when victims are alert, at their desks, and willing to act on a call or message quickly. It also aligns with when banking/customer-support-impersonation scams are most credible, since real bank calls also happen in this window.</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040">
          <v:rect xmlns:o="urn:schemas-microsoft-com:office:office" xmlns:v="urn:schemas-microsoft-com:vml" id="rectole0000000005" style="width:495.000000pt;height:252.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6.2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count by day of week. Counts range narrowly from 127 (Friday) to 156 (Thursday)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roughly evenly spread, with a mild mid-week peak.</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Unlike the strong hour-of-day effect, the day-of-week pattern is comparatively flat (127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156 cases per day, a spread of about 23%), indicating fraud attempts are not concentrated on weekends or any single day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attackers appear to operate on a near-daily cadence rather than timing campaigns around the work week.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7. Geographic Patterns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Where Fraud Happens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Victim state was cross-tabulated against fraud counts to identify geographic concentration.</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400">
          <v:rect xmlns:o="urn:schemas-microsoft-com:office:office" xmlns:v="urn:schemas-microsoft-com:vml" id="rectole0000000006" style="width:495.000000pt;height:270.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7.1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Top 10 states by fraud count. Karnataka leads with 132 reported cases, roughly a third more than second-placed Telangana (99).</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Karnataka (132), Telangana (99), Uttar Pradesh (94) and Maharashtra (93) are the four most-affected states in this dataset. Karnataka and Telangana's high counts likely reflect their large, digitally active urban populations (Bengaluru, Hyderabad) with high UPI transaction volumes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more digital transactions generally creates a larger pool of potential targets, so raw counts should be read alongside state-level UPI usage rather than as a pure risk-per-user ranking.</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10080" w:dyaOrig="8460">
          <v:rect xmlns:o="urn:schemas-microsoft-com:office:office" xmlns:v="urn:schemas-microsoft-com:vml" id="rectole0000000007" style="width:504.000000pt;height:42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7.2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Victim state vs fraud type heatmap. Darker cells mark higher case counts.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heatmap shows that Karnataka's lead is driven disproportionately by Phishing (29 cases) and Vishing (27 cases)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voice- and message-based social engineering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rather than an even spread across all fraud types. Maharashtra and Uttar Pradesh show a similar concentration in Phishing and Vishing, suggesting these two attack types are the dominant nationwide threat rather than region-specific tactics.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8. Fraud Typology </w:t>
      </w:r>
      <w:r>
        <w:rPr>
          <w:rFonts w:ascii="Calibri" w:hAnsi="Calibri" w:cs="Calibri" w:eastAsia="Calibri"/>
          <w:b/>
          <w:color w:val="1B3A5C"/>
          <w:spacing w:val="0"/>
          <w:position w:val="0"/>
          <w:sz w:val="32"/>
          <w:shd w:fill="auto" w:val="clear"/>
        </w:rPr>
        <w:t xml:space="preserve">—</w:t>
      </w:r>
      <w:r>
        <w:rPr>
          <w:rFonts w:ascii="Calibri" w:hAnsi="Calibri" w:cs="Calibri" w:eastAsia="Calibri"/>
          <w:b/>
          <w:color w:val="1B3A5C"/>
          <w:spacing w:val="0"/>
          <w:position w:val="0"/>
          <w:sz w:val="32"/>
          <w:shd w:fill="auto" w:val="clear"/>
        </w:rPr>
        <w:t xml:space="preserve"> How Fraud Happens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900" w:dyaOrig="5400">
          <v:rect xmlns:o="urn:schemas-microsoft-com:office:office" xmlns:v="urn:schemas-microsoft-com:vml" id="rectole0000000008" style="width:495.000000pt;height:270.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8.1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Top 10 fraud types by case count.</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Phishing (218 cases, 22%) and Vishing (188 cases, 19%) together account for over 40% of all reported fraud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confirming that social engineering, not technical exploitation of the UPI protocol itself, is the dominant attack vector. QR Code Swap (116), Fake Collect Request (107) and OTP Sharing (93) form a second tier, together representing another ~32% of cases. Technically sophisticated attacks like Remote Access Scam (38) and Money Mule schemes (24) are comparatively rare, likely because they require more setup and victim compliance than a simple deceptive message or call.</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7200">
          <v:rect xmlns:o="urn:schemas-microsoft-com:office:office" xmlns:v="urn:schemas-microsoft-com:vml" id="rectole0000000009" style="width:450.000000pt;height:360.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8.2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type vs UPI app. Phishing and Vishing dominate on PhonePe and Google Pay in absolute terms.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Phishing and Vishing cases are heavily concentrated on PhonePe (104 and 105 cases respectively) and Google Pay (81 and 59), which is expected given these two apps' combined dominance of the Indian UPI market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raw counts track overall app usage more than they indicate an app-specific vulnerability (see Section 9 for the rate-based view).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9. Platform &amp; Device Exposure</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040">
          <v:rect xmlns:o="urn:schemas-microsoft-com:office:office" xmlns:v="urn:schemas-microsoft-com:vml" id="rectole0000000010" style="width:450.000000pt;height:252.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9.1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count by UPI app. PhonePe (491) and Google Pay (371) together account for 86% of all cases.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040">
          <v:rect xmlns:o="urn:schemas-microsoft-com:office:office" xmlns:v="urn:schemas-microsoft-com:vml" id="rectole0000000011" style="width:450.000000pt;height:252.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9.2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count by device type. Android (~690) dwarfs iOS (~195) and Feature Phone (~115).</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PhonePe and Google Pay together represent 86% of cases, and Android accounts for roughly 69% of cases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both figures broadly mirror each platform's real-world share of India's payments and smartphone market. Because this dataset contains only confirmed fraud cases (not a fraud-vs-legitimate comparison), we cannot compute a true fraud rate per app or OS from these counts alone; the concentration observed here is consistent with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but does not prove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higher absolute exposure simply due to larger user bases, rather than any platform being inherently less secure. A rate-based comparison would require the total (non-fraud) transaction volume per app and OS as a denominator.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10. Victim Demographics</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400">
          <v:rect xmlns:o="urn:schemas-microsoft-com:office:office" xmlns:v="urn:schemas-microsoft-com:vml" id="rectole0000000012" style="width:450.000000pt;height:270.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10.1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Fraud cases by victim age group (1 = 18</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25 ... 6 = 66+). Ages 26</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45 (groups 2</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3) account for the largest share.</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Victims aged 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35 (~298 cases, 30%) and 36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 (~218 cases, 22%) together make up over half of all reported fraud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working-age population that transacts most actively on UPI for daily payments, bill splitting, and merchant payments. The 18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25 bracket (~170) and 46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55 bracket (~169) are comparable second-tier groups, while older users (56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65: ~94; 66+: ~52) are least represented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plausibly reflecting lower UPI adoption among older demographics rather than lower susceptibility to scams.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secondary check compared fraud incidence between first-time UPI users and experienced users. Because the dataset contains only fraud cases, both groups show a (structurally uninformative) 100% fraud rate; a meaningful comparison of new-user vulnerability would again require the total transaction population as a denominator, which this dataset does not include.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11. Reporting Behaviour &amp; Response Time</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9000" w:dyaOrig="5400">
          <v:rect xmlns:o="urn:schemas-microsoft-com:office:office" xmlns:v="urn:schemas-microsoft-com:vml" id="rectole0000000013" style="width:450.000000pt;height:270.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11.1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Distribution of victim reporting delay categories.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one of the report's most actionable findings. Only ~15% of victims reported the fraud within 1 hour, while ~31% took 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24 hours and ~28% took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 hours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meaning roughly 69% of victims reported after the first hour, and a further ~24% waited 1 day to a full week (17.5% at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 days, 6.1% at 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7 days) or longer (2.2% beyond 7 days).</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NPCI/RBI dispute-resolution norms, the ability to freeze or reverse a fraudulent UPI transfer drops sharply once funds have had time to move through the recipient's account or be withdrawn. A reporting delay of 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24 hours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single most common bucket in this data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is often past the window in which a bank can act quickly, meaning the majority of victims in this dataset were reporting fraud too late for the fastest, most effective form of recourse.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12. Correlation &amp; Statistical Hypothesis Testing</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12.1 Correlation heatmap</w:t>
      </w:r>
    </w:p>
    <w:p>
      <w:pPr>
        <w:spacing w:before="150" w:after="150" w:line="240"/>
        <w:ind w:right="0" w:left="0" w:firstLine="0"/>
        <w:jc w:val="center"/>
        <w:rPr>
          <w:rFonts w:ascii="Calibri" w:hAnsi="Calibri" w:cs="Calibri" w:eastAsia="Calibri"/>
          <w:color w:val="auto"/>
          <w:spacing w:val="0"/>
          <w:position w:val="0"/>
          <w:sz w:val="22"/>
          <w:shd w:fill="auto" w:val="clear"/>
        </w:rPr>
      </w:pPr>
      <w:r>
        <w:object w:dxaOrig="8100" w:dyaOrig="6300">
          <v:rect xmlns:o="urn:schemas-microsoft-com:office:office" xmlns:v="urn:schemas-microsoft-com:vml" id="rectole0000000014" style="width:405.000000pt;height:315.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i/>
          <w:color w:val="555555"/>
          <w:spacing w:val="0"/>
          <w:position w:val="0"/>
          <w:sz w:val="18"/>
          <w:shd w:fill="auto" w:val="clear"/>
        </w:rPr>
        <w:t xml:space="preserve">Figure 12.1 </w:t>
      </w:r>
      <w:r>
        <w:rPr>
          <w:rFonts w:ascii="Calibri" w:hAnsi="Calibri" w:cs="Calibri" w:eastAsia="Calibri"/>
          <w:i/>
          <w:color w:val="555555"/>
          <w:spacing w:val="0"/>
          <w:position w:val="0"/>
          <w:sz w:val="18"/>
          <w:shd w:fill="auto" w:val="clear"/>
        </w:rPr>
        <w:t xml:space="preserve">—</w:t>
      </w:r>
      <w:r>
        <w:rPr>
          <w:rFonts w:ascii="Calibri" w:hAnsi="Calibri" w:cs="Calibri" w:eastAsia="Calibri"/>
          <w:i/>
          <w:color w:val="555555"/>
          <w:spacing w:val="0"/>
          <w:position w:val="0"/>
          <w:sz w:val="18"/>
          <w:shd w:fill="auto" w:val="clear"/>
        </w:rPr>
        <w:t xml:space="preserve"> Correlation between transaction amount and victim age group (numeric).</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 amount and victim age group show a negligible correlation (r ~ 0.05)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amount lost is essentially independent of the victim's age bracket. The is_fraud column has zero variance (constant at 1), so its correlation with other fields is mathematically undefined and is left blank in the heatmap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direct consequence of this being a fraud-only case log rather than a mixed sample.</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12.2 Hypothesis tests</w:t>
      </w:r>
    </w:p>
    <w:tbl>
      <w:tblPr/>
      <w:tblGrid>
        <w:gridCol w:w="2000"/>
        <w:gridCol w:w="2200"/>
        <w:gridCol w:w="1400"/>
        <w:gridCol w:w="1000"/>
        <w:gridCol w:w="2800"/>
      </w:tblGrid>
      <w:tr>
        <w:trPr>
          <w:trHeight w:val="1" w:hRule="atLeast"/>
          <w:jc w:val="left"/>
        </w:trPr>
        <w:tc>
          <w:tcPr>
            <w:tcW w:w="2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w:t>
            </w:r>
          </w:p>
        </w:tc>
        <w:tc>
          <w:tcPr>
            <w:tcW w:w="22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Comparison</w:t>
            </w:r>
          </w:p>
        </w:tc>
        <w:tc>
          <w:tcPr>
            <w:tcW w:w="14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Statistic</w:t>
            </w:r>
          </w:p>
        </w:tc>
        <w:tc>
          <w:tcPr>
            <w:tcW w:w="10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p-value</w:t>
            </w:r>
          </w:p>
        </w:tc>
        <w:tc>
          <w:tcPr>
            <w:tcW w:w="2800" w:type="dxa"/>
            <w:tcBorders>
              <w:top w:val="single" w:color="000000" w:sz="4"/>
              <w:left w:val="single" w:color="000000" w:sz="4"/>
              <w:bottom w:val="single" w:color="000000" w:sz="4"/>
              <w:right w:val="single" w:color="000000" w:sz="4"/>
            </w:tcBorders>
            <w:shd w:color="000000" w:fill="1b3a5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Interpretation</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Independent t-test</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Fraud vs non-fraud amount</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w:t>
            </w:r>
          </w:p>
        </w:tc>
        <w:tc>
          <w:tcPr>
            <w:tcW w:w="1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Undefined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no non-fraud records exist in this dataset</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Independent t-test</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Vishing vs Phishing amount</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 = 1.306</w:t>
            </w:r>
          </w:p>
        </w:tc>
        <w:tc>
          <w:tcPr>
            <w:tcW w:w="1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0.193</w:t>
            </w:r>
          </w:p>
        </w:tc>
        <w:tc>
          <w:tcPr>
            <w:tcW w:w="2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Not significant (p &gt; 0.05): no strong evidence the two scam types differ in typical amount</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One-way ANOVA</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Amount across 5 UPI apps</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 = 1.910</w:t>
            </w:r>
          </w:p>
        </w:tc>
        <w:tc>
          <w:tcPr>
            <w:tcW w:w="1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0.107</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Not significant (p &gt; 0.05): average fraud amount does not differ meaningfully by app</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Chi-square</w:t>
            </w:r>
          </w:p>
        </w:tc>
        <w:tc>
          <w:tcPr>
            <w:tcW w:w="22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Device type vs is_fraud</w:t>
            </w:r>
          </w:p>
        </w:tc>
        <w:tc>
          <w:tcPr>
            <w:tcW w:w="14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Chi-sq = 0.00</w:t>
            </w:r>
          </w:p>
        </w:tc>
        <w:tc>
          <w:tcPr>
            <w:tcW w:w="10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1.000</w:t>
            </w:r>
          </w:p>
        </w:tc>
        <w:tc>
          <w:tcPr>
            <w:tcW w:w="2800" w:type="dxa"/>
            <w:tcBorders>
              <w:top w:val="single" w:color="000000" w:sz="4"/>
              <w:left w:val="single" w:color="000000" w:sz="4"/>
              <w:bottom w:val="single" w:color="000000" w:sz="4"/>
              <w:right w:val="single" w:color="000000" w:sz="4"/>
            </w:tcBorders>
            <w:shd w:color="000000" w:fill="f2f2f2"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Uninformative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is_fraud has no variance, so the test cannot detect an association</w:t>
            </w:r>
          </w:p>
        </w:tc>
      </w:tr>
    </w:tbl>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None of the testable comparisons reached statistical significance at the conventional alpha = 0.05 threshold. In practical terms: the amount lost does not differ significantly between Vishing and Phishing cases, nor across the five UPI apps studied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differences observed in earlier bar charts are driven by case volume, not by systematically larger or smaller amounts per case on any one app or scam type. The two tests involving is_fraud (t-test and Chi-square) are structurally uninformative here because the outcome variable never varies in this dataset; both would require a matched sample of legitimate transactions to be meaningful.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13. Key Insights Summary</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dataset is a fraud case log, not a fraud/non-fraud sample. is_fraud = 1 for all 1,000 records, so every result here characterises confirmed fraud cases rather than distinguishing fraud from genuine activity.</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Losses are small for most victims but occasionally severe. Median loss is Rs. 5,300; mean is Rs. 15,911; 12% of cases (IQR rule) are high-value outliers reaching up to Rs. 4.95 lakh.</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engineering dominates. Phishing and Vishing alone account for 41% of all cases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far more common than technical exploits like Remote Access Scams or Money Mule schemes.</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Fraud clusters in business hours, not at night. Cases peak between 10 AM and 2 PM and are comparatively rare between midnight and 6 AM, consistent with live-contact scams needing an alert victim.</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Day-of-week has little effect; fraud volume is fairly stable (127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156 cases) across all seven days.</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Karnataka, Telangana, Uttar Pradesh and Maharashtra report the most cases, driven primarily by Phishing and Vishing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largely tracking these states' large digital-payment user bases.</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PhonePe and Google Pay account for 86% of cases and Android for ~69%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proportional to their market dominance rather than evidence of weaker security on any one platform.</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Victims aged 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 are most represented (52% of cases combined), the demographic most active on UPI for daily transactions.</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delay is the single biggest actionable gap: about 69% of victims report more than an hour after the fraud, and 31% take a full day or (rarely) a week or more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well past the window for fast bank intervention.</w:t>
      </w:r>
    </w:p>
    <w:p>
      <w:pPr>
        <w:numPr>
          <w:ilvl w:val="0"/>
          <w:numId w:val="240"/>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Amount does not vary significantly by scam type (Vishing vs Phishing) or by UPI app (ANOVA), indicating scam value is driven by opportunity/target selection rather than being intrinsic to a method or app.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14. Recommendations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banks, UPI apps, and NPCI:</w:t>
      </w:r>
    </w:p>
    <w:p>
      <w:pPr>
        <w:numPr>
          <w:ilvl w:val="0"/>
          <w:numId w:val="244"/>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Prioritise real-time transaction alerts with a one-tap "report now" action inside the app itself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reducing the reporting-delay gap identified in Section 11 is the highest-leverage intervention available.</w:t>
      </w:r>
    </w:p>
    <w:p>
      <w:pPr>
        <w:numPr>
          <w:ilvl w:val="0"/>
          <w:numId w:val="244"/>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heightened scrutiny to high-value transactions during 10 AM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PM, the observed peak window for phishing/vishing-style fraud, e.g. soft step-up verification for large transfers in this window.</w:t>
      </w:r>
    </w:p>
    <w:p>
      <w:pPr>
        <w:numPr>
          <w:ilvl w:val="0"/>
          <w:numId w:val="244"/>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amount and platform showed no statistically significant relationship, avoid platform-specific fraud rules based on amount alone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focus instead on behavioural and contact-pattern signals (e.g. an unsolicited call or message immediately preceding a transaction).</w:t>
      </w:r>
    </w:p>
    <w:p>
      <w:pPr>
        <w:numPr>
          <w:ilvl w:val="0"/>
          <w:numId w:val="244"/>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 targeted user-education campaigns on Phishing and Vishing recognition specifically, since these two vectors drive ~41% of cases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general "UPI safety" messaging is likely to under-address the actual dominant threats.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regulators and consumer-protection bodies:</w:t>
      </w:r>
    </w:p>
    <w:p>
      <w:pPr>
        <w:numPr>
          <w:ilvl w:val="0"/>
          <w:numId w:val="24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awareness campaigns concentrated in high-incidence states (Karnataka, Telangana, Uttar Pradesh, Maharashtra) and among the 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 age group, who are most exposed in absolute terms.</w:t>
      </w:r>
    </w:p>
    <w:p>
      <w:pPr>
        <w:numPr>
          <w:ilvl w:val="0"/>
          <w:numId w:val="24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Simplify and publicise the fraud-reporting process so the &lt;1-hour reporting share (currently ~15%) rises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every hour of delay reduces the probability of fund recovery.</w:t>
      </w:r>
    </w:p>
    <w:p>
      <w:pPr>
        <w:numPr>
          <w:ilvl w:val="0"/>
          <w:numId w:val="246"/>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Mandate standardised fraud-type tagging (as used in this dataset) across banks/apps to enable ongoing, comparable national tracking of fraud typology trends.</w:t>
      </w:r>
    </w:p>
    <w:p>
      <w:pPr>
        <w:spacing w:before="300" w:after="15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B8C"/>
          <w:spacing w:val="0"/>
          <w:position w:val="0"/>
          <w:sz w:val="26"/>
          <w:shd w:fill="auto" w:val="clear"/>
        </w:rPr>
        <w:t xml:space="preserve">For future analysis:</w:t>
      </w:r>
    </w:p>
    <w:p>
      <w:pPr>
        <w:numPr>
          <w:ilvl w:val="0"/>
          <w:numId w:val="248"/>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Pair this fraud case log with a sample of legitimate transactions to compute true fraud rates by app, device, and user-tenure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single biggest gap preventing rate-based (rather than count-based) conclusions.</w:t>
      </w:r>
    </w:p>
    <w:p>
      <w:pPr>
        <w:numPr>
          <w:ilvl w:val="0"/>
          <w:numId w:val="248"/>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repeat-offender / recipient-side identifier to test whether a small number of receiving accounts concentrate a disproportionate share of fraud proceeds (money-mule network detection).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15. Limitations</w:t>
      </w:r>
    </w:p>
    <w:p>
      <w:pPr>
        <w:numPr>
          <w:ilvl w:val="0"/>
          <w:numId w:val="251"/>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non-fraud comparison group. Because is_fraud = 1 throughout, this analysis can describe the fraud population but cannot compute fraud rates (e.g. % of transactions on an app that are fraudulent) or run a meaningful classifier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several intended statistical tests (t-test and Chi-square against is_fraud) were consequently uninformative.</w:t>
      </w:r>
    </w:p>
    <w:p>
      <w:pPr>
        <w:numPr>
          <w:ilvl w:val="0"/>
          <w:numId w:val="251"/>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size (n = 1,000) limits statistical power for sub-group comparisons (e.g. state × fraud-type cells with single-digit counts in the heatmap).</w:t>
      </w:r>
    </w:p>
    <w:p>
      <w:pPr>
        <w:numPr>
          <w:ilvl w:val="0"/>
          <w:numId w:val="251"/>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and app-level counts are not normalised by population, UPI penetration, or transaction volume, so higher counts partly reflect larger user bases rather than higher per-user risk.</w:t>
      </w:r>
    </w:p>
    <w:p>
      <w:pPr>
        <w:numPr>
          <w:ilvl w:val="0"/>
          <w:numId w:val="251"/>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Self-reported categorical fields (fraud_type, report_delay) depend on how the case was logged and may carry classification inconsistencies.</w:t>
      </w:r>
    </w:p>
    <w:p>
      <w:pPr>
        <w:numPr>
          <w:ilvl w:val="0"/>
          <w:numId w:val="251"/>
        </w:numPr>
        <w:spacing w:before="0" w:after="120" w:line="28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Single point-in-time snapshot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data does not indicate the period covered, so seasonal or year-over-year trends cannot be assessed.</w:t>
      </w:r>
    </w:p>
    <w:p>
      <w:pPr>
        <w:spacing w:before="400" w:after="20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B3A5C"/>
          <w:spacing w:val="0"/>
          <w:position w:val="0"/>
          <w:sz w:val="32"/>
          <w:shd w:fill="auto" w:val="clear"/>
        </w:rPr>
        <w:t xml:space="preserve">16. Conclusion</w:t>
      </w:r>
    </w:p>
    <w:p>
      <w:pPr>
        <w:spacing w:before="0" w:after="20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analysis of 10,000 reported UPI fraud cases in India shows a fraud landscape dominated by social engineering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Phishing and Vishing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concentrated in business hours and among digitally active 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45-year-old users in India's larger digital-economy states. Financial exposure is right-skewed: most victims lose modest sums, but a consistent ~12% of cases involve much larger losses that warrant separate handling. Statistically, loss amounts do not differ significantly by scam type or by payment app, suggesting the observed differences in raw counts largely track usage volume rather than differential risk. The most striking and actionable finding is behavioural rather than technical: the majority of victims report fraud well after the window in which recovery is most likely, making faster, simpler reporting pathways the single highest-impact lever available to reduce the real-world harm of UPI fraud.</w:t>
      </w:r>
    </w:p>
    <w:p>
      <w:pPr>
        <w:spacing w:before="0" w:after="200" w:line="300"/>
        <w:ind w:right="0" w:left="0" w:firstLine="0"/>
        <w:jc w:val="left"/>
        <w:rPr>
          <w:rFonts w:ascii="Calibri" w:hAnsi="Calibri" w:cs="Calibri" w:eastAsia="Calibri"/>
          <w:color w:val="auto"/>
          <w:spacing w:val="0"/>
          <w:position w:val="0"/>
          <w:sz w:val="22"/>
          <w:shd w:fill="auto" w:val="clear"/>
        </w:rPr>
      </w:pPr>
    </w:p>
    <w:p>
      <w:pPr>
        <w:spacing w:before="4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i/>
          <w:color w:val="1B3A5C"/>
          <w:spacing w:val="0"/>
          <w:position w:val="0"/>
          <w:sz w:val="22"/>
          <w:shd w:fill="auto" w:val="clear"/>
        </w:rPr>
        <w:t xml:space="preserve">—</w:t>
      </w:r>
      <w:r>
        <w:rPr>
          <w:rFonts w:ascii="Calibri" w:hAnsi="Calibri" w:cs="Calibri" w:eastAsia="Calibri"/>
          <w:b/>
          <w:i/>
          <w:color w:val="1B3A5C"/>
          <w:spacing w:val="0"/>
          <w:position w:val="0"/>
          <w:sz w:val="22"/>
          <w:shd w:fill="auto" w:val="clear"/>
        </w:rPr>
        <w:t xml:space="preserve"> End of report </w:t>
      </w:r>
      <w:r>
        <w:rPr>
          <w:rFonts w:ascii="Calibri" w:hAnsi="Calibri" w:cs="Calibri" w:eastAsia="Calibri"/>
          <w:b/>
          <w:i/>
          <w:color w:val="1B3A5C"/>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97">
    <w:abstractNumId w:val="30"/>
  </w:num>
  <w:num w:numId="240">
    <w:abstractNumId w:val="24"/>
  </w:num>
  <w:num w:numId="244">
    <w:abstractNumId w:val="18"/>
  </w:num>
  <w:num w:numId="246">
    <w:abstractNumId w:val="12"/>
  </w:num>
  <w:num w:numId="248">
    <w:abstractNumId w:val="6"/>
  </w:num>
  <w:num w:numId="2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numbering.xml" Id="docRId30"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styles.xml" Id="docRId31"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2.bin" Id="docRId4" Type="http://schemas.openxmlformats.org/officeDocument/2006/relationships/oleObject" /></Relationships>
</file>