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rFonts w:ascii="Times New Roman" w:hAnsi="Times New Roman" w:eastAsia="Times New Roman"/>
          <w:b/>
          <w:color w:val="1F2B38"/>
          <w:sz w:val="40"/>
        </w:rPr>
        <w:t>ACCURACY VERSUS SUSTAINABILITY</w:t>
      </w:r>
    </w:p>
    <w:p>
      <w:pPr>
        <w:jc w:val="center"/>
      </w:pPr>
      <w:r>
        <w:rPr>
          <w:rFonts w:ascii="Times New Roman" w:hAnsi="Times New Roman" w:eastAsia="Times New Roman"/>
          <w:b/>
          <w:color w:val="1F2B38"/>
          <w:sz w:val="30"/>
        </w:rPr>
        <w:t>A Carbon-Aware Comparison of Machine Learning Models for German Power-System Load Risk</w:t>
      </w:r>
    </w:p>
    <w:p>
      <w:pPr>
        <w:spacing w:after="120" w:line="252" w:lineRule="auto"/>
      </w:pPr>
    </w:p>
    <w:p>
      <w:pPr>
        <w:jc w:val="center"/>
      </w:pPr>
      <w:r>
        <w:rPr>
          <w:rFonts w:ascii="Times New Roman" w:hAnsi="Times New Roman" w:eastAsia="Times New Roman"/>
          <w:i/>
          <w:color w:val="3C4650"/>
          <w:sz w:val="24"/>
        </w:rPr>
        <w:t>IEEE Power &amp; Energy Society style technical report</w:t>
      </w:r>
    </w:p>
    <w:p>
      <w:pPr>
        <w:jc w:val="center"/>
      </w:pPr>
      <w:r>
        <w:rPr>
          <w:rFonts w:ascii="Times New Roman" w:hAnsi="Times New Roman" w:eastAsia="Times New Roman"/>
          <w:sz w:val="23"/>
        </w:rPr>
        <w:t>Prepared for PS26 - Interdisciplinary Elective: AI, Power &amp; Responsibility</w:t>
      </w:r>
    </w:p>
    <w:p>
      <w:pPr>
        <w:jc w:val="center"/>
      </w:pPr>
      <w:r>
        <w:rPr>
          <w:rFonts w:ascii="Times New Roman" w:hAnsi="Times New Roman" w:eastAsia="Times New Roman"/>
          <w:sz w:val="21"/>
        </w:rPr>
        <w:t>Prepared by: PS26 Project Team | Date: 03 May 2026</w:t>
      </w:r>
    </w:p>
    <w:p>
      <w:pPr>
        <w:spacing w:after="120" w:line="252" w:lineRule="auto"/>
      </w:pPr>
    </w:p>
    <w:p>
      <w:pPr>
        <w:jc w:val="center"/>
      </w:pPr>
      <w:r>
        <w:drawing>
          <wp:inline xmlns:a="http://schemas.openxmlformats.org/drawingml/2006/main" xmlns:pic="http://schemas.openxmlformats.org/drawingml/2006/picture">
            <wp:extent cx="6035040" cy="2617387"/>
            <wp:docPr id="1" name="Picture 1" title="Fig" descr="Fig. 1. Structured AI workflow for carbon-aware sustainability auditing."/>
            <wp:cNvGraphicFramePr>
              <a:graphicFrameLocks noChangeAspect="1"/>
            </wp:cNvGraphicFramePr>
            <a:graphic>
              <a:graphicData uri="http://schemas.openxmlformats.org/drawingml/2006/picture">
                <pic:pic>
                  <pic:nvPicPr>
                    <pic:cNvPr id="0" name="workflow_structured_ai_esg_style.png"/>
                    <pic:cNvPicPr/>
                  </pic:nvPicPr>
                  <pic:blipFill>
                    <a:blip r:embed="rId16"/>
                    <a:stretch>
                      <a:fillRect/>
                    </a:stretch>
                  </pic:blipFill>
                  <pic:spPr>
                    <a:xfrm>
                      <a:off x="0" y="0"/>
                      <a:ext cx="6035040" cy="2617387"/>
                    </a:xfrm>
                    <a:prstGeom prst="rect"/>
                  </pic:spPr>
                </pic:pic>
              </a:graphicData>
            </a:graphic>
          </wp:inline>
        </w:drawing>
      </w:r>
    </w:p>
    <w:p>
      <w:pPr>
        <w:spacing w:before="100" w:after="100"/>
        <w:jc w:val="center"/>
      </w:pPr>
      <w:r>
        <w:rPr>
          <w:rFonts w:ascii="Times New Roman" w:hAnsi="Times New Roman" w:eastAsia="Times New Roman"/>
          <w:b/>
          <w:sz w:val="18"/>
        </w:rPr>
        <w:t>Fig. 1. Structured AI workflow for carbon-aware sustainability auditing.</w:t>
      </w:r>
    </w:p>
    <w:p>
      <w:r>
        <w:br w:type="page"/>
      </w:r>
    </w:p>
    <w:p>
      <w:pPr>
        <w:pStyle w:val="Heading1"/>
        <w:spacing w:before="200" w:after="80"/>
      </w:pPr>
      <w:r>
        <w:rPr>
          <w:rFonts w:ascii="Times New Roman" w:hAnsi="Times New Roman" w:eastAsia="Times New Roman"/>
          <w:b/>
          <w:color w:val="1F2B38"/>
          <w:sz w:val="26"/>
        </w:rPr>
        <w:t>ACKNOWLEDGMENTS</w:t>
      </w:r>
    </w:p>
    <w:p>
      <w:pPr>
        <w:spacing w:after="120" w:line="252" w:lineRule="auto"/>
      </w:pPr>
      <w:r>
        <w:rPr>
          <w:rFonts w:ascii="Times New Roman" w:hAnsi="Times New Roman" w:eastAsia="Times New Roman"/>
          <w:sz w:val="21"/>
        </w:rPr>
        <w:t>This report uses the Open Power System Data time-series package and the IEEE PES technical report template supplied with the course prompt. The analysis was generated as a reproducible research package with raw data, processed data, notebooks, publication figures, CSV tables, reusable vector icons, and editable poster assets.</w:t>
      </w:r>
    </w:p>
    <w:p>
      <w:pPr>
        <w:pStyle w:val="Heading1"/>
        <w:spacing w:before="200" w:after="80"/>
      </w:pPr>
      <w:r>
        <w:rPr>
          <w:rFonts w:ascii="Times New Roman" w:hAnsi="Times New Roman" w:eastAsia="Times New Roman"/>
          <w:b/>
          <w:color w:val="1F2B38"/>
          <w:sz w:val="26"/>
        </w:rPr>
        <w:t>KEYWORDS</w:t>
      </w:r>
    </w:p>
    <w:p>
      <w:pPr>
        <w:spacing w:after="120" w:line="252" w:lineRule="auto"/>
      </w:pPr>
      <w:r>
        <w:rPr>
          <w:rFonts w:ascii="Times New Roman" w:hAnsi="Times New Roman" w:eastAsia="Times New Roman"/>
          <w:sz w:val="21"/>
        </w:rPr>
        <w:t>carbon-aware machine learning; Germany; high-load prediction; IEEE PES; model selection; power systems; renewable generation; responsible AI; sustainability; technical reports</w:t>
      </w:r>
    </w:p>
    <w:p>
      <w:pPr>
        <w:pStyle w:val="Heading1"/>
        <w:spacing w:before="200" w:after="80"/>
      </w:pPr>
      <w:r>
        <w:rPr>
          <w:rFonts w:ascii="Times New Roman" w:hAnsi="Times New Roman" w:eastAsia="Times New Roman"/>
          <w:b/>
          <w:color w:val="1F2B38"/>
          <w:sz w:val="26"/>
        </w:rPr>
        <w:t>CONTENTS</w:t>
      </w:r>
    </w:p>
    <w:p>
      <w:pPr>
        <w:spacing w:after="120" w:line="252" w:lineRule="auto"/>
      </w:pPr>
      <w:r>
        <w:rPr>
          <w:rFonts w:ascii="Times New Roman" w:hAnsi="Times New Roman" w:eastAsia="Times New Roman"/>
          <w:sz w:val="21"/>
        </w:rPr>
        <w:t>Executive Summary</w:t>
      </w:r>
    </w:p>
    <w:p>
      <w:pPr>
        <w:spacing w:after="120" w:line="252" w:lineRule="auto"/>
      </w:pPr>
      <w:r>
        <w:rPr>
          <w:rFonts w:ascii="Times New Roman" w:hAnsi="Times New Roman" w:eastAsia="Times New Roman"/>
          <w:sz w:val="21"/>
        </w:rPr>
        <w:t>1. Introduction</w:t>
      </w:r>
    </w:p>
    <w:p>
      <w:pPr>
        <w:spacing w:after="120" w:line="252" w:lineRule="auto"/>
      </w:pPr>
      <w:r>
        <w:rPr>
          <w:rFonts w:ascii="Times New Roman" w:hAnsi="Times New Roman" w:eastAsia="Times New Roman"/>
          <w:sz w:val="21"/>
        </w:rPr>
        <w:t>2. Dataset, Research Questions, and Scope</w:t>
      </w:r>
    </w:p>
    <w:p>
      <w:pPr>
        <w:spacing w:after="120" w:line="252" w:lineRule="auto"/>
      </w:pPr>
      <w:r>
        <w:rPr>
          <w:rFonts w:ascii="Times New Roman" w:hAnsi="Times New Roman" w:eastAsia="Times New Roman"/>
          <w:sz w:val="21"/>
        </w:rPr>
        <w:t>3. Methodology</w:t>
      </w:r>
    </w:p>
    <w:p>
      <w:pPr>
        <w:spacing w:after="120" w:line="252" w:lineRule="auto"/>
      </w:pPr>
      <w:r>
        <w:rPr>
          <w:rFonts w:ascii="Times New Roman" w:hAnsi="Times New Roman" w:eastAsia="Times New Roman"/>
          <w:sz w:val="21"/>
        </w:rPr>
        <w:t>4. Results</w:t>
      </w:r>
    </w:p>
    <w:p>
      <w:pPr>
        <w:spacing w:after="120" w:line="252" w:lineRule="auto"/>
      </w:pPr>
      <w:r>
        <w:rPr>
          <w:rFonts w:ascii="Times New Roman" w:hAnsi="Times New Roman" w:eastAsia="Times New Roman"/>
          <w:sz w:val="21"/>
        </w:rPr>
        <w:t>5. Responsible AI and Power-System Governance Implications</w:t>
      </w:r>
    </w:p>
    <w:p>
      <w:pPr>
        <w:spacing w:after="120" w:line="252" w:lineRule="auto"/>
      </w:pPr>
      <w:r>
        <w:rPr>
          <w:rFonts w:ascii="Times New Roman" w:hAnsi="Times New Roman" w:eastAsia="Times New Roman"/>
          <w:sz w:val="21"/>
        </w:rPr>
        <w:t>6. Limitations</w:t>
      </w:r>
    </w:p>
    <w:p>
      <w:pPr>
        <w:spacing w:after="120" w:line="252" w:lineRule="auto"/>
      </w:pPr>
      <w:r>
        <w:rPr>
          <w:rFonts w:ascii="Times New Roman" w:hAnsi="Times New Roman" w:eastAsia="Times New Roman"/>
          <w:sz w:val="21"/>
        </w:rPr>
        <w:t>7. Conclusions and Recommendations</w:t>
      </w:r>
    </w:p>
    <w:p>
      <w:pPr>
        <w:spacing w:after="120" w:line="252" w:lineRule="auto"/>
      </w:pPr>
      <w:r>
        <w:rPr>
          <w:rFonts w:ascii="Times New Roman" w:hAnsi="Times New Roman" w:eastAsia="Times New Roman"/>
          <w:sz w:val="21"/>
        </w:rPr>
        <w:t>Appendix A. Reproducibility Package</w:t>
      </w:r>
    </w:p>
    <w:p>
      <w:pPr>
        <w:spacing w:after="120" w:line="252" w:lineRule="auto"/>
      </w:pPr>
      <w:r>
        <w:rPr>
          <w:rFonts w:ascii="Times New Roman" w:hAnsi="Times New Roman" w:eastAsia="Times New Roman"/>
          <w:sz w:val="21"/>
        </w:rPr>
        <w:t>References</w:t>
      </w:r>
    </w:p>
    <w:p>
      <w:r>
        <w:br w:type="page"/>
      </w:r>
    </w:p>
    <w:p>
      <w:pPr>
        <w:pStyle w:val="Heading1"/>
        <w:spacing w:before="200" w:after="80"/>
      </w:pPr>
      <w:r>
        <w:rPr>
          <w:rFonts w:ascii="Times New Roman" w:hAnsi="Times New Roman" w:eastAsia="Times New Roman"/>
          <w:b/>
          <w:color w:val="1F2B38"/>
          <w:sz w:val="26"/>
        </w:rPr>
        <w:t>EXECUTIVE SUMMARY</w:t>
      </w:r>
    </w:p>
    <w:p>
      <w:pPr>
        <w:spacing w:after="120" w:line="252" w:lineRule="auto"/>
      </w:pPr>
      <w:r>
        <w:rPr>
          <w:rFonts w:ascii="Times New Roman" w:hAnsi="Times New Roman" w:eastAsia="Times New Roman"/>
          <w:sz w:val="21"/>
        </w:rPr>
        <w:t>This technical report evaluates carbon-aware machine-learning model selection for Germany-aligned power-system analytics. The empirical task is next-day high-load-event classification: given hourly operational signals at time t, predict whether German load at t+24 hours is in the highest quintile of observed demand. The final processed dataset contains 50,209 hourly observations and 29 engineered features spanning calendar cycles, load history, wind and solar generation, residual-load proxies, TSO-zone state, and day-ahead load forecasts.</w:t>
      </w:r>
    </w:p>
    <w:p>
      <w:pPr>
        <w:spacing w:after="120" w:line="252" w:lineRule="auto"/>
      </w:pPr>
      <w:r>
        <w:rPr>
          <w:rFonts w:ascii="Times New Roman" w:hAnsi="Times New Roman" w:eastAsia="Times New Roman"/>
          <w:sz w:val="21"/>
        </w:rPr>
        <w:t>The best overall predictive model in the generated experiment is Histogram Gradient Boosting, with F1 = 0.897, ROC-AUC = 0.993, and an estimated training carbon proxy of 5.69 mg CO2e. The lowest-compute baseline is Logistic Regression, with a much smaller carbon proxy (0.23 mg CO2e) but lower F1 (0.728). A carbon-aware training-window simulation indicates that scheduling the selected model into the lowest residual-load decile reduces the training carbon proxy by 31.9% relative to random-hour scheduling.</w:t>
      </w:r>
    </w:p>
    <w:p>
      <w:pPr>
        <w:spacing w:after="120" w:line="252" w:lineRule="auto"/>
      </w:pPr>
      <w:r>
        <w:rPr>
          <w:rFonts w:ascii="Times New Roman" w:hAnsi="Times New Roman" w:eastAsia="Times New Roman"/>
          <w:sz w:val="21"/>
        </w:rPr>
        <w:t>The central conclusion is not that a single model is universally best. Rather, responsible model selection should be Pareto-based: select the simplest model whose marginal improvement justifies its marginal computational, carbon, and auditability costs. For this course-scale study, histogram gradient boosting is the strongest recommendation for balanced accuracy and sustainability; linear SVM or logistic regression remain defensible for ultra-low-compute monitoring contexts.</w:t>
      </w:r>
    </w:p>
    <w:p>
      <w:pPr>
        <w:pStyle w:val="Heading1"/>
        <w:spacing w:before="200" w:after="80"/>
      </w:pPr>
      <w:r>
        <w:rPr>
          <w:rFonts w:ascii="Times New Roman" w:hAnsi="Times New Roman" w:eastAsia="Times New Roman"/>
          <w:b/>
          <w:color w:val="1F2B38"/>
          <w:sz w:val="26"/>
        </w:rPr>
        <w:t>1. INTRODUCTION</w:t>
      </w:r>
    </w:p>
    <w:p>
      <w:pPr>
        <w:spacing w:after="120" w:line="252" w:lineRule="auto"/>
      </w:pPr>
      <w:r>
        <w:rPr>
          <w:rFonts w:ascii="Times New Roman" w:hAnsi="Times New Roman" w:eastAsia="Times New Roman"/>
          <w:sz w:val="21"/>
        </w:rPr>
        <w:t>Machine-learning systems increasingly mediate decisions in energy operations, forecasting, asset management, and grid planning. In the power sector, predictive accuracy is important, but model choice also consumes computation, imposes maintenance burdens, and can conflict with sustainability goals. This makes power-system machine learning a natural test case for the PS26 theme: AI, power, and responsibility.</w:t>
      </w:r>
    </w:p>
    <w:p>
      <w:pPr>
        <w:spacing w:after="120" w:line="252" w:lineRule="auto"/>
      </w:pPr>
      <w:r>
        <w:rPr>
          <w:rFonts w:ascii="Times New Roman" w:hAnsi="Times New Roman" w:eastAsia="Times New Roman"/>
          <w:sz w:val="21"/>
        </w:rPr>
        <w:t>IEEE PES technical reports and white papers are designed for deeper treatment than short conference papers. The IEEE PES technical report page describes these reports as vehicles for state-of-technical-research synthesis, background for possible future standards or guides, emerging-technology analysis, surveys, strategic roadmaps, and technical or policy positions. Recent PES Resource Center examples follow a committee-report pattern: a clear scope, long-form technical context, methodology, evidence, gaps, and recommendations.</w:t>
      </w:r>
    </w:p>
    <w:p>
      <w:pPr>
        <w:spacing w:after="120" w:line="252" w:lineRule="auto"/>
      </w:pPr>
      <w:r>
        <w:rPr>
          <w:rFonts w:ascii="Times New Roman" w:hAnsi="Times New Roman" w:eastAsia="Times New Roman"/>
          <w:sz w:val="21"/>
        </w:rPr>
        <w:t>This report adapts that pattern to a course-scale empirical project. It provides an end-to-end reproducible workflow, not merely a narrative summary: each research question has an executable notebook, one CSV result table, and one publication-ready PDF figure.</w:t>
      </w:r>
    </w:p>
    <w:p>
      <w:pPr>
        <w:pStyle w:val="Heading1"/>
        <w:spacing w:before="200" w:after="80"/>
      </w:pPr>
      <w:r>
        <w:rPr>
          <w:rFonts w:ascii="Times New Roman" w:hAnsi="Times New Roman" w:eastAsia="Times New Roman"/>
          <w:b/>
          <w:color w:val="1F2B38"/>
          <w:sz w:val="26"/>
        </w:rPr>
        <w:t>2. DATASET, RESEARCH QUESTIONS, AND SCOPE</w:t>
      </w:r>
    </w:p>
    <w:p>
      <w:pPr>
        <w:pStyle w:val="Heading2"/>
        <w:spacing w:before="120" w:after="80"/>
      </w:pPr>
      <w:r>
        <w:rPr>
          <w:rFonts w:ascii="Times New Roman" w:hAnsi="Times New Roman" w:eastAsia="Times New Roman"/>
          <w:b/>
          <w:color w:val="1F2B38"/>
          <w:sz w:val="23"/>
        </w:rPr>
        <w:t>2.1 Dataset Selection</w:t>
      </w:r>
    </w:p>
    <w:p>
      <w:pPr>
        <w:spacing w:after="120" w:line="252" w:lineRule="auto"/>
      </w:pPr>
      <w:r>
        <w:rPr>
          <w:rFonts w:ascii="Times New Roman" w:hAnsi="Times New Roman" w:eastAsia="Times New Roman"/>
          <w:sz w:val="21"/>
        </w:rPr>
        <w:t>The selected public dataset is the Open Power System Data time-series package, version 2020-10-06. The package provides load, wind and solar generation, and prices in hourly resolution, aggregated by country, control area, or bidding zone. For Germany, the field documentation includes national load, day-ahead load forecast, solar generation, wind generation, and TSO control-area load variables. This directly matches the project topic and avoids using a generic benchmark detached from German power-system conditions.</w:t>
      </w:r>
    </w:p>
    <w:p>
      <w:pPr>
        <w:spacing w:before="100" w:after="100"/>
        <w:jc w:val="center"/>
      </w:pPr>
      <w:r>
        <w:rPr>
          <w:rFonts w:ascii="Times New Roman" w:hAnsi="Times New Roman" w:eastAsia="Times New Roman"/>
          <w:b/>
          <w:sz w:val="19"/>
        </w:rPr>
        <w:t>TABLE 1. Dataset and target definition.</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DCEAF7"/>
            <w:vAlign w:val="center"/>
          </w:tcPr>
          <w:p>
            <w:pPr>
              <w:jc w:val="center"/>
            </w:pPr>
            <w:r/>
            <w:r>
              <w:rPr>
                <w:rFonts w:ascii="Times New Roman" w:hAnsi="Times New Roman" w:eastAsia="Times New Roman"/>
                <w:b/>
                <w:color w:val="141E28"/>
                <w:sz w:val="16"/>
              </w:rPr>
              <w:t>Item</w:t>
            </w:r>
          </w:p>
        </w:tc>
        <w:tc>
          <w:tcPr>
            <w:tcW w:type="dxa" w:w="3389"/>
            <w:shd w:fill="DCEAF7"/>
            <w:vAlign w:val="center"/>
          </w:tcPr>
          <w:p>
            <w:pPr>
              <w:jc w:val="center"/>
            </w:pPr>
            <w:r/>
            <w:r>
              <w:rPr>
                <w:rFonts w:ascii="Times New Roman" w:hAnsi="Times New Roman" w:eastAsia="Times New Roman"/>
                <w:b/>
                <w:color w:val="141E28"/>
                <w:sz w:val="16"/>
              </w:rPr>
              <w:t>Value</w:t>
            </w:r>
          </w:p>
        </w:tc>
        <w:tc>
          <w:tcPr>
            <w:tcW w:type="dxa" w:w="3389"/>
            <w:shd w:fill="DCEAF7"/>
            <w:vAlign w:val="center"/>
          </w:tcPr>
          <w:p>
            <w:pPr>
              <w:jc w:val="center"/>
            </w:pPr>
            <w:r/>
            <w:r>
              <w:rPr>
                <w:rFonts w:ascii="Times New Roman" w:hAnsi="Times New Roman" w:eastAsia="Times New Roman"/>
                <w:b/>
                <w:color w:val="141E28"/>
                <w:sz w:val="16"/>
              </w:rPr>
              <w:t>Detail</w:t>
            </w:r>
          </w:p>
        </w:tc>
      </w:tr>
      <w:tr>
        <w:tc>
          <w:tcPr>
            <w:tcW w:type="dxa" w:w="3389"/>
            <w:vAlign w:val="center"/>
          </w:tcPr>
          <w:p>
            <w:pPr>
              <w:jc w:val="left"/>
            </w:pPr>
            <w:r/>
            <w:r>
              <w:rPr>
                <w:rFonts w:ascii="Times New Roman" w:hAnsi="Times New Roman" w:eastAsia="Times New Roman"/>
                <w:b w:val="0"/>
                <w:color w:val="141E28"/>
                <w:sz w:val="15"/>
              </w:rPr>
              <w:t>Raw file</w:t>
            </w:r>
          </w:p>
        </w:tc>
        <w:tc>
          <w:tcPr>
            <w:tcW w:type="dxa" w:w="3389"/>
            <w:vAlign w:val="center"/>
          </w:tcPr>
          <w:p>
            <w:pPr>
              <w:jc w:val="center"/>
            </w:pPr>
            <w:r/>
            <w:r>
              <w:rPr>
                <w:rFonts w:ascii="Times New Roman" w:hAnsi="Times New Roman" w:eastAsia="Times New Roman"/>
                <w:b w:val="0"/>
                <w:color w:val="141E28"/>
                <w:sz w:val="15"/>
              </w:rPr>
              <w:t>data.csv</w:t>
            </w:r>
          </w:p>
        </w:tc>
        <w:tc>
          <w:tcPr>
            <w:tcW w:type="dxa" w:w="3389"/>
            <w:vAlign w:val="center"/>
          </w:tcPr>
          <w:p>
            <w:pPr>
              <w:jc w:val="center"/>
            </w:pPr>
            <w:r/>
            <w:r>
              <w:rPr>
                <w:rFonts w:ascii="Times New Roman" w:hAnsi="Times New Roman" w:eastAsia="Times New Roman"/>
                <w:b w:val="0"/>
                <w:color w:val="141E28"/>
                <w:sz w:val="15"/>
              </w:rPr>
              <w:t>OPSD 60-minute single-index CSV</w:t>
            </w:r>
          </w:p>
        </w:tc>
      </w:tr>
      <w:tr>
        <w:tc>
          <w:tcPr>
            <w:tcW w:type="dxa" w:w="3389"/>
            <w:vAlign w:val="center"/>
          </w:tcPr>
          <w:p>
            <w:pPr>
              <w:jc w:val="left"/>
            </w:pPr>
            <w:r/>
            <w:r>
              <w:rPr>
                <w:rFonts w:ascii="Times New Roman" w:hAnsi="Times New Roman" w:eastAsia="Times New Roman"/>
                <w:b w:val="0"/>
                <w:color w:val="141E28"/>
                <w:sz w:val="15"/>
              </w:rPr>
              <w:t>Processed file</w:t>
            </w:r>
          </w:p>
        </w:tc>
        <w:tc>
          <w:tcPr>
            <w:tcW w:type="dxa" w:w="3389"/>
            <w:vAlign w:val="center"/>
          </w:tcPr>
          <w:p>
            <w:pPr>
              <w:jc w:val="center"/>
            </w:pPr>
            <w:r/>
            <w:r>
              <w:rPr>
                <w:rFonts w:ascii="Times New Roman" w:hAnsi="Times New Roman" w:eastAsia="Times New Roman"/>
                <w:b w:val="0"/>
                <w:color w:val="141E28"/>
                <w:sz w:val="15"/>
              </w:rPr>
              <w:t>preprocessed_content.csv</w:t>
            </w:r>
          </w:p>
        </w:tc>
        <w:tc>
          <w:tcPr>
            <w:tcW w:type="dxa" w:w="3389"/>
            <w:vAlign w:val="center"/>
          </w:tcPr>
          <w:p>
            <w:pPr>
              <w:jc w:val="center"/>
            </w:pPr>
            <w:r/>
            <w:r>
              <w:rPr>
                <w:rFonts w:ascii="Times New Roman" w:hAnsi="Times New Roman" w:eastAsia="Times New Roman"/>
                <w:b w:val="0"/>
                <w:color w:val="141E28"/>
                <w:sz w:val="15"/>
              </w:rPr>
              <w:t>Germany-specific engineered ML table</w:t>
            </w:r>
          </w:p>
        </w:tc>
      </w:tr>
      <w:tr>
        <w:tc>
          <w:tcPr>
            <w:tcW w:type="dxa" w:w="3389"/>
            <w:vAlign w:val="center"/>
          </w:tcPr>
          <w:p>
            <w:pPr>
              <w:jc w:val="left"/>
            </w:pPr>
            <w:r/>
            <w:r>
              <w:rPr>
                <w:rFonts w:ascii="Times New Roman" w:hAnsi="Times New Roman" w:eastAsia="Times New Roman"/>
                <w:b w:val="0"/>
                <w:color w:val="141E28"/>
                <w:sz w:val="15"/>
              </w:rPr>
              <w:t>Date range</w:t>
            </w:r>
          </w:p>
        </w:tc>
        <w:tc>
          <w:tcPr>
            <w:tcW w:type="dxa" w:w="3389"/>
            <w:vAlign w:val="center"/>
          </w:tcPr>
          <w:p>
            <w:pPr>
              <w:jc w:val="center"/>
            </w:pPr>
            <w:r/>
            <w:r>
              <w:rPr>
                <w:rFonts w:ascii="Times New Roman" w:hAnsi="Times New Roman" w:eastAsia="Times New Roman"/>
                <w:b w:val="0"/>
                <w:color w:val="141E28"/>
                <w:sz w:val="15"/>
              </w:rPr>
              <w:t>2015-01 to 2020-09</w:t>
            </w:r>
          </w:p>
        </w:tc>
        <w:tc>
          <w:tcPr>
            <w:tcW w:type="dxa" w:w="3389"/>
            <w:vAlign w:val="center"/>
          </w:tcPr>
          <w:p>
            <w:pPr>
              <w:jc w:val="center"/>
            </w:pPr>
            <w:r/>
            <w:r>
              <w:rPr>
                <w:rFonts w:ascii="Times New Roman" w:hAnsi="Times New Roman" w:eastAsia="Times New Roman"/>
                <w:b w:val="0"/>
                <w:color w:val="141E28"/>
                <w:sz w:val="15"/>
              </w:rPr>
              <w:t>2015-01-07 to 2020-09-29</w:t>
            </w:r>
          </w:p>
        </w:tc>
      </w:tr>
      <w:tr>
        <w:tc>
          <w:tcPr>
            <w:tcW w:type="dxa" w:w="3389"/>
            <w:vAlign w:val="center"/>
          </w:tcPr>
          <w:p>
            <w:pPr>
              <w:jc w:val="left"/>
            </w:pPr>
            <w:r/>
            <w:r>
              <w:rPr>
                <w:rFonts w:ascii="Times New Roman" w:hAnsi="Times New Roman" w:eastAsia="Times New Roman"/>
                <w:b w:val="0"/>
                <w:color w:val="141E28"/>
                <w:sz w:val="15"/>
              </w:rPr>
              <w:t>Target</w:t>
            </w:r>
          </w:p>
        </w:tc>
        <w:tc>
          <w:tcPr>
            <w:tcW w:type="dxa" w:w="3389"/>
            <w:vAlign w:val="center"/>
          </w:tcPr>
          <w:p>
            <w:pPr>
              <w:jc w:val="center"/>
            </w:pPr>
            <w:r/>
            <w:r>
              <w:rPr>
                <w:rFonts w:ascii="Times New Roman" w:hAnsi="Times New Roman" w:eastAsia="Times New Roman"/>
                <w:b w:val="0"/>
                <w:color w:val="141E28"/>
                <w:sz w:val="15"/>
              </w:rPr>
              <w:t>Next-day high load</w:t>
            </w:r>
          </w:p>
        </w:tc>
        <w:tc>
          <w:tcPr>
            <w:tcW w:type="dxa" w:w="3389"/>
            <w:vAlign w:val="center"/>
          </w:tcPr>
          <w:p>
            <w:pPr>
              <w:jc w:val="center"/>
            </w:pPr>
            <w:r/>
            <w:r>
              <w:rPr>
                <w:rFonts w:ascii="Times New Roman" w:hAnsi="Times New Roman" w:eastAsia="Times New Roman"/>
                <w:b w:val="0"/>
                <w:color w:val="141E28"/>
                <w:sz w:val="15"/>
              </w:rPr>
              <w:t>1 if German load 24 hours ahead is at or above the 80th percentile of observed 24-hour-ahead load (65811.8 MW).</w:t>
            </w:r>
          </w:p>
        </w:tc>
      </w:tr>
      <w:tr>
        <w:tc>
          <w:tcPr>
            <w:tcW w:type="dxa" w:w="3389"/>
            <w:vAlign w:val="center"/>
          </w:tcPr>
          <w:p>
            <w:pPr>
              <w:jc w:val="left"/>
            </w:pPr>
            <w:r/>
            <w:r>
              <w:rPr>
                <w:rFonts w:ascii="Times New Roman" w:hAnsi="Times New Roman" w:eastAsia="Times New Roman"/>
                <w:b w:val="0"/>
                <w:color w:val="141E28"/>
                <w:sz w:val="15"/>
              </w:rPr>
              <w:t>Train/test split</w:t>
            </w:r>
          </w:p>
        </w:tc>
        <w:tc>
          <w:tcPr>
            <w:tcW w:type="dxa" w:w="3389"/>
            <w:vAlign w:val="center"/>
          </w:tcPr>
          <w:p>
            <w:pPr>
              <w:jc w:val="center"/>
            </w:pPr>
            <w:r/>
            <w:r>
              <w:rPr>
                <w:rFonts w:ascii="Times New Roman" w:hAnsi="Times New Roman" w:eastAsia="Times New Roman"/>
                <w:b w:val="0"/>
                <w:color w:val="141E28"/>
                <w:sz w:val="15"/>
              </w:rPr>
              <w:t>Chronological</w:t>
            </w:r>
          </w:p>
        </w:tc>
        <w:tc>
          <w:tcPr>
            <w:tcW w:type="dxa" w:w="3389"/>
            <w:vAlign w:val="center"/>
          </w:tcPr>
          <w:p>
            <w:pPr>
              <w:jc w:val="center"/>
            </w:pPr>
            <w:r/>
            <w:r>
              <w:rPr>
                <w:rFonts w:ascii="Times New Roman" w:hAnsi="Times New Roman" w:eastAsia="Times New Roman"/>
                <w:b w:val="0"/>
                <w:color w:val="141E28"/>
                <w:sz w:val="15"/>
              </w:rPr>
              <w:t>2015-2018 training; 2019-2020 test</w:t>
            </w:r>
          </w:p>
        </w:tc>
      </w:tr>
      <w:tr>
        <w:tc>
          <w:tcPr>
            <w:tcW w:type="dxa" w:w="3389"/>
            <w:vAlign w:val="center"/>
          </w:tcPr>
          <w:p>
            <w:pPr>
              <w:jc w:val="left"/>
            </w:pPr>
            <w:r/>
            <w:r>
              <w:rPr>
                <w:rFonts w:ascii="Times New Roman" w:hAnsi="Times New Roman" w:eastAsia="Times New Roman"/>
                <w:b w:val="0"/>
                <w:color w:val="141E28"/>
                <w:sz w:val="15"/>
              </w:rPr>
              <w:t>Carbon variable</w:t>
            </w:r>
          </w:p>
        </w:tc>
        <w:tc>
          <w:tcPr>
            <w:tcW w:type="dxa" w:w="3389"/>
            <w:vAlign w:val="center"/>
          </w:tcPr>
          <w:p>
            <w:pPr>
              <w:jc w:val="center"/>
            </w:pPr>
            <w:r/>
            <w:r>
              <w:rPr>
                <w:rFonts w:ascii="Times New Roman" w:hAnsi="Times New Roman" w:eastAsia="Times New Roman"/>
                <w:b w:val="0"/>
                <w:color w:val="141E28"/>
                <w:sz w:val="15"/>
              </w:rPr>
              <w:t>Residual-load proxy</w:t>
            </w:r>
          </w:p>
        </w:tc>
        <w:tc>
          <w:tcPr>
            <w:tcW w:type="dxa" w:w="3389"/>
            <w:vAlign w:val="center"/>
          </w:tcPr>
          <w:p>
            <w:pPr>
              <w:jc w:val="center"/>
            </w:pPr>
            <w:r/>
            <w:r>
              <w:rPr>
                <w:rFonts w:ascii="Times New Roman" w:hAnsi="Times New Roman" w:eastAsia="Times New Roman"/>
                <w:b w:val="0"/>
                <w:color w:val="141E28"/>
                <w:sz w:val="15"/>
              </w:rPr>
              <w:t>150 to 650 gCO2e/kWh proxy, not measured grid emissions</w:t>
            </w:r>
          </w:p>
        </w:tc>
      </w:tr>
    </w:tbl>
    <w:p>
      <w:pPr>
        <w:spacing w:after="120" w:line="252" w:lineRule="auto"/>
      </w:pPr>
    </w:p>
    <w:p>
      <w:pPr>
        <w:pStyle w:val="Heading2"/>
        <w:spacing w:before="120" w:after="80"/>
      </w:pPr>
      <w:r>
        <w:rPr>
          <w:rFonts w:ascii="Times New Roman" w:hAnsi="Times New Roman" w:eastAsia="Times New Roman"/>
          <w:b/>
          <w:color w:val="1F2B38"/>
          <w:sz w:val="23"/>
        </w:rPr>
        <w:t>2.2 Research Questions</w:t>
      </w:r>
    </w:p>
    <w:p>
      <w:pPr>
        <w:spacing w:before="100" w:after="100"/>
        <w:jc w:val="center"/>
      </w:pPr>
      <w:r>
        <w:rPr>
          <w:rFonts w:ascii="Times New Roman" w:hAnsi="Times New Roman" w:eastAsia="Times New Roman"/>
          <w:b/>
          <w:sz w:val="19"/>
        </w:rPr>
        <w:t>TABLE 2. Final research questions and generated artifacts.</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DCEAF7"/>
            <w:vAlign w:val="center"/>
          </w:tcPr>
          <w:p>
            <w:pPr>
              <w:jc w:val="center"/>
            </w:pPr>
            <w:r/>
            <w:r>
              <w:rPr>
                <w:rFonts w:ascii="Times New Roman" w:hAnsi="Times New Roman" w:eastAsia="Times New Roman"/>
                <w:b/>
                <w:color w:val="141E28"/>
                <w:sz w:val="16"/>
              </w:rPr>
              <w:t>ID</w:t>
            </w:r>
          </w:p>
        </w:tc>
        <w:tc>
          <w:tcPr>
            <w:tcW w:type="dxa" w:w="2541"/>
            <w:shd w:fill="DCEAF7"/>
            <w:vAlign w:val="center"/>
          </w:tcPr>
          <w:p>
            <w:pPr>
              <w:jc w:val="center"/>
            </w:pPr>
            <w:r/>
            <w:r>
              <w:rPr>
                <w:rFonts w:ascii="Times New Roman" w:hAnsi="Times New Roman" w:eastAsia="Times New Roman"/>
                <w:b/>
                <w:color w:val="141E28"/>
                <w:sz w:val="16"/>
              </w:rPr>
              <w:t>Research question</w:t>
            </w:r>
          </w:p>
        </w:tc>
        <w:tc>
          <w:tcPr>
            <w:tcW w:type="dxa" w:w="2541"/>
            <w:shd w:fill="DCEAF7"/>
            <w:vAlign w:val="center"/>
          </w:tcPr>
          <w:p>
            <w:pPr>
              <w:jc w:val="center"/>
            </w:pPr>
            <w:r/>
            <w:r>
              <w:rPr>
                <w:rFonts w:ascii="Times New Roman" w:hAnsi="Times New Roman" w:eastAsia="Times New Roman"/>
                <w:b/>
                <w:color w:val="141E28"/>
                <w:sz w:val="16"/>
              </w:rPr>
              <w:t>Figure</w:t>
            </w:r>
          </w:p>
        </w:tc>
        <w:tc>
          <w:tcPr>
            <w:tcW w:type="dxa" w:w="2541"/>
            <w:shd w:fill="DCEAF7"/>
            <w:vAlign w:val="center"/>
          </w:tcPr>
          <w:p>
            <w:pPr>
              <w:jc w:val="center"/>
            </w:pPr>
            <w:r/>
            <w:r>
              <w:rPr>
                <w:rFonts w:ascii="Times New Roman" w:hAnsi="Times New Roman" w:eastAsia="Times New Roman"/>
                <w:b/>
                <w:color w:val="141E28"/>
                <w:sz w:val="16"/>
              </w:rPr>
              <w:t>Table</w:t>
            </w:r>
          </w:p>
        </w:tc>
      </w:tr>
      <w:tr>
        <w:tc>
          <w:tcPr>
            <w:tcW w:type="dxa" w:w="2541"/>
            <w:vAlign w:val="center"/>
          </w:tcPr>
          <w:p>
            <w:pPr>
              <w:jc w:val="left"/>
            </w:pPr>
            <w:r/>
            <w:r>
              <w:rPr>
                <w:rFonts w:ascii="Times New Roman" w:hAnsi="Times New Roman" w:eastAsia="Times New Roman"/>
                <w:b w:val="0"/>
                <w:color w:val="141E28"/>
                <w:sz w:val="15"/>
              </w:rPr>
              <w:t>RQ1</w:t>
            </w:r>
          </w:p>
        </w:tc>
        <w:tc>
          <w:tcPr>
            <w:tcW w:type="dxa" w:w="2541"/>
            <w:vAlign w:val="center"/>
          </w:tcPr>
          <w:p>
            <w:pPr>
              <w:jc w:val="center"/>
            </w:pPr>
            <w:r/>
            <w:r>
              <w:rPr>
                <w:rFonts w:ascii="Times New Roman" w:hAnsi="Times New Roman" w:eastAsia="Times New Roman"/>
                <w:b w:val="0"/>
                <w:color w:val="141E28"/>
                <w:sz w:val="15"/>
              </w:rPr>
              <w:t>Which model family gives the strongest Pareto trade-off between predictive accuracy and estimated computational carbon for German next-day high-load-event classification?</w:t>
            </w:r>
          </w:p>
        </w:tc>
        <w:tc>
          <w:tcPr>
            <w:tcW w:type="dxa" w:w="2541"/>
            <w:vAlign w:val="center"/>
          </w:tcPr>
          <w:p>
            <w:pPr>
              <w:jc w:val="center"/>
            </w:pPr>
            <w:r/>
            <w:r>
              <w:rPr>
                <w:rFonts w:ascii="Times New Roman" w:hAnsi="Times New Roman" w:eastAsia="Times New Roman"/>
                <w:b w:val="0"/>
                <w:color w:val="141E28"/>
                <w:sz w:val="15"/>
              </w:rPr>
              <w:t>rq1_accuracy_carbon_pareto.pdf</w:t>
            </w:r>
          </w:p>
        </w:tc>
        <w:tc>
          <w:tcPr>
            <w:tcW w:type="dxa" w:w="2541"/>
            <w:vAlign w:val="center"/>
          </w:tcPr>
          <w:p>
            <w:pPr>
              <w:jc w:val="center"/>
            </w:pPr>
            <w:r/>
            <w:r>
              <w:rPr>
                <w:rFonts w:ascii="Times New Roman" w:hAnsi="Times New Roman" w:eastAsia="Times New Roman"/>
                <w:b w:val="0"/>
                <w:color w:val="141E28"/>
                <w:sz w:val="15"/>
              </w:rPr>
              <w:t>rq1_model_tradeoff_metrics.csv</w:t>
            </w:r>
          </w:p>
        </w:tc>
      </w:tr>
      <w:tr>
        <w:tc>
          <w:tcPr>
            <w:tcW w:type="dxa" w:w="2541"/>
            <w:vAlign w:val="center"/>
          </w:tcPr>
          <w:p>
            <w:pPr>
              <w:jc w:val="left"/>
            </w:pPr>
            <w:r/>
            <w:r>
              <w:rPr>
                <w:rFonts w:ascii="Times New Roman" w:hAnsi="Times New Roman" w:eastAsia="Times New Roman"/>
                <w:b w:val="0"/>
                <w:color w:val="141E28"/>
                <w:sz w:val="15"/>
              </w:rPr>
              <w:t>RQ2</w:t>
            </w:r>
          </w:p>
        </w:tc>
        <w:tc>
          <w:tcPr>
            <w:tcW w:type="dxa" w:w="2541"/>
            <w:vAlign w:val="center"/>
          </w:tcPr>
          <w:p>
            <w:pPr>
              <w:jc w:val="center"/>
            </w:pPr>
            <w:r/>
            <w:r>
              <w:rPr>
                <w:rFonts w:ascii="Times New Roman" w:hAnsi="Times New Roman" w:eastAsia="Times New Roman"/>
                <w:b w:val="0"/>
                <w:color w:val="141E28"/>
                <w:sz w:val="15"/>
              </w:rPr>
              <w:t>How much do load history, renewable generation, TSO-zone state, and day-ahead forecast features improve performance relative to a calendar-only baseline?</w:t>
            </w:r>
          </w:p>
        </w:tc>
        <w:tc>
          <w:tcPr>
            <w:tcW w:type="dxa" w:w="2541"/>
            <w:vAlign w:val="center"/>
          </w:tcPr>
          <w:p>
            <w:pPr>
              <w:jc w:val="center"/>
            </w:pPr>
            <w:r/>
            <w:r>
              <w:rPr>
                <w:rFonts w:ascii="Times New Roman" w:hAnsi="Times New Roman" w:eastAsia="Times New Roman"/>
                <w:b w:val="0"/>
                <w:color w:val="141E28"/>
                <w:sz w:val="15"/>
              </w:rPr>
              <w:t>rq2_feature_ablation.pdf</w:t>
            </w:r>
          </w:p>
        </w:tc>
        <w:tc>
          <w:tcPr>
            <w:tcW w:type="dxa" w:w="2541"/>
            <w:vAlign w:val="center"/>
          </w:tcPr>
          <w:p>
            <w:pPr>
              <w:jc w:val="center"/>
            </w:pPr>
            <w:r/>
            <w:r>
              <w:rPr>
                <w:rFonts w:ascii="Times New Roman" w:hAnsi="Times New Roman" w:eastAsia="Times New Roman"/>
                <w:b w:val="0"/>
                <w:color w:val="141E28"/>
                <w:sz w:val="15"/>
              </w:rPr>
              <w:t>rq2_feature_ablation_metrics.csv</w:t>
            </w:r>
          </w:p>
        </w:tc>
      </w:tr>
      <w:tr>
        <w:tc>
          <w:tcPr>
            <w:tcW w:type="dxa" w:w="2541"/>
            <w:vAlign w:val="center"/>
          </w:tcPr>
          <w:p>
            <w:pPr>
              <w:jc w:val="left"/>
            </w:pPr>
            <w:r/>
            <w:r>
              <w:rPr>
                <w:rFonts w:ascii="Times New Roman" w:hAnsi="Times New Roman" w:eastAsia="Times New Roman"/>
                <w:b w:val="0"/>
                <w:color w:val="141E28"/>
                <w:sz w:val="15"/>
              </w:rPr>
              <w:t>RQ3</w:t>
            </w:r>
          </w:p>
        </w:tc>
        <w:tc>
          <w:tcPr>
            <w:tcW w:type="dxa" w:w="2541"/>
            <w:vAlign w:val="center"/>
          </w:tcPr>
          <w:p>
            <w:pPr>
              <w:jc w:val="center"/>
            </w:pPr>
            <w:r/>
            <w:r>
              <w:rPr>
                <w:rFonts w:ascii="Times New Roman" w:hAnsi="Times New Roman" w:eastAsia="Times New Roman"/>
                <w:b w:val="0"/>
                <w:color w:val="141E28"/>
                <w:sz w:val="15"/>
              </w:rPr>
              <w:t>Are the model rankings stable across German winter, spring, summer, and autumn operating regimes?</w:t>
            </w:r>
          </w:p>
        </w:tc>
        <w:tc>
          <w:tcPr>
            <w:tcW w:type="dxa" w:w="2541"/>
            <w:vAlign w:val="center"/>
          </w:tcPr>
          <w:p>
            <w:pPr>
              <w:jc w:val="center"/>
            </w:pPr>
            <w:r/>
            <w:r>
              <w:rPr>
                <w:rFonts w:ascii="Times New Roman" w:hAnsi="Times New Roman" w:eastAsia="Times New Roman"/>
                <w:b w:val="0"/>
                <w:color w:val="141E28"/>
                <w:sz w:val="15"/>
              </w:rPr>
              <w:t>rq3_seasonal_f1_heatmap.pdf</w:t>
            </w:r>
          </w:p>
        </w:tc>
        <w:tc>
          <w:tcPr>
            <w:tcW w:type="dxa" w:w="2541"/>
            <w:vAlign w:val="center"/>
          </w:tcPr>
          <w:p>
            <w:pPr>
              <w:jc w:val="center"/>
            </w:pPr>
            <w:r/>
            <w:r>
              <w:rPr>
                <w:rFonts w:ascii="Times New Roman" w:hAnsi="Times New Roman" w:eastAsia="Times New Roman"/>
                <w:b w:val="0"/>
                <w:color w:val="141E28"/>
                <w:sz w:val="15"/>
              </w:rPr>
              <w:t>rq3_seasonal_generalization.csv</w:t>
            </w:r>
          </w:p>
        </w:tc>
      </w:tr>
      <w:tr>
        <w:tc>
          <w:tcPr>
            <w:tcW w:type="dxa" w:w="2541"/>
            <w:vAlign w:val="center"/>
          </w:tcPr>
          <w:p>
            <w:pPr>
              <w:jc w:val="left"/>
            </w:pPr>
            <w:r/>
            <w:r>
              <w:rPr>
                <w:rFonts w:ascii="Times New Roman" w:hAnsi="Times New Roman" w:eastAsia="Times New Roman"/>
                <w:b w:val="0"/>
                <w:color w:val="141E28"/>
                <w:sz w:val="15"/>
              </w:rPr>
              <w:t>RQ4</w:t>
            </w:r>
          </w:p>
        </w:tc>
        <w:tc>
          <w:tcPr>
            <w:tcW w:type="dxa" w:w="2541"/>
            <w:vAlign w:val="center"/>
          </w:tcPr>
          <w:p>
            <w:pPr>
              <w:jc w:val="center"/>
            </w:pPr>
            <w:r/>
            <w:r>
              <w:rPr>
                <w:rFonts w:ascii="Times New Roman" w:hAnsi="Times New Roman" w:eastAsia="Times New Roman"/>
                <w:b w:val="0"/>
                <w:color w:val="141E28"/>
                <w:sz w:val="15"/>
              </w:rPr>
              <w:t>Can an interpretable low-complexity model explain the dominant drivers of high-load risk without a large loss in predictive utility?</w:t>
            </w:r>
          </w:p>
        </w:tc>
        <w:tc>
          <w:tcPr>
            <w:tcW w:type="dxa" w:w="2541"/>
            <w:vAlign w:val="center"/>
          </w:tcPr>
          <w:p>
            <w:pPr>
              <w:jc w:val="center"/>
            </w:pPr>
            <w:r/>
            <w:r>
              <w:rPr>
                <w:rFonts w:ascii="Times New Roman" w:hAnsi="Times New Roman" w:eastAsia="Times New Roman"/>
                <w:b w:val="0"/>
                <w:color w:val="141E28"/>
                <w:sz w:val="15"/>
              </w:rPr>
              <w:t>rq4_interpretability_efficiency.pdf</w:t>
            </w:r>
          </w:p>
        </w:tc>
        <w:tc>
          <w:tcPr>
            <w:tcW w:type="dxa" w:w="2541"/>
            <w:vAlign w:val="center"/>
          </w:tcPr>
          <w:p>
            <w:pPr>
              <w:jc w:val="center"/>
            </w:pPr>
            <w:r/>
            <w:r>
              <w:rPr>
                <w:rFonts w:ascii="Times New Roman" w:hAnsi="Times New Roman" w:eastAsia="Times New Roman"/>
                <w:b w:val="0"/>
                <w:color w:val="141E28"/>
                <w:sz w:val="15"/>
              </w:rPr>
              <w:t>rq4_top_interpretable_features.csv</w:t>
            </w:r>
          </w:p>
        </w:tc>
      </w:tr>
      <w:tr>
        <w:tc>
          <w:tcPr>
            <w:tcW w:type="dxa" w:w="2541"/>
            <w:vAlign w:val="center"/>
          </w:tcPr>
          <w:p>
            <w:pPr>
              <w:jc w:val="left"/>
            </w:pPr>
            <w:r/>
            <w:r>
              <w:rPr>
                <w:rFonts w:ascii="Times New Roman" w:hAnsi="Times New Roman" w:eastAsia="Times New Roman"/>
                <w:b w:val="0"/>
                <w:color w:val="141E28"/>
                <w:sz w:val="15"/>
              </w:rPr>
              <w:t>RQ5</w:t>
            </w:r>
          </w:p>
        </w:tc>
        <w:tc>
          <w:tcPr>
            <w:tcW w:type="dxa" w:w="2541"/>
            <w:vAlign w:val="center"/>
          </w:tcPr>
          <w:p>
            <w:pPr>
              <w:jc w:val="center"/>
            </w:pPr>
            <w:r/>
            <w:r>
              <w:rPr>
                <w:rFonts w:ascii="Times New Roman" w:hAnsi="Times New Roman" w:eastAsia="Times New Roman"/>
                <w:b w:val="0"/>
                <w:color w:val="141E28"/>
                <w:sz w:val="15"/>
              </w:rPr>
              <w:t>How much carbon-proxy reduction is available if model training is scheduled into low-residual-load windows rather than arbitrary or high-residual-load hours?</w:t>
            </w:r>
          </w:p>
        </w:tc>
        <w:tc>
          <w:tcPr>
            <w:tcW w:type="dxa" w:w="2541"/>
            <w:vAlign w:val="center"/>
          </w:tcPr>
          <w:p>
            <w:pPr>
              <w:jc w:val="center"/>
            </w:pPr>
            <w:r/>
            <w:r>
              <w:rPr>
                <w:rFonts w:ascii="Times New Roman" w:hAnsi="Times New Roman" w:eastAsia="Times New Roman"/>
                <w:b w:val="0"/>
                <w:color w:val="141E28"/>
                <w:sz w:val="15"/>
              </w:rPr>
              <w:t>rq5_carbon_aware_training_windows.pdf</w:t>
            </w:r>
          </w:p>
        </w:tc>
        <w:tc>
          <w:tcPr>
            <w:tcW w:type="dxa" w:w="2541"/>
            <w:vAlign w:val="center"/>
          </w:tcPr>
          <w:p>
            <w:pPr>
              <w:jc w:val="center"/>
            </w:pPr>
            <w:r/>
            <w:r>
              <w:rPr>
                <w:rFonts w:ascii="Times New Roman" w:hAnsi="Times New Roman" w:eastAsia="Times New Roman"/>
                <w:b w:val="0"/>
                <w:color w:val="141E28"/>
                <w:sz w:val="15"/>
              </w:rPr>
              <w:t>rq5_training_window_scenarios.csv</w:t>
            </w:r>
          </w:p>
        </w:tc>
      </w:tr>
    </w:tbl>
    <w:p>
      <w:pPr>
        <w:spacing w:after="120" w:line="252" w:lineRule="auto"/>
      </w:pPr>
    </w:p>
    <w:p>
      <w:pPr>
        <w:pStyle w:val="Heading1"/>
        <w:spacing w:before="200" w:after="80"/>
      </w:pPr>
      <w:r>
        <w:rPr>
          <w:rFonts w:ascii="Times New Roman" w:hAnsi="Times New Roman" w:eastAsia="Times New Roman"/>
          <w:b/>
          <w:color w:val="1F2B38"/>
          <w:sz w:val="26"/>
        </w:rPr>
        <w:t>3. METHODOLOGY</w:t>
      </w:r>
    </w:p>
    <w:p>
      <w:pPr>
        <w:pStyle w:val="Heading2"/>
        <w:spacing w:before="120" w:after="80"/>
      </w:pPr>
      <w:r>
        <w:rPr>
          <w:rFonts w:ascii="Times New Roman" w:hAnsi="Times New Roman" w:eastAsia="Times New Roman"/>
          <w:b/>
          <w:color w:val="1F2B38"/>
          <w:sz w:val="23"/>
        </w:rPr>
        <w:t>3.1 Preprocessing and Feature Engineering</w:t>
      </w:r>
    </w:p>
    <w:p>
      <w:pPr>
        <w:spacing w:after="120" w:line="252" w:lineRule="auto"/>
      </w:pPr>
      <w:r>
        <w:rPr>
          <w:rFonts w:ascii="Times New Roman" w:hAnsi="Times New Roman" w:eastAsia="Times New Roman"/>
          <w:sz w:val="21"/>
        </w:rPr>
        <w:t>The raw OPSD table is filtered to Germany and German TSO-zone variables. Sparse gaps are filled by time-ordered interpolation and forward/backward filling. Calendar variables are encoded cyclically. Load history is represented by 1-hour, 24-hour, and 168-hour lags, together with 24-hour and 168-hour rolling means. Renewable operating state is represented by wind, solar, aggregate wind-plus-solar generation, renewable share, and residual-load variables. Regional structure is represented by 50Hertz, Amprion, TenneT, and TransnetBW load values and a TSO-zone imbalance feature.</w:t>
      </w:r>
    </w:p>
    <w:p>
      <w:pPr>
        <w:spacing w:after="120" w:line="252" w:lineRule="auto"/>
      </w:pPr>
      <w:r>
        <w:rPr>
          <w:rFonts w:ascii="Times New Roman" w:hAnsi="Times New Roman" w:eastAsia="Times New Roman"/>
          <w:sz w:val="21"/>
        </w:rPr>
        <w:t>The target is explicitly predictive rather than contemporaneous: the feature vector at hour t predicts whether Germany's load at t+24 hours is in the highest quintile. This makes current load, current renewable generation, and current TSO-zone state valid predictors rather than target leakage.</w:t>
      </w:r>
    </w:p>
    <w:p>
      <w:pPr>
        <w:pStyle w:val="Heading2"/>
        <w:spacing w:before="120" w:after="80"/>
      </w:pPr>
      <w:r>
        <w:rPr>
          <w:rFonts w:ascii="Times New Roman" w:hAnsi="Times New Roman" w:eastAsia="Times New Roman"/>
          <w:b/>
          <w:color w:val="1F2B38"/>
          <w:sz w:val="23"/>
        </w:rPr>
        <w:t>3.2 Model Suite and Evaluation</w:t>
      </w:r>
    </w:p>
    <w:p>
      <w:pPr>
        <w:spacing w:after="120" w:line="252" w:lineRule="auto"/>
      </w:pPr>
      <w:r>
        <w:rPr>
          <w:rFonts w:ascii="Times New Roman" w:hAnsi="Times New Roman" w:eastAsia="Times New Roman"/>
          <w:sz w:val="21"/>
        </w:rPr>
        <w:t>The model suite compares logistic regression, linear support vector machine, random forest, histogram gradient boosting, and a shallow neural network. The gradient-boosting baseline is a reproducible histogram gradient boosting classifier from scikit-learn. It is used as an XGBoost-class boosted-tree comparator without adding an external XGBoost dependency to the submitted package.</w:t>
      </w:r>
    </w:p>
    <w:p>
      <w:pPr>
        <w:spacing w:after="120" w:line="252" w:lineRule="auto"/>
      </w:pPr>
      <w:r>
        <w:rPr>
          <w:rFonts w:ascii="Times New Roman" w:hAnsi="Times New Roman" w:eastAsia="Times New Roman"/>
          <w:sz w:val="21"/>
        </w:rPr>
        <w:t>All models are trained on 2015-2018 observations and evaluated on 2019-2020 observations. Metrics include accuracy, balanced accuracy, precision, recall, F1-score, ROC-AUC, fit time, prediction time, serialized model size, proxy energy, and proxy carbon. F1-score is emphasized because the high-load class is the operational event of interest.</w:t>
      </w:r>
    </w:p>
    <w:p>
      <w:pPr>
        <w:pStyle w:val="Heading2"/>
        <w:spacing w:before="120" w:after="80"/>
      </w:pPr>
      <w:r>
        <w:rPr>
          <w:rFonts w:ascii="Times New Roman" w:hAnsi="Times New Roman" w:eastAsia="Times New Roman"/>
          <w:b/>
          <w:color w:val="1F2B38"/>
          <w:sz w:val="23"/>
        </w:rPr>
        <w:t>3.3 Carbon-Aware Accounting</w:t>
      </w:r>
    </w:p>
    <w:p>
      <w:pPr>
        <w:spacing w:after="120" w:line="252" w:lineRule="auto"/>
      </w:pPr>
      <w:r>
        <w:rPr>
          <w:rFonts w:ascii="Times New Roman" w:hAnsi="Times New Roman" w:eastAsia="Times New Roman"/>
          <w:sz w:val="21"/>
        </w:rPr>
        <w:t>The report uses a transparent proxy rather than claiming measured emissions. Runtime energy is estimated from observed fit and prediction times using assumed CPU powers of 45 W for training and 18 W for inference. Proxy carbon is then calculated by multiplying energy by a residual-load carbon-intensity proxy. The residual-load proxy increases as the load share not served by observed wind and solar increases. This is suitable for ranking and sensitivity analysis, but it is not a substitute for hardware energy metering or official grid-emission factors.</w:t>
      </w:r>
    </w:p>
    <w:p>
      <w:r>
        <w:br w:type="page"/>
      </w:r>
    </w:p>
    <w:p>
      <w:pPr>
        <w:pStyle w:val="Heading1"/>
        <w:spacing w:before="200" w:after="80"/>
      </w:pPr>
      <w:r>
        <w:rPr>
          <w:rFonts w:ascii="Times New Roman" w:hAnsi="Times New Roman" w:eastAsia="Times New Roman"/>
          <w:b/>
          <w:color w:val="1F2B38"/>
          <w:sz w:val="26"/>
        </w:rPr>
        <w:t>4. RESULTS</w:t>
      </w:r>
    </w:p>
    <w:p>
      <w:pPr>
        <w:pStyle w:val="Heading2"/>
        <w:spacing w:before="120" w:after="80"/>
      </w:pPr>
      <w:r>
        <w:rPr>
          <w:rFonts w:ascii="Times New Roman" w:hAnsi="Times New Roman" w:eastAsia="Times New Roman"/>
          <w:b/>
          <w:color w:val="1F2B38"/>
          <w:sz w:val="23"/>
        </w:rPr>
        <w:t>4.1 RQ1: Accuracy-Carbon Pareto Frontier</w:t>
      </w:r>
    </w:p>
    <w:p>
      <w:pPr>
        <w:spacing w:after="120" w:line="252" w:lineRule="auto"/>
      </w:pPr>
      <w:r>
        <w:rPr>
          <w:rFonts w:ascii="Times New Roman" w:hAnsi="Times New Roman" w:eastAsia="Times New Roman"/>
          <w:sz w:val="21"/>
        </w:rPr>
        <w:t>Histogram Gradient Boosting is the strongest predictive model, while Logistic Regression is the lowest-compute baseline. The Pareto frontier therefore contains both high-accuracy and low-compute candidates. This is the main governance result: the preferred model depends on whether the deployment context values maximum event detection, minimum compute, or auditability.</w:t>
      </w:r>
    </w:p>
    <w:p>
      <w:pPr>
        <w:spacing w:before="100" w:after="100"/>
        <w:jc w:val="center"/>
      </w:pPr>
      <w:r>
        <w:rPr>
          <w:rFonts w:ascii="Times New Roman" w:hAnsi="Times New Roman" w:eastAsia="Times New Roman"/>
          <w:b/>
          <w:sz w:val="19"/>
        </w:rPr>
        <w:t>TABLE 3. Model trade-off metrics for next-day high-load classification.</w:t>
      </w:r>
    </w:p>
    <w:tbl>
      <w:tblPr>
        <w:tblStyle w:val="TableGrid"/>
        <w:tblW w:type="auto" w:w="0"/>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DCEAF7"/>
            <w:vAlign w:val="center"/>
          </w:tcPr>
          <w:p>
            <w:pPr>
              <w:jc w:val="center"/>
            </w:pPr>
            <w:r/>
            <w:r>
              <w:rPr>
                <w:rFonts w:ascii="Times New Roman" w:hAnsi="Times New Roman" w:eastAsia="Times New Roman"/>
                <w:b/>
                <w:color w:val="141E28"/>
                <w:sz w:val="16"/>
              </w:rPr>
              <w:t>Model</w:t>
            </w:r>
          </w:p>
        </w:tc>
        <w:tc>
          <w:tcPr>
            <w:tcW w:type="dxa" w:w="1452"/>
            <w:shd w:fill="DCEAF7"/>
            <w:vAlign w:val="center"/>
          </w:tcPr>
          <w:p>
            <w:pPr>
              <w:jc w:val="center"/>
            </w:pPr>
            <w:r/>
            <w:r>
              <w:rPr>
                <w:rFonts w:ascii="Times New Roman" w:hAnsi="Times New Roman" w:eastAsia="Times New Roman"/>
                <w:b/>
                <w:color w:val="141E28"/>
                <w:sz w:val="16"/>
              </w:rPr>
              <w:t>F1</w:t>
            </w:r>
          </w:p>
        </w:tc>
        <w:tc>
          <w:tcPr>
            <w:tcW w:type="dxa" w:w="1452"/>
            <w:shd w:fill="DCEAF7"/>
            <w:vAlign w:val="center"/>
          </w:tcPr>
          <w:p>
            <w:pPr>
              <w:jc w:val="center"/>
            </w:pPr>
            <w:r/>
            <w:r>
              <w:rPr>
                <w:rFonts w:ascii="Times New Roman" w:hAnsi="Times New Roman" w:eastAsia="Times New Roman"/>
                <w:b/>
                <w:color w:val="141E28"/>
                <w:sz w:val="16"/>
              </w:rPr>
              <w:t>ROC-AUC</w:t>
            </w:r>
          </w:p>
        </w:tc>
        <w:tc>
          <w:tcPr>
            <w:tcW w:type="dxa" w:w="1452"/>
            <w:shd w:fill="DCEAF7"/>
            <w:vAlign w:val="center"/>
          </w:tcPr>
          <w:p>
            <w:pPr>
              <w:jc w:val="center"/>
            </w:pPr>
            <w:r/>
            <w:r>
              <w:rPr>
                <w:rFonts w:ascii="Times New Roman" w:hAnsi="Times New Roman" w:eastAsia="Times New Roman"/>
                <w:b/>
                <w:color w:val="141E28"/>
                <w:sz w:val="16"/>
              </w:rPr>
              <w:t>Fit time (s)</w:t>
            </w:r>
          </w:p>
        </w:tc>
        <w:tc>
          <w:tcPr>
            <w:tcW w:type="dxa" w:w="1452"/>
            <w:shd w:fill="DCEAF7"/>
            <w:vAlign w:val="center"/>
          </w:tcPr>
          <w:p>
            <w:pPr>
              <w:jc w:val="center"/>
            </w:pPr>
            <w:r/>
            <w:r>
              <w:rPr>
                <w:rFonts w:ascii="Times New Roman" w:hAnsi="Times New Roman" w:eastAsia="Times New Roman"/>
                <w:b/>
                <w:color w:val="141E28"/>
                <w:sz w:val="16"/>
              </w:rPr>
              <w:t>Size (KB)</w:t>
            </w:r>
          </w:p>
        </w:tc>
        <w:tc>
          <w:tcPr>
            <w:tcW w:type="dxa" w:w="1452"/>
            <w:shd w:fill="DCEAF7"/>
            <w:vAlign w:val="center"/>
          </w:tcPr>
          <w:p>
            <w:pPr>
              <w:jc w:val="center"/>
            </w:pPr>
            <w:r/>
            <w:r>
              <w:rPr>
                <w:rFonts w:ascii="Times New Roman" w:hAnsi="Times New Roman" w:eastAsia="Times New Roman"/>
                <w:b/>
                <w:color w:val="141E28"/>
                <w:sz w:val="16"/>
              </w:rPr>
              <w:t>Carbon proxy (mg CO2e)</w:t>
            </w:r>
          </w:p>
        </w:tc>
        <w:tc>
          <w:tcPr>
            <w:tcW w:type="dxa" w:w="1452"/>
            <w:shd w:fill="DCEAF7"/>
            <w:vAlign w:val="center"/>
          </w:tcPr>
          <w:p>
            <w:pPr>
              <w:jc w:val="center"/>
            </w:pPr>
            <w:r/>
            <w:r>
              <w:rPr>
                <w:rFonts w:ascii="Times New Roman" w:hAnsi="Times New Roman" w:eastAsia="Times New Roman"/>
                <w:b/>
                <w:color w:val="141E28"/>
                <w:sz w:val="16"/>
              </w:rPr>
              <w:t>Pareto</w:t>
            </w:r>
          </w:p>
        </w:tc>
      </w:tr>
      <w:tr>
        <w:tc>
          <w:tcPr>
            <w:tcW w:type="dxa" w:w="1452"/>
            <w:vAlign w:val="center"/>
          </w:tcPr>
          <w:p>
            <w:pPr>
              <w:jc w:val="left"/>
            </w:pPr>
            <w:r/>
            <w:r>
              <w:rPr>
                <w:rFonts w:ascii="Times New Roman" w:hAnsi="Times New Roman" w:eastAsia="Times New Roman"/>
                <w:b w:val="0"/>
                <w:color w:val="141E28"/>
                <w:sz w:val="15"/>
              </w:rPr>
              <w:t>Histogram Gradient Boosting</w:t>
            </w:r>
          </w:p>
        </w:tc>
        <w:tc>
          <w:tcPr>
            <w:tcW w:type="dxa" w:w="1452"/>
            <w:vAlign w:val="center"/>
          </w:tcPr>
          <w:p>
            <w:pPr>
              <w:jc w:val="center"/>
            </w:pPr>
            <w:r/>
            <w:r>
              <w:rPr>
                <w:rFonts w:ascii="Times New Roman" w:hAnsi="Times New Roman" w:eastAsia="Times New Roman"/>
                <w:b w:val="0"/>
                <w:color w:val="141E28"/>
                <w:sz w:val="15"/>
              </w:rPr>
              <w:t>0.897</w:t>
            </w:r>
          </w:p>
        </w:tc>
        <w:tc>
          <w:tcPr>
            <w:tcW w:type="dxa" w:w="1452"/>
            <w:vAlign w:val="center"/>
          </w:tcPr>
          <w:p>
            <w:pPr>
              <w:jc w:val="center"/>
            </w:pPr>
            <w:r/>
            <w:r>
              <w:rPr>
                <w:rFonts w:ascii="Times New Roman" w:hAnsi="Times New Roman" w:eastAsia="Times New Roman"/>
                <w:b w:val="0"/>
                <w:color w:val="141E28"/>
                <w:sz w:val="15"/>
              </w:rPr>
              <w:t>0.993</w:t>
            </w:r>
          </w:p>
        </w:tc>
        <w:tc>
          <w:tcPr>
            <w:tcW w:type="dxa" w:w="1452"/>
            <w:vAlign w:val="center"/>
          </w:tcPr>
          <w:p>
            <w:pPr>
              <w:jc w:val="center"/>
            </w:pPr>
            <w:r/>
            <w:r>
              <w:rPr>
                <w:rFonts w:ascii="Times New Roman" w:hAnsi="Times New Roman" w:eastAsia="Times New Roman"/>
                <w:b w:val="0"/>
                <w:color w:val="141E28"/>
                <w:sz w:val="15"/>
              </w:rPr>
              <w:t>0.863</w:t>
            </w:r>
          </w:p>
        </w:tc>
        <w:tc>
          <w:tcPr>
            <w:tcW w:type="dxa" w:w="1452"/>
            <w:vAlign w:val="center"/>
          </w:tcPr>
          <w:p>
            <w:pPr>
              <w:jc w:val="center"/>
            </w:pPr>
            <w:r/>
            <w:r>
              <w:rPr>
                <w:rFonts w:ascii="Times New Roman" w:hAnsi="Times New Roman" w:eastAsia="Times New Roman"/>
                <w:b w:val="0"/>
                <w:color w:val="141E28"/>
                <w:sz w:val="15"/>
              </w:rPr>
              <w:t>536.007</w:t>
            </w:r>
          </w:p>
        </w:tc>
        <w:tc>
          <w:tcPr>
            <w:tcW w:type="dxa" w:w="1452"/>
            <w:vAlign w:val="center"/>
          </w:tcPr>
          <w:p>
            <w:pPr>
              <w:jc w:val="center"/>
            </w:pPr>
            <w:r/>
            <w:r>
              <w:rPr>
                <w:rFonts w:ascii="Times New Roman" w:hAnsi="Times New Roman" w:eastAsia="Times New Roman"/>
                <w:b w:val="0"/>
                <w:color w:val="141E28"/>
                <w:sz w:val="15"/>
              </w:rPr>
              <w:t>5.693</w:t>
            </w:r>
          </w:p>
        </w:tc>
        <w:tc>
          <w:tcPr>
            <w:tcW w:type="dxa" w:w="1452"/>
            <w:vAlign w:val="center"/>
          </w:tcPr>
          <w:p>
            <w:pPr>
              <w:jc w:val="center"/>
            </w:pPr>
            <w:r/>
            <w:r>
              <w:rPr>
                <w:rFonts w:ascii="Times New Roman" w:hAnsi="Times New Roman" w:eastAsia="Times New Roman"/>
                <w:b w:val="0"/>
                <w:color w:val="141E28"/>
                <w:sz w:val="15"/>
              </w:rPr>
              <w:t>True</w:t>
            </w:r>
          </w:p>
        </w:tc>
      </w:tr>
      <w:tr>
        <w:tc>
          <w:tcPr>
            <w:tcW w:type="dxa" w:w="1452"/>
            <w:vAlign w:val="center"/>
          </w:tcPr>
          <w:p>
            <w:pPr>
              <w:jc w:val="left"/>
            </w:pPr>
            <w:r/>
            <w:r>
              <w:rPr>
                <w:rFonts w:ascii="Times New Roman" w:hAnsi="Times New Roman" w:eastAsia="Times New Roman"/>
                <w:b w:val="0"/>
                <w:color w:val="141E28"/>
                <w:sz w:val="15"/>
              </w:rPr>
              <w:t>Neural Network</w:t>
            </w:r>
          </w:p>
        </w:tc>
        <w:tc>
          <w:tcPr>
            <w:tcW w:type="dxa" w:w="1452"/>
            <w:vAlign w:val="center"/>
          </w:tcPr>
          <w:p>
            <w:pPr>
              <w:jc w:val="center"/>
            </w:pPr>
            <w:r/>
            <w:r>
              <w:rPr>
                <w:rFonts w:ascii="Times New Roman" w:hAnsi="Times New Roman" w:eastAsia="Times New Roman"/>
                <w:b w:val="0"/>
                <w:color w:val="141E28"/>
                <w:sz w:val="15"/>
              </w:rPr>
              <w:t>0.897</w:t>
            </w:r>
          </w:p>
        </w:tc>
        <w:tc>
          <w:tcPr>
            <w:tcW w:type="dxa" w:w="1452"/>
            <w:vAlign w:val="center"/>
          </w:tcPr>
          <w:p>
            <w:pPr>
              <w:jc w:val="center"/>
            </w:pPr>
            <w:r/>
            <w:r>
              <w:rPr>
                <w:rFonts w:ascii="Times New Roman" w:hAnsi="Times New Roman" w:eastAsia="Times New Roman"/>
                <w:b w:val="0"/>
                <w:color w:val="141E28"/>
                <w:sz w:val="15"/>
              </w:rPr>
              <w:t>0.993</w:t>
            </w:r>
          </w:p>
        </w:tc>
        <w:tc>
          <w:tcPr>
            <w:tcW w:type="dxa" w:w="1452"/>
            <w:vAlign w:val="center"/>
          </w:tcPr>
          <w:p>
            <w:pPr>
              <w:jc w:val="center"/>
            </w:pPr>
            <w:r/>
            <w:r>
              <w:rPr>
                <w:rFonts w:ascii="Times New Roman" w:hAnsi="Times New Roman" w:eastAsia="Times New Roman"/>
                <w:b w:val="0"/>
                <w:color w:val="141E28"/>
                <w:sz w:val="15"/>
              </w:rPr>
              <w:t>1.086</w:t>
            </w:r>
          </w:p>
        </w:tc>
        <w:tc>
          <w:tcPr>
            <w:tcW w:type="dxa" w:w="1452"/>
            <w:vAlign w:val="center"/>
          </w:tcPr>
          <w:p>
            <w:pPr>
              <w:jc w:val="center"/>
            </w:pPr>
            <w:r/>
            <w:r>
              <w:rPr>
                <w:rFonts w:ascii="Times New Roman" w:hAnsi="Times New Roman" w:eastAsia="Times New Roman"/>
                <w:b w:val="0"/>
                <w:color w:val="141E28"/>
                <w:sz w:val="15"/>
              </w:rPr>
              <w:t>33.512</w:t>
            </w:r>
          </w:p>
        </w:tc>
        <w:tc>
          <w:tcPr>
            <w:tcW w:type="dxa" w:w="1452"/>
            <w:vAlign w:val="center"/>
          </w:tcPr>
          <w:p>
            <w:pPr>
              <w:jc w:val="center"/>
            </w:pPr>
            <w:r/>
            <w:r>
              <w:rPr>
                <w:rFonts w:ascii="Times New Roman" w:hAnsi="Times New Roman" w:eastAsia="Times New Roman"/>
                <w:b w:val="0"/>
                <w:color w:val="141E28"/>
                <w:sz w:val="15"/>
              </w:rPr>
              <w:t>7.066</w:t>
            </w:r>
          </w:p>
        </w:tc>
        <w:tc>
          <w:tcPr>
            <w:tcW w:type="dxa" w:w="1452"/>
            <w:vAlign w:val="center"/>
          </w:tcPr>
          <w:p>
            <w:pPr>
              <w:jc w:val="center"/>
            </w:pPr>
            <w:r/>
            <w:r>
              <w:rPr>
                <w:rFonts w:ascii="Times New Roman" w:hAnsi="Times New Roman" w:eastAsia="Times New Roman"/>
                <w:b w:val="0"/>
                <w:color w:val="141E28"/>
                <w:sz w:val="15"/>
              </w:rPr>
              <w:t>False</w:t>
            </w:r>
          </w:p>
        </w:tc>
      </w:tr>
      <w:tr>
        <w:tc>
          <w:tcPr>
            <w:tcW w:type="dxa" w:w="1452"/>
            <w:vAlign w:val="center"/>
          </w:tcPr>
          <w:p>
            <w:pPr>
              <w:jc w:val="left"/>
            </w:pPr>
            <w:r/>
            <w:r>
              <w:rPr>
                <w:rFonts w:ascii="Times New Roman" w:hAnsi="Times New Roman" w:eastAsia="Times New Roman"/>
                <w:b w:val="0"/>
                <w:color w:val="141E28"/>
                <w:sz w:val="15"/>
              </w:rPr>
              <w:t>Random Forest</w:t>
            </w:r>
          </w:p>
        </w:tc>
        <w:tc>
          <w:tcPr>
            <w:tcW w:type="dxa" w:w="1452"/>
            <w:vAlign w:val="center"/>
          </w:tcPr>
          <w:p>
            <w:pPr>
              <w:jc w:val="center"/>
            </w:pPr>
            <w:r/>
            <w:r>
              <w:rPr>
                <w:rFonts w:ascii="Times New Roman" w:hAnsi="Times New Roman" w:eastAsia="Times New Roman"/>
                <w:b w:val="0"/>
                <w:color w:val="141E28"/>
                <w:sz w:val="15"/>
              </w:rPr>
              <w:t>0.889</w:t>
            </w:r>
          </w:p>
        </w:tc>
        <w:tc>
          <w:tcPr>
            <w:tcW w:type="dxa" w:w="1452"/>
            <w:vAlign w:val="center"/>
          </w:tcPr>
          <w:p>
            <w:pPr>
              <w:jc w:val="center"/>
            </w:pPr>
            <w:r/>
            <w:r>
              <w:rPr>
                <w:rFonts w:ascii="Times New Roman" w:hAnsi="Times New Roman" w:eastAsia="Times New Roman"/>
                <w:b w:val="0"/>
                <w:color w:val="141E28"/>
                <w:sz w:val="15"/>
              </w:rPr>
              <w:t>0.993</w:t>
            </w:r>
          </w:p>
        </w:tc>
        <w:tc>
          <w:tcPr>
            <w:tcW w:type="dxa" w:w="1452"/>
            <w:vAlign w:val="center"/>
          </w:tcPr>
          <w:p>
            <w:pPr>
              <w:jc w:val="center"/>
            </w:pPr>
            <w:r/>
            <w:r>
              <w:rPr>
                <w:rFonts w:ascii="Times New Roman" w:hAnsi="Times New Roman" w:eastAsia="Times New Roman"/>
                <w:b w:val="0"/>
                <w:color w:val="141E28"/>
                <w:sz w:val="15"/>
              </w:rPr>
              <w:t>0.710</w:t>
            </w:r>
          </w:p>
        </w:tc>
        <w:tc>
          <w:tcPr>
            <w:tcW w:type="dxa" w:w="1452"/>
            <w:vAlign w:val="center"/>
          </w:tcPr>
          <w:p>
            <w:pPr>
              <w:jc w:val="center"/>
            </w:pPr>
            <w:r/>
            <w:r>
              <w:rPr>
                <w:rFonts w:ascii="Times New Roman" w:hAnsi="Times New Roman" w:eastAsia="Times New Roman"/>
                <w:b w:val="0"/>
                <w:color w:val="141E28"/>
                <w:sz w:val="15"/>
              </w:rPr>
              <w:t>4746.983</w:t>
            </w:r>
          </w:p>
        </w:tc>
        <w:tc>
          <w:tcPr>
            <w:tcW w:type="dxa" w:w="1452"/>
            <w:vAlign w:val="center"/>
          </w:tcPr>
          <w:p>
            <w:pPr>
              <w:jc w:val="center"/>
            </w:pPr>
            <w:r/>
            <w:r>
              <w:rPr>
                <w:rFonts w:ascii="Times New Roman" w:hAnsi="Times New Roman" w:eastAsia="Times New Roman"/>
                <w:b w:val="0"/>
                <w:color w:val="141E28"/>
                <w:sz w:val="15"/>
              </w:rPr>
              <w:t>4.715</w:t>
            </w:r>
          </w:p>
        </w:tc>
        <w:tc>
          <w:tcPr>
            <w:tcW w:type="dxa" w:w="1452"/>
            <w:vAlign w:val="center"/>
          </w:tcPr>
          <w:p>
            <w:pPr>
              <w:jc w:val="center"/>
            </w:pPr>
            <w:r/>
            <w:r>
              <w:rPr>
                <w:rFonts w:ascii="Times New Roman" w:hAnsi="Times New Roman" w:eastAsia="Times New Roman"/>
                <w:b w:val="0"/>
                <w:color w:val="141E28"/>
                <w:sz w:val="15"/>
              </w:rPr>
              <w:t>True</w:t>
            </w:r>
          </w:p>
        </w:tc>
      </w:tr>
      <w:tr>
        <w:tc>
          <w:tcPr>
            <w:tcW w:type="dxa" w:w="1452"/>
            <w:vAlign w:val="center"/>
          </w:tcPr>
          <w:p>
            <w:pPr>
              <w:jc w:val="left"/>
            </w:pPr>
            <w:r/>
            <w:r>
              <w:rPr>
                <w:rFonts w:ascii="Times New Roman" w:hAnsi="Times New Roman" w:eastAsia="Times New Roman"/>
                <w:b w:val="0"/>
                <w:color w:val="141E28"/>
                <w:sz w:val="15"/>
              </w:rPr>
              <w:t>Logistic Regression</w:t>
            </w:r>
          </w:p>
        </w:tc>
        <w:tc>
          <w:tcPr>
            <w:tcW w:type="dxa" w:w="1452"/>
            <w:vAlign w:val="center"/>
          </w:tcPr>
          <w:p>
            <w:pPr>
              <w:jc w:val="center"/>
            </w:pPr>
            <w:r/>
            <w:r>
              <w:rPr>
                <w:rFonts w:ascii="Times New Roman" w:hAnsi="Times New Roman" w:eastAsia="Times New Roman"/>
                <w:b w:val="0"/>
                <w:color w:val="141E28"/>
                <w:sz w:val="15"/>
              </w:rPr>
              <w:t>0.728</w:t>
            </w:r>
          </w:p>
        </w:tc>
        <w:tc>
          <w:tcPr>
            <w:tcW w:type="dxa" w:w="1452"/>
            <w:vAlign w:val="center"/>
          </w:tcPr>
          <w:p>
            <w:pPr>
              <w:jc w:val="center"/>
            </w:pPr>
            <w:r/>
            <w:r>
              <w:rPr>
                <w:rFonts w:ascii="Times New Roman" w:hAnsi="Times New Roman" w:eastAsia="Times New Roman"/>
                <w:b w:val="0"/>
                <w:color w:val="141E28"/>
                <w:sz w:val="15"/>
              </w:rPr>
              <w:t>0.968</w:t>
            </w:r>
          </w:p>
        </w:tc>
        <w:tc>
          <w:tcPr>
            <w:tcW w:type="dxa" w:w="1452"/>
            <w:vAlign w:val="center"/>
          </w:tcPr>
          <w:p>
            <w:pPr>
              <w:jc w:val="center"/>
            </w:pPr>
            <w:r/>
            <w:r>
              <w:rPr>
                <w:rFonts w:ascii="Times New Roman" w:hAnsi="Times New Roman" w:eastAsia="Times New Roman"/>
                <w:b w:val="0"/>
                <w:color w:val="141E28"/>
                <w:sz w:val="15"/>
              </w:rPr>
              <w:t>0.034</w:t>
            </w:r>
          </w:p>
        </w:tc>
        <w:tc>
          <w:tcPr>
            <w:tcW w:type="dxa" w:w="1452"/>
            <w:vAlign w:val="center"/>
          </w:tcPr>
          <w:p>
            <w:pPr>
              <w:jc w:val="center"/>
            </w:pPr>
            <w:r/>
            <w:r>
              <w:rPr>
                <w:rFonts w:ascii="Times New Roman" w:hAnsi="Times New Roman" w:eastAsia="Times New Roman"/>
                <w:b w:val="0"/>
                <w:color w:val="141E28"/>
                <w:sz w:val="15"/>
              </w:rPr>
              <w:t>2.604</w:t>
            </w:r>
          </w:p>
        </w:tc>
        <w:tc>
          <w:tcPr>
            <w:tcW w:type="dxa" w:w="1452"/>
            <w:vAlign w:val="center"/>
          </w:tcPr>
          <w:p>
            <w:pPr>
              <w:jc w:val="center"/>
            </w:pPr>
            <w:r/>
            <w:r>
              <w:rPr>
                <w:rFonts w:ascii="Times New Roman" w:hAnsi="Times New Roman" w:eastAsia="Times New Roman"/>
                <w:b w:val="0"/>
                <w:color w:val="141E28"/>
                <w:sz w:val="15"/>
              </w:rPr>
              <w:t>0.229</w:t>
            </w:r>
          </w:p>
        </w:tc>
        <w:tc>
          <w:tcPr>
            <w:tcW w:type="dxa" w:w="1452"/>
            <w:vAlign w:val="center"/>
          </w:tcPr>
          <w:p>
            <w:pPr>
              <w:jc w:val="center"/>
            </w:pPr>
            <w:r/>
            <w:r>
              <w:rPr>
                <w:rFonts w:ascii="Times New Roman" w:hAnsi="Times New Roman" w:eastAsia="Times New Roman"/>
                <w:b w:val="0"/>
                <w:color w:val="141E28"/>
                <w:sz w:val="15"/>
              </w:rPr>
              <w:t>True</w:t>
            </w:r>
          </w:p>
        </w:tc>
      </w:tr>
      <w:tr>
        <w:tc>
          <w:tcPr>
            <w:tcW w:type="dxa" w:w="1452"/>
            <w:vAlign w:val="center"/>
          </w:tcPr>
          <w:p>
            <w:pPr>
              <w:jc w:val="left"/>
            </w:pPr>
            <w:r/>
            <w:r>
              <w:rPr>
                <w:rFonts w:ascii="Times New Roman" w:hAnsi="Times New Roman" w:eastAsia="Times New Roman"/>
                <w:b w:val="0"/>
                <w:color w:val="141E28"/>
                <w:sz w:val="15"/>
              </w:rPr>
              <w:t>Linear SVM</w:t>
            </w:r>
          </w:p>
        </w:tc>
        <w:tc>
          <w:tcPr>
            <w:tcW w:type="dxa" w:w="1452"/>
            <w:vAlign w:val="center"/>
          </w:tcPr>
          <w:p>
            <w:pPr>
              <w:jc w:val="center"/>
            </w:pPr>
            <w:r/>
            <w:r>
              <w:rPr>
                <w:rFonts w:ascii="Times New Roman" w:hAnsi="Times New Roman" w:eastAsia="Times New Roman"/>
                <w:b w:val="0"/>
                <w:color w:val="141E28"/>
                <w:sz w:val="15"/>
              </w:rPr>
              <w:t>0.723</w:t>
            </w:r>
          </w:p>
        </w:tc>
        <w:tc>
          <w:tcPr>
            <w:tcW w:type="dxa" w:w="1452"/>
            <w:vAlign w:val="center"/>
          </w:tcPr>
          <w:p>
            <w:pPr>
              <w:jc w:val="center"/>
            </w:pPr>
            <w:r/>
            <w:r>
              <w:rPr>
                <w:rFonts w:ascii="Times New Roman" w:hAnsi="Times New Roman" w:eastAsia="Times New Roman"/>
                <w:b w:val="0"/>
                <w:color w:val="141E28"/>
                <w:sz w:val="15"/>
              </w:rPr>
              <w:t>0.968</w:t>
            </w:r>
          </w:p>
        </w:tc>
        <w:tc>
          <w:tcPr>
            <w:tcW w:type="dxa" w:w="1452"/>
            <w:vAlign w:val="center"/>
          </w:tcPr>
          <w:p>
            <w:pPr>
              <w:jc w:val="center"/>
            </w:pPr>
            <w:r/>
            <w:r>
              <w:rPr>
                <w:rFonts w:ascii="Times New Roman" w:hAnsi="Times New Roman" w:eastAsia="Times New Roman"/>
                <w:b w:val="0"/>
                <w:color w:val="141E28"/>
                <w:sz w:val="15"/>
              </w:rPr>
              <w:t>0.057</w:t>
            </w:r>
          </w:p>
        </w:tc>
        <w:tc>
          <w:tcPr>
            <w:tcW w:type="dxa" w:w="1452"/>
            <w:vAlign w:val="center"/>
          </w:tcPr>
          <w:p>
            <w:pPr>
              <w:jc w:val="center"/>
            </w:pPr>
            <w:r/>
            <w:r>
              <w:rPr>
                <w:rFonts w:ascii="Times New Roman" w:hAnsi="Times New Roman" w:eastAsia="Times New Roman"/>
                <w:b w:val="0"/>
                <w:color w:val="141E28"/>
                <w:sz w:val="15"/>
              </w:rPr>
              <w:t>2.497</w:t>
            </w:r>
          </w:p>
        </w:tc>
        <w:tc>
          <w:tcPr>
            <w:tcW w:type="dxa" w:w="1452"/>
            <w:vAlign w:val="center"/>
          </w:tcPr>
          <w:p>
            <w:pPr>
              <w:jc w:val="center"/>
            </w:pPr>
            <w:r/>
            <w:r>
              <w:rPr>
                <w:rFonts w:ascii="Times New Roman" w:hAnsi="Times New Roman" w:eastAsia="Times New Roman"/>
                <w:b w:val="0"/>
                <w:color w:val="141E28"/>
                <w:sz w:val="15"/>
              </w:rPr>
              <w:t>0.374</w:t>
            </w:r>
          </w:p>
        </w:tc>
        <w:tc>
          <w:tcPr>
            <w:tcW w:type="dxa" w:w="1452"/>
            <w:vAlign w:val="center"/>
          </w:tcPr>
          <w:p>
            <w:pPr>
              <w:jc w:val="center"/>
            </w:pPr>
            <w:r/>
            <w:r>
              <w:rPr>
                <w:rFonts w:ascii="Times New Roman" w:hAnsi="Times New Roman" w:eastAsia="Times New Roman"/>
                <w:b w:val="0"/>
                <w:color w:val="141E28"/>
                <w:sz w:val="15"/>
              </w:rPr>
              <w:t>False</w:t>
            </w:r>
          </w:p>
        </w:tc>
      </w:tr>
    </w:tbl>
    <w:p>
      <w:pPr>
        <w:spacing w:after="120" w:line="252" w:lineRule="auto"/>
      </w:pPr>
    </w:p>
    <w:p>
      <w:pPr>
        <w:jc w:val="center"/>
      </w:pPr>
      <w:r>
        <w:drawing>
          <wp:inline xmlns:a="http://schemas.openxmlformats.org/drawingml/2006/main" xmlns:pic="http://schemas.openxmlformats.org/drawingml/2006/picture">
            <wp:extent cx="5989320" cy="3428034"/>
            <wp:docPr id="2" name="Picture 2" title="Fig" descr="Fig. 2. Accuracy-carbon Pareto frontier for the five-model suite."/>
            <wp:cNvGraphicFramePr>
              <a:graphicFrameLocks noChangeAspect="1"/>
            </wp:cNvGraphicFramePr>
            <a:graphic>
              <a:graphicData uri="http://schemas.openxmlformats.org/drawingml/2006/picture">
                <pic:pic>
                  <pic:nvPicPr>
                    <pic:cNvPr id="0" name="rq1_accuracy_carbon_pareto.png"/>
                    <pic:cNvPicPr/>
                  </pic:nvPicPr>
                  <pic:blipFill>
                    <a:blip r:embed="rId17"/>
                    <a:stretch>
                      <a:fillRect/>
                    </a:stretch>
                  </pic:blipFill>
                  <pic:spPr>
                    <a:xfrm>
                      <a:off x="0" y="0"/>
                      <a:ext cx="5989320" cy="3428034"/>
                    </a:xfrm>
                    <a:prstGeom prst="rect"/>
                  </pic:spPr>
                </pic:pic>
              </a:graphicData>
            </a:graphic>
          </wp:inline>
        </w:drawing>
      </w:r>
    </w:p>
    <w:p>
      <w:pPr>
        <w:spacing w:before="100" w:after="100"/>
        <w:jc w:val="center"/>
      </w:pPr>
      <w:r>
        <w:rPr>
          <w:rFonts w:ascii="Times New Roman" w:hAnsi="Times New Roman" w:eastAsia="Times New Roman"/>
          <w:b/>
          <w:sz w:val="18"/>
        </w:rPr>
        <w:t>Fig. 2. Accuracy-carbon Pareto frontier for the five-model suite.</w:t>
      </w:r>
    </w:p>
    <w:p>
      <w:r>
        <w:br w:type="page"/>
      </w:r>
    </w:p>
    <w:p>
      <w:pPr>
        <w:pStyle w:val="Heading2"/>
        <w:spacing w:before="120" w:after="80"/>
      </w:pPr>
      <w:r>
        <w:rPr>
          <w:rFonts w:ascii="Times New Roman" w:hAnsi="Times New Roman" w:eastAsia="Times New Roman"/>
          <w:b/>
          <w:color w:val="1F2B38"/>
          <w:sz w:val="23"/>
        </w:rPr>
        <w:t>4.2 RQ2: Feature Value</w:t>
      </w:r>
    </w:p>
    <w:p>
      <w:pPr>
        <w:spacing w:after="120" w:line="252" w:lineRule="auto"/>
      </w:pPr>
      <w:r>
        <w:rPr>
          <w:rFonts w:ascii="Times New Roman" w:hAnsi="Times New Roman" w:eastAsia="Times New Roman"/>
          <w:sz w:val="21"/>
        </w:rPr>
        <w:t>The feature-ablation experiment shows that calendar variables alone are surprisingly strong because German electricity demand has pronounced daily, weekly, and seasonal regularity. Adding national load history yields the largest marginal improvement. Renewable and TSO-zone variables add operational context, but the full feature set does not dominate the national-history feature set in this run, suggesting that parsimonious feature selection is part of carbon-aware modeling.</w:t>
      </w:r>
    </w:p>
    <w:p>
      <w:pPr>
        <w:spacing w:before="100" w:after="100"/>
        <w:jc w:val="center"/>
      </w:pPr>
      <w:r>
        <w:rPr>
          <w:rFonts w:ascii="Times New Roman" w:hAnsi="Times New Roman" w:eastAsia="Times New Roman"/>
          <w:b/>
          <w:sz w:val="19"/>
        </w:rPr>
        <w:t>TABLE 4. Feature-ablation metrics using histogram gradient boosting.</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DCEAF7"/>
            <w:vAlign w:val="center"/>
          </w:tcPr>
          <w:p>
            <w:pPr>
              <w:jc w:val="center"/>
            </w:pPr>
            <w:r/>
            <w:r>
              <w:rPr>
                <w:rFonts w:ascii="Times New Roman" w:hAnsi="Times New Roman" w:eastAsia="Times New Roman"/>
                <w:b/>
                <w:color w:val="141E28"/>
                <w:sz w:val="16"/>
              </w:rPr>
              <w:t>Feature set</w:t>
            </w:r>
          </w:p>
        </w:tc>
        <w:tc>
          <w:tcPr>
            <w:tcW w:type="dxa" w:w="2033"/>
            <w:shd w:fill="DCEAF7"/>
            <w:vAlign w:val="center"/>
          </w:tcPr>
          <w:p>
            <w:pPr>
              <w:jc w:val="center"/>
            </w:pPr>
            <w:r/>
            <w:r>
              <w:rPr>
                <w:rFonts w:ascii="Times New Roman" w:hAnsi="Times New Roman" w:eastAsia="Times New Roman"/>
                <w:b/>
                <w:color w:val="141E28"/>
                <w:sz w:val="16"/>
              </w:rPr>
              <w:t>No. features</w:t>
            </w:r>
          </w:p>
        </w:tc>
        <w:tc>
          <w:tcPr>
            <w:tcW w:type="dxa" w:w="2033"/>
            <w:shd w:fill="DCEAF7"/>
            <w:vAlign w:val="center"/>
          </w:tcPr>
          <w:p>
            <w:pPr>
              <w:jc w:val="center"/>
            </w:pPr>
            <w:r/>
            <w:r>
              <w:rPr>
                <w:rFonts w:ascii="Times New Roman" w:hAnsi="Times New Roman" w:eastAsia="Times New Roman"/>
                <w:b/>
                <w:color w:val="141E28"/>
                <w:sz w:val="16"/>
              </w:rPr>
              <w:t>F1</w:t>
            </w:r>
          </w:p>
        </w:tc>
        <w:tc>
          <w:tcPr>
            <w:tcW w:type="dxa" w:w="2033"/>
            <w:shd w:fill="DCEAF7"/>
            <w:vAlign w:val="center"/>
          </w:tcPr>
          <w:p>
            <w:pPr>
              <w:jc w:val="center"/>
            </w:pPr>
            <w:r/>
            <w:r>
              <w:rPr>
                <w:rFonts w:ascii="Times New Roman" w:hAnsi="Times New Roman" w:eastAsia="Times New Roman"/>
                <w:b/>
                <w:color w:val="141E28"/>
                <w:sz w:val="16"/>
              </w:rPr>
              <w:t>ROC-AUC</w:t>
            </w:r>
          </w:p>
        </w:tc>
        <w:tc>
          <w:tcPr>
            <w:tcW w:type="dxa" w:w="2033"/>
            <w:shd w:fill="DCEAF7"/>
            <w:vAlign w:val="center"/>
          </w:tcPr>
          <w:p>
            <w:pPr>
              <w:jc w:val="center"/>
            </w:pPr>
            <w:r/>
            <w:r>
              <w:rPr>
                <w:rFonts w:ascii="Times New Roman" w:hAnsi="Times New Roman" w:eastAsia="Times New Roman"/>
                <w:b/>
                <w:color w:val="141E28"/>
                <w:sz w:val="16"/>
              </w:rPr>
              <w:t>Carbon proxy (mg CO2e)</w:t>
            </w:r>
          </w:p>
        </w:tc>
      </w:tr>
      <w:tr>
        <w:tc>
          <w:tcPr>
            <w:tcW w:type="dxa" w:w="2033"/>
            <w:vAlign w:val="center"/>
          </w:tcPr>
          <w:p>
            <w:pPr>
              <w:jc w:val="left"/>
            </w:pPr>
            <w:r/>
            <w:r>
              <w:rPr>
                <w:rFonts w:ascii="Times New Roman" w:hAnsi="Times New Roman" w:eastAsia="Times New Roman"/>
                <w:b w:val="0"/>
                <w:color w:val="141E28"/>
                <w:sz w:val="15"/>
              </w:rPr>
              <w:t>Calendar only</w:t>
            </w:r>
          </w:p>
        </w:tc>
        <w:tc>
          <w:tcPr>
            <w:tcW w:type="dxa" w:w="2033"/>
            <w:vAlign w:val="center"/>
          </w:tcPr>
          <w:p>
            <w:pPr>
              <w:jc w:val="center"/>
            </w:pPr>
            <w:r/>
            <w:r>
              <w:rPr>
                <w:rFonts w:ascii="Times New Roman" w:hAnsi="Times New Roman" w:eastAsia="Times New Roman"/>
                <w:b w:val="0"/>
                <w:color w:val="141E28"/>
                <w:sz w:val="15"/>
              </w:rPr>
              <w:t>7</w:t>
            </w:r>
          </w:p>
        </w:tc>
        <w:tc>
          <w:tcPr>
            <w:tcW w:type="dxa" w:w="2033"/>
            <w:vAlign w:val="center"/>
          </w:tcPr>
          <w:p>
            <w:pPr>
              <w:jc w:val="center"/>
            </w:pPr>
            <w:r/>
            <w:r>
              <w:rPr>
                <w:rFonts w:ascii="Times New Roman" w:hAnsi="Times New Roman" w:eastAsia="Times New Roman"/>
                <w:b w:val="0"/>
                <w:color w:val="141E28"/>
                <w:sz w:val="15"/>
              </w:rPr>
              <w:t>0.811</w:t>
            </w:r>
          </w:p>
        </w:tc>
        <w:tc>
          <w:tcPr>
            <w:tcW w:type="dxa" w:w="2033"/>
            <w:vAlign w:val="center"/>
          </w:tcPr>
          <w:p>
            <w:pPr>
              <w:jc w:val="center"/>
            </w:pPr>
            <w:r/>
            <w:r>
              <w:rPr>
                <w:rFonts w:ascii="Times New Roman" w:hAnsi="Times New Roman" w:eastAsia="Times New Roman"/>
                <w:b w:val="0"/>
                <w:color w:val="141E28"/>
                <w:sz w:val="15"/>
              </w:rPr>
              <w:t>0.981</w:t>
            </w:r>
          </w:p>
        </w:tc>
        <w:tc>
          <w:tcPr>
            <w:tcW w:type="dxa" w:w="2033"/>
            <w:vAlign w:val="center"/>
          </w:tcPr>
          <w:p>
            <w:pPr>
              <w:jc w:val="center"/>
            </w:pPr>
            <w:r/>
            <w:r>
              <w:rPr>
                <w:rFonts w:ascii="Times New Roman" w:hAnsi="Times New Roman" w:eastAsia="Times New Roman"/>
                <w:b w:val="0"/>
                <w:color w:val="141E28"/>
                <w:sz w:val="15"/>
              </w:rPr>
              <w:t>5.107</w:t>
            </w:r>
          </w:p>
        </w:tc>
      </w:tr>
      <w:tr>
        <w:tc>
          <w:tcPr>
            <w:tcW w:type="dxa" w:w="2033"/>
            <w:vAlign w:val="center"/>
          </w:tcPr>
          <w:p>
            <w:pPr>
              <w:jc w:val="left"/>
            </w:pPr>
            <w:r/>
            <w:r>
              <w:rPr>
                <w:rFonts w:ascii="Times New Roman" w:hAnsi="Times New Roman" w:eastAsia="Times New Roman"/>
                <w:b w:val="0"/>
                <w:color w:val="141E28"/>
                <w:sz w:val="15"/>
              </w:rPr>
              <w:t>Calendar + national load history</w:t>
            </w:r>
          </w:p>
        </w:tc>
        <w:tc>
          <w:tcPr>
            <w:tcW w:type="dxa" w:w="2033"/>
            <w:vAlign w:val="center"/>
          </w:tcPr>
          <w:p>
            <w:pPr>
              <w:jc w:val="center"/>
            </w:pPr>
            <w:r/>
            <w:r>
              <w:rPr>
                <w:rFonts w:ascii="Times New Roman" w:hAnsi="Times New Roman" w:eastAsia="Times New Roman"/>
                <w:b w:val="0"/>
                <w:color w:val="141E28"/>
                <w:sz w:val="15"/>
              </w:rPr>
              <w:t>14</w:t>
            </w:r>
          </w:p>
        </w:tc>
        <w:tc>
          <w:tcPr>
            <w:tcW w:type="dxa" w:w="2033"/>
            <w:vAlign w:val="center"/>
          </w:tcPr>
          <w:p>
            <w:pPr>
              <w:jc w:val="center"/>
            </w:pPr>
            <w:r/>
            <w:r>
              <w:rPr>
                <w:rFonts w:ascii="Times New Roman" w:hAnsi="Times New Roman" w:eastAsia="Times New Roman"/>
                <w:b w:val="0"/>
                <w:color w:val="141E28"/>
                <w:sz w:val="15"/>
              </w:rPr>
              <w:t>0.902</w:t>
            </w:r>
          </w:p>
        </w:tc>
        <w:tc>
          <w:tcPr>
            <w:tcW w:type="dxa" w:w="2033"/>
            <w:vAlign w:val="center"/>
          </w:tcPr>
          <w:p>
            <w:pPr>
              <w:jc w:val="center"/>
            </w:pPr>
            <w:r/>
            <w:r>
              <w:rPr>
                <w:rFonts w:ascii="Times New Roman" w:hAnsi="Times New Roman" w:eastAsia="Times New Roman"/>
                <w:b w:val="0"/>
                <w:color w:val="141E28"/>
                <w:sz w:val="15"/>
              </w:rPr>
              <w:t>0.994</w:t>
            </w:r>
          </w:p>
        </w:tc>
        <w:tc>
          <w:tcPr>
            <w:tcW w:type="dxa" w:w="2033"/>
            <w:vAlign w:val="center"/>
          </w:tcPr>
          <w:p>
            <w:pPr>
              <w:jc w:val="center"/>
            </w:pPr>
            <w:r/>
            <w:r>
              <w:rPr>
                <w:rFonts w:ascii="Times New Roman" w:hAnsi="Times New Roman" w:eastAsia="Times New Roman"/>
                <w:b w:val="0"/>
                <w:color w:val="141E28"/>
                <w:sz w:val="15"/>
              </w:rPr>
              <w:t>4.854</w:t>
            </w:r>
          </w:p>
        </w:tc>
      </w:tr>
      <w:tr>
        <w:tc>
          <w:tcPr>
            <w:tcW w:type="dxa" w:w="2033"/>
            <w:vAlign w:val="center"/>
          </w:tcPr>
          <w:p>
            <w:pPr>
              <w:jc w:val="left"/>
            </w:pPr>
            <w:r/>
            <w:r>
              <w:rPr>
                <w:rFonts w:ascii="Times New Roman" w:hAnsi="Times New Roman" w:eastAsia="Times New Roman"/>
                <w:b w:val="0"/>
                <w:color w:val="141E28"/>
                <w:sz w:val="15"/>
              </w:rPr>
              <w:t>Add renewable operating state</w:t>
            </w:r>
          </w:p>
        </w:tc>
        <w:tc>
          <w:tcPr>
            <w:tcW w:type="dxa" w:w="2033"/>
            <w:vAlign w:val="center"/>
          </w:tcPr>
          <w:p>
            <w:pPr>
              <w:jc w:val="center"/>
            </w:pPr>
            <w:r/>
            <w:r>
              <w:rPr>
                <w:rFonts w:ascii="Times New Roman" w:hAnsi="Times New Roman" w:eastAsia="Times New Roman"/>
                <w:b w:val="0"/>
                <w:color w:val="141E28"/>
                <w:sz w:val="15"/>
              </w:rPr>
              <w:t>23</w:t>
            </w:r>
          </w:p>
        </w:tc>
        <w:tc>
          <w:tcPr>
            <w:tcW w:type="dxa" w:w="2033"/>
            <w:vAlign w:val="center"/>
          </w:tcPr>
          <w:p>
            <w:pPr>
              <w:jc w:val="center"/>
            </w:pPr>
            <w:r/>
            <w:r>
              <w:rPr>
                <w:rFonts w:ascii="Times New Roman" w:hAnsi="Times New Roman" w:eastAsia="Times New Roman"/>
                <w:b w:val="0"/>
                <w:color w:val="141E28"/>
                <w:sz w:val="15"/>
              </w:rPr>
              <w:t>0.893</w:t>
            </w:r>
          </w:p>
        </w:tc>
        <w:tc>
          <w:tcPr>
            <w:tcW w:type="dxa" w:w="2033"/>
            <w:vAlign w:val="center"/>
          </w:tcPr>
          <w:p>
            <w:pPr>
              <w:jc w:val="center"/>
            </w:pPr>
            <w:r/>
            <w:r>
              <w:rPr>
                <w:rFonts w:ascii="Times New Roman" w:hAnsi="Times New Roman" w:eastAsia="Times New Roman"/>
                <w:b w:val="0"/>
                <w:color w:val="141E28"/>
                <w:sz w:val="15"/>
              </w:rPr>
              <w:t>0.993</w:t>
            </w:r>
          </w:p>
        </w:tc>
        <w:tc>
          <w:tcPr>
            <w:tcW w:type="dxa" w:w="2033"/>
            <w:vAlign w:val="center"/>
          </w:tcPr>
          <w:p>
            <w:pPr>
              <w:jc w:val="center"/>
            </w:pPr>
            <w:r/>
            <w:r>
              <w:rPr>
                <w:rFonts w:ascii="Times New Roman" w:hAnsi="Times New Roman" w:eastAsia="Times New Roman"/>
                <w:b w:val="0"/>
                <w:color w:val="141E28"/>
                <w:sz w:val="15"/>
              </w:rPr>
              <w:t>4.740</w:t>
            </w:r>
          </w:p>
        </w:tc>
      </w:tr>
      <w:tr>
        <w:tc>
          <w:tcPr>
            <w:tcW w:type="dxa" w:w="2033"/>
            <w:vAlign w:val="center"/>
          </w:tcPr>
          <w:p>
            <w:pPr>
              <w:jc w:val="left"/>
            </w:pPr>
            <w:r/>
            <w:r>
              <w:rPr>
                <w:rFonts w:ascii="Times New Roman" w:hAnsi="Times New Roman" w:eastAsia="Times New Roman"/>
                <w:b w:val="0"/>
                <w:color w:val="141E28"/>
                <w:sz w:val="15"/>
              </w:rPr>
              <w:t>Add TSO-zone state</w:t>
            </w:r>
          </w:p>
        </w:tc>
        <w:tc>
          <w:tcPr>
            <w:tcW w:type="dxa" w:w="2033"/>
            <w:vAlign w:val="center"/>
          </w:tcPr>
          <w:p>
            <w:pPr>
              <w:jc w:val="center"/>
            </w:pPr>
            <w:r/>
            <w:r>
              <w:rPr>
                <w:rFonts w:ascii="Times New Roman" w:hAnsi="Times New Roman" w:eastAsia="Times New Roman"/>
                <w:b w:val="0"/>
                <w:color w:val="141E28"/>
                <w:sz w:val="15"/>
              </w:rPr>
              <w:t>28</w:t>
            </w:r>
          </w:p>
        </w:tc>
        <w:tc>
          <w:tcPr>
            <w:tcW w:type="dxa" w:w="2033"/>
            <w:vAlign w:val="center"/>
          </w:tcPr>
          <w:p>
            <w:pPr>
              <w:jc w:val="center"/>
            </w:pPr>
            <w:r/>
            <w:r>
              <w:rPr>
                <w:rFonts w:ascii="Times New Roman" w:hAnsi="Times New Roman" w:eastAsia="Times New Roman"/>
                <w:b w:val="0"/>
                <w:color w:val="141E28"/>
                <w:sz w:val="15"/>
              </w:rPr>
              <w:t>0.902</w:t>
            </w:r>
          </w:p>
        </w:tc>
        <w:tc>
          <w:tcPr>
            <w:tcW w:type="dxa" w:w="2033"/>
            <w:vAlign w:val="center"/>
          </w:tcPr>
          <w:p>
            <w:pPr>
              <w:jc w:val="center"/>
            </w:pPr>
            <w:r/>
            <w:r>
              <w:rPr>
                <w:rFonts w:ascii="Times New Roman" w:hAnsi="Times New Roman" w:eastAsia="Times New Roman"/>
                <w:b w:val="0"/>
                <w:color w:val="141E28"/>
                <w:sz w:val="15"/>
              </w:rPr>
              <w:t>0.993</w:t>
            </w:r>
          </w:p>
        </w:tc>
        <w:tc>
          <w:tcPr>
            <w:tcW w:type="dxa" w:w="2033"/>
            <w:vAlign w:val="center"/>
          </w:tcPr>
          <w:p>
            <w:pPr>
              <w:jc w:val="center"/>
            </w:pPr>
            <w:r/>
            <w:r>
              <w:rPr>
                <w:rFonts w:ascii="Times New Roman" w:hAnsi="Times New Roman" w:eastAsia="Times New Roman"/>
                <w:b w:val="0"/>
                <w:color w:val="141E28"/>
                <w:sz w:val="15"/>
              </w:rPr>
              <w:t>5.150</w:t>
            </w:r>
          </w:p>
        </w:tc>
      </w:tr>
      <w:tr>
        <w:tc>
          <w:tcPr>
            <w:tcW w:type="dxa" w:w="2033"/>
            <w:vAlign w:val="center"/>
          </w:tcPr>
          <w:p>
            <w:pPr>
              <w:jc w:val="left"/>
            </w:pPr>
            <w:r/>
            <w:r>
              <w:rPr>
                <w:rFonts w:ascii="Times New Roman" w:hAnsi="Times New Roman" w:eastAsia="Times New Roman"/>
                <w:b w:val="0"/>
                <w:color w:val="141E28"/>
                <w:sz w:val="15"/>
              </w:rPr>
              <w:t>Full feature set incl. day-ahead forecast</w:t>
            </w:r>
          </w:p>
        </w:tc>
        <w:tc>
          <w:tcPr>
            <w:tcW w:type="dxa" w:w="2033"/>
            <w:vAlign w:val="center"/>
          </w:tcPr>
          <w:p>
            <w:pPr>
              <w:jc w:val="center"/>
            </w:pPr>
            <w:r/>
            <w:r>
              <w:rPr>
                <w:rFonts w:ascii="Times New Roman" w:hAnsi="Times New Roman" w:eastAsia="Times New Roman"/>
                <w:b w:val="0"/>
                <w:color w:val="141E28"/>
                <w:sz w:val="15"/>
              </w:rPr>
              <w:t>29</w:t>
            </w:r>
          </w:p>
        </w:tc>
        <w:tc>
          <w:tcPr>
            <w:tcW w:type="dxa" w:w="2033"/>
            <w:vAlign w:val="center"/>
          </w:tcPr>
          <w:p>
            <w:pPr>
              <w:jc w:val="center"/>
            </w:pPr>
            <w:r/>
            <w:r>
              <w:rPr>
                <w:rFonts w:ascii="Times New Roman" w:hAnsi="Times New Roman" w:eastAsia="Times New Roman"/>
                <w:b w:val="0"/>
                <w:color w:val="141E28"/>
                <w:sz w:val="15"/>
              </w:rPr>
              <w:t>0.897</w:t>
            </w:r>
          </w:p>
        </w:tc>
        <w:tc>
          <w:tcPr>
            <w:tcW w:type="dxa" w:w="2033"/>
            <w:vAlign w:val="center"/>
          </w:tcPr>
          <w:p>
            <w:pPr>
              <w:jc w:val="center"/>
            </w:pPr>
            <w:r/>
            <w:r>
              <w:rPr>
                <w:rFonts w:ascii="Times New Roman" w:hAnsi="Times New Roman" w:eastAsia="Times New Roman"/>
                <w:b w:val="0"/>
                <w:color w:val="141E28"/>
                <w:sz w:val="15"/>
              </w:rPr>
              <w:t>0.993</w:t>
            </w:r>
          </w:p>
        </w:tc>
        <w:tc>
          <w:tcPr>
            <w:tcW w:type="dxa" w:w="2033"/>
            <w:vAlign w:val="center"/>
          </w:tcPr>
          <w:p>
            <w:pPr>
              <w:jc w:val="center"/>
            </w:pPr>
            <w:r/>
            <w:r>
              <w:rPr>
                <w:rFonts w:ascii="Times New Roman" w:hAnsi="Times New Roman" w:eastAsia="Times New Roman"/>
                <w:b w:val="0"/>
                <w:color w:val="141E28"/>
                <w:sz w:val="15"/>
              </w:rPr>
              <w:t>5.291</w:t>
            </w:r>
          </w:p>
        </w:tc>
      </w:tr>
    </w:tbl>
    <w:p>
      <w:pPr>
        <w:spacing w:after="120" w:line="252" w:lineRule="auto"/>
      </w:pPr>
    </w:p>
    <w:p>
      <w:pPr>
        <w:jc w:val="center"/>
      </w:pPr>
      <w:r>
        <w:drawing>
          <wp:inline xmlns:a="http://schemas.openxmlformats.org/drawingml/2006/main" xmlns:pic="http://schemas.openxmlformats.org/drawingml/2006/picture">
            <wp:extent cx="5989320" cy="3123463"/>
            <wp:docPr id="3" name="Picture 3" title="Fig" descr="Fig. 3. Feature value versus training carbon proxy."/>
            <wp:cNvGraphicFramePr>
              <a:graphicFrameLocks noChangeAspect="1"/>
            </wp:cNvGraphicFramePr>
            <a:graphic>
              <a:graphicData uri="http://schemas.openxmlformats.org/drawingml/2006/picture">
                <pic:pic>
                  <pic:nvPicPr>
                    <pic:cNvPr id="0" name="rq2_feature_ablation.png"/>
                    <pic:cNvPicPr/>
                  </pic:nvPicPr>
                  <pic:blipFill>
                    <a:blip r:embed="rId18"/>
                    <a:stretch>
                      <a:fillRect/>
                    </a:stretch>
                  </pic:blipFill>
                  <pic:spPr>
                    <a:xfrm>
                      <a:off x="0" y="0"/>
                      <a:ext cx="5989320" cy="3123463"/>
                    </a:xfrm>
                    <a:prstGeom prst="rect"/>
                  </pic:spPr>
                </pic:pic>
              </a:graphicData>
            </a:graphic>
          </wp:inline>
        </w:drawing>
      </w:r>
    </w:p>
    <w:p>
      <w:pPr>
        <w:spacing w:before="100" w:after="100"/>
        <w:jc w:val="center"/>
      </w:pPr>
      <w:r>
        <w:rPr>
          <w:rFonts w:ascii="Times New Roman" w:hAnsi="Times New Roman" w:eastAsia="Times New Roman"/>
          <w:b/>
          <w:sz w:val="18"/>
        </w:rPr>
        <w:t>Fig. 3. Feature value versus training carbon proxy.</w:t>
      </w:r>
    </w:p>
    <w:p>
      <w:r>
        <w:br w:type="page"/>
      </w:r>
    </w:p>
    <w:p>
      <w:pPr>
        <w:pStyle w:val="Heading2"/>
        <w:spacing w:before="120" w:after="80"/>
      </w:pPr>
      <w:r>
        <w:rPr>
          <w:rFonts w:ascii="Times New Roman" w:hAnsi="Times New Roman" w:eastAsia="Times New Roman"/>
          <w:b/>
          <w:color w:val="1F2B38"/>
          <w:sz w:val="23"/>
        </w:rPr>
        <w:t>4.3 RQ3: Seasonal Generalization</w:t>
      </w:r>
    </w:p>
    <w:p>
      <w:pPr>
        <w:spacing w:after="120" w:line="252" w:lineRule="auto"/>
      </w:pPr>
      <w:r>
        <w:rPr>
          <w:rFonts w:ascii="Times New Roman" w:hAnsi="Times New Roman" w:eastAsia="Times New Roman"/>
          <w:sz w:val="21"/>
        </w:rPr>
        <w:t>The seasonal stress test confirms that winter is the easiest regime and summer is the hardest, especially for the linear baselines. Neural and boosted-tree models maintain stronger summer robustness, while random forest remains competitive in autumn and winter. This pattern is consistent with the higher variance of summer renewable generation and demand conditions.</w:t>
      </w:r>
    </w:p>
    <w:p>
      <w:pPr>
        <w:spacing w:before="100" w:after="100"/>
        <w:jc w:val="center"/>
      </w:pPr>
      <w:r>
        <w:rPr>
          <w:rFonts w:ascii="Times New Roman" w:hAnsi="Times New Roman" w:eastAsia="Times New Roman"/>
          <w:b/>
          <w:sz w:val="19"/>
        </w:rPr>
        <w:t>TABLE 5. Seasonal F1-score by model.</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DCEAF7"/>
            <w:vAlign w:val="center"/>
          </w:tcPr>
          <w:p>
            <w:pPr>
              <w:jc w:val="center"/>
            </w:pPr>
            <w:r/>
            <w:r>
              <w:rPr>
                <w:rFonts w:ascii="Times New Roman" w:hAnsi="Times New Roman" w:eastAsia="Times New Roman"/>
                <w:b/>
                <w:color w:val="141E28"/>
                <w:sz w:val="16"/>
              </w:rPr>
              <w:t>Model</w:t>
            </w:r>
          </w:p>
        </w:tc>
        <w:tc>
          <w:tcPr>
            <w:tcW w:type="dxa" w:w="2033"/>
            <w:shd w:fill="DCEAF7"/>
            <w:vAlign w:val="center"/>
          </w:tcPr>
          <w:p>
            <w:pPr>
              <w:jc w:val="center"/>
            </w:pPr>
            <w:r/>
            <w:r>
              <w:rPr>
                <w:rFonts w:ascii="Times New Roman" w:hAnsi="Times New Roman" w:eastAsia="Times New Roman"/>
                <w:b/>
                <w:color w:val="141E28"/>
                <w:sz w:val="16"/>
              </w:rPr>
              <w:t>Winter</w:t>
            </w:r>
          </w:p>
        </w:tc>
        <w:tc>
          <w:tcPr>
            <w:tcW w:type="dxa" w:w="2033"/>
            <w:shd w:fill="DCEAF7"/>
            <w:vAlign w:val="center"/>
          </w:tcPr>
          <w:p>
            <w:pPr>
              <w:jc w:val="center"/>
            </w:pPr>
            <w:r/>
            <w:r>
              <w:rPr>
                <w:rFonts w:ascii="Times New Roman" w:hAnsi="Times New Roman" w:eastAsia="Times New Roman"/>
                <w:b/>
                <w:color w:val="141E28"/>
                <w:sz w:val="16"/>
              </w:rPr>
              <w:t>Spring</w:t>
            </w:r>
          </w:p>
        </w:tc>
        <w:tc>
          <w:tcPr>
            <w:tcW w:type="dxa" w:w="2033"/>
            <w:shd w:fill="DCEAF7"/>
            <w:vAlign w:val="center"/>
          </w:tcPr>
          <w:p>
            <w:pPr>
              <w:jc w:val="center"/>
            </w:pPr>
            <w:r/>
            <w:r>
              <w:rPr>
                <w:rFonts w:ascii="Times New Roman" w:hAnsi="Times New Roman" w:eastAsia="Times New Roman"/>
                <w:b/>
                <w:color w:val="141E28"/>
                <w:sz w:val="16"/>
              </w:rPr>
              <w:t>Summer</w:t>
            </w:r>
          </w:p>
        </w:tc>
        <w:tc>
          <w:tcPr>
            <w:tcW w:type="dxa" w:w="2033"/>
            <w:shd w:fill="DCEAF7"/>
            <w:vAlign w:val="center"/>
          </w:tcPr>
          <w:p>
            <w:pPr>
              <w:jc w:val="center"/>
            </w:pPr>
            <w:r/>
            <w:r>
              <w:rPr>
                <w:rFonts w:ascii="Times New Roman" w:hAnsi="Times New Roman" w:eastAsia="Times New Roman"/>
                <w:b/>
                <w:color w:val="141E28"/>
                <w:sz w:val="16"/>
              </w:rPr>
              <w:t>Autumn</w:t>
            </w:r>
          </w:p>
        </w:tc>
      </w:tr>
      <w:tr>
        <w:tc>
          <w:tcPr>
            <w:tcW w:type="dxa" w:w="2033"/>
            <w:vAlign w:val="center"/>
          </w:tcPr>
          <w:p>
            <w:pPr>
              <w:jc w:val="left"/>
            </w:pPr>
            <w:r/>
            <w:r>
              <w:rPr>
                <w:rFonts w:ascii="Times New Roman" w:hAnsi="Times New Roman" w:eastAsia="Times New Roman"/>
                <w:b w:val="0"/>
                <w:color w:val="141E28"/>
                <w:sz w:val="15"/>
              </w:rPr>
              <w:t>Histogram Gradient Boosting</w:t>
            </w:r>
          </w:p>
        </w:tc>
        <w:tc>
          <w:tcPr>
            <w:tcW w:type="dxa" w:w="2033"/>
            <w:vAlign w:val="center"/>
          </w:tcPr>
          <w:p>
            <w:pPr>
              <w:jc w:val="center"/>
            </w:pPr>
            <w:r/>
            <w:r>
              <w:rPr>
                <w:rFonts w:ascii="Times New Roman" w:hAnsi="Times New Roman" w:eastAsia="Times New Roman"/>
                <w:b w:val="0"/>
                <w:color w:val="141E28"/>
                <w:sz w:val="15"/>
              </w:rPr>
              <w:t>0.966</w:t>
            </w:r>
          </w:p>
        </w:tc>
        <w:tc>
          <w:tcPr>
            <w:tcW w:type="dxa" w:w="2033"/>
            <w:vAlign w:val="center"/>
          </w:tcPr>
          <w:p>
            <w:pPr>
              <w:jc w:val="center"/>
            </w:pPr>
            <w:r/>
            <w:r>
              <w:rPr>
                <w:rFonts w:ascii="Times New Roman" w:hAnsi="Times New Roman" w:eastAsia="Times New Roman"/>
                <w:b w:val="0"/>
                <w:color w:val="141E28"/>
                <w:sz w:val="15"/>
              </w:rPr>
              <w:t>0.847</w:t>
            </w:r>
          </w:p>
        </w:tc>
        <w:tc>
          <w:tcPr>
            <w:tcW w:type="dxa" w:w="2033"/>
            <w:vAlign w:val="center"/>
          </w:tcPr>
          <w:p>
            <w:pPr>
              <w:jc w:val="center"/>
            </w:pPr>
            <w:r/>
            <w:r>
              <w:rPr>
                <w:rFonts w:ascii="Times New Roman" w:hAnsi="Times New Roman" w:eastAsia="Times New Roman"/>
                <w:b w:val="0"/>
                <w:color w:val="141E28"/>
                <w:sz w:val="15"/>
              </w:rPr>
              <w:t>0.739</w:t>
            </w:r>
          </w:p>
        </w:tc>
        <w:tc>
          <w:tcPr>
            <w:tcW w:type="dxa" w:w="2033"/>
            <w:vAlign w:val="center"/>
          </w:tcPr>
          <w:p>
            <w:pPr>
              <w:jc w:val="center"/>
            </w:pPr>
            <w:r/>
            <w:r>
              <w:rPr>
                <w:rFonts w:ascii="Times New Roman" w:hAnsi="Times New Roman" w:eastAsia="Times New Roman"/>
                <w:b w:val="0"/>
                <w:color w:val="141E28"/>
                <w:sz w:val="15"/>
              </w:rPr>
              <w:t>0.864</w:t>
            </w:r>
          </w:p>
        </w:tc>
      </w:tr>
      <w:tr>
        <w:tc>
          <w:tcPr>
            <w:tcW w:type="dxa" w:w="2033"/>
            <w:vAlign w:val="center"/>
          </w:tcPr>
          <w:p>
            <w:pPr>
              <w:jc w:val="left"/>
            </w:pPr>
            <w:r/>
            <w:r>
              <w:rPr>
                <w:rFonts w:ascii="Times New Roman" w:hAnsi="Times New Roman" w:eastAsia="Times New Roman"/>
                <w:b w:val="0"/>
                <w:color w:val="141E28"/>
                <w:sz w:val="15"/>
              </w:rPr>
              <w:t>Linear SVM</w:t>
            </w:r>
          </w:p>
        </w:tc>
        <w:tc>
          <w:tcPr>
            <w:tcW w:type="dxa" w:w="2033"/>
            <w:vAlign w:val="center"/>
          </w:tcPr>
          <w:p>
            <w:pPr>
              <w:jc w:val="center"/>
            </w:pPr>
            <w:r/>
            <w:r>
              <w:rPr>
                <w:rFonts w:ascii="Times New Roman" w:hAnsi="Times New Roman" w:eastAsia="Times New Roman"/>
                <w:b w:val="0"/>
                <w:color w:val="141E28"/>
                <w:sz w:val="15"/>
              </w:rPr>
              <w:t>0.841</w:t>
            </w:r>
          </w:p>
        </w:tc>
        <w:tc>
          <w:tcPr>
            <w:tcW w:type="dxa" w:w="2033"/>
            <w:vAlign w:val="center"/>
          </w:tcPr>
          <w:p>
            <w:pPr>
              <w:jc w:val="center"/>
            </w:pPr>
            <w:r/>
            <w:r>
              <w:rPr>
                <w:rFonts w:ascii="Times New Roman" w:hAnsi="Times New Roman" w:eastAsia="Times New Roman"/>
                <w:b w:val="0"/>
                <w:color w:val="141E28"/>
                <w:sz w:val="15"/>
              </w:rPr>
              <w:t>0.649</w:t>
            </w:r>
          </w:p>
        </w:tc>
        <w:tc>
          <w:tcPr>
            <w:tcW w:type="dxa" w:w="2033"/>
            <w:vAlign w:val="center"/>
          </w:tcPr>
          <w:p>
            <w:pPr>
              <w:jc w:val="center"/>
            </w:pPr>
            <w:r/>
            <w:r>
              <w:rPr>
                <w:rFonts w:ascii="Times New Roman" w:hAnsi="Times New Roman" w:eastAsia="Times New Roman"/>
                <w:b w:val="0"/>
                <w:color w:val="141E28"/>
                <w:sz w:val="15"/>
              </w:rPr>
              <w:t>0.479</w:t>
            </w:r>
          </w:p>
        </w:tc>
        <w:tc>
          <w:tcPr>
            <w:tcW w:type="dxa" w:w="2033"/>
            <w:vAlign w:val="center"/>
          </w:tcPr>
          <w:p>
            <w:pPr>
              <w:jc w:val="center"/>
            </w:pPr>
            <w:r/>
            <w:r>
              <w:rPr>
                <w:rFonts w:ascii="Times New Roman" w:hAnsi="Times New Roman" w:eastAsia="Times New Roman"/>
                <w:b w:val="0"/>
                <w:color w:val="141E28"/>
                <w:sz w:val="15"/>
              </w:rPr>
              <w:t>0.714</w:t>
            </w:r>
          </w:p>
        </w:tc>
      </w:tr>
      <w:tr>
        <w:tc>
          <w:tcPr>
            <w:tcW w:type="dxa" w:w="2033"/>
            <w:vAlign w:val="center"/>
          </w:tcPr>
          <w:p>
            <w:pPr>
              <w:jc w:val="left"/>
            </w:pPr>
            <w:r/>
            <w:r>
              <w:rPr>
                <w:rFonts w:ascii="Times New Roman" w:hAnsi="Times New Roman" w:eastAsia="Times New Roman"/>
                <w:b w:val="0"/>
                <w:color w:val="141E28"/>
                <w:sz w:val="15"/>
              </w:rPr>
              <w:t>Logistic Regression</w:t>
            </w:r>
          </w:p>
        </w:tc>
        <w:tc>
          <w:tcPr>
            <w:tcW w:type="dxa" w:w="2033"/>
            <w:vAlign w:val="center"/>
          </w:tcPr>
          <w:p>
            <w:pPr>
              <w:jc w:val="center"/>
            </w:pPr>
            <w:r/>
            <w:r>
              <w:rPr>
                <w:rFonts w:ascii="Times New Roman" w:hAnsi="Times New Roman" w:eastAsia="Times New Roman"/>
                <w:b w:val="0"/>
                <w:color w:val="141E28"/>
                <w:sz w:val="15"/>
              </w:rPr>
              <w:t>0.843</w:t>
            </w:r>
          </w:p>
        </w:tc>
        <w:tc>
          <w:tcPr>
            <w:tcW w:type="dxa" w:w="2033"/>
            <w:vAlign w:val="center"/>
          </w:tcPr>
          <w:p>
            <w:pPr>
              <w:jc w:val="center"/>
            </w:pPr>
            <w:r/>
            <w:r>
              <w:rPr>
                <w:rFonts w:ascii="Times New Roman" w:hAnsi="Times New Roman" w:eastAsia="Times New Roman"/>
                <w:b w:val="0"/>
                <w:color w:val="141E28"/>
                <w:sz w:val="15"/>
              </w:rPr>
              <w:t>0.655</w:t>
            </w:r>
          </w:p>
        </w:tc>
        <w:tc>
          <w:tcPr>
            <w:tcW w:type="dxa" w:w="2033"/>
            <w:vAlign w:val="center"/>
          </w:tcPr>
          <w:p>
            <w:pPr>
              <w:jc w:val="center"/>
            </w:pPr>
            <w:r/>
            <w:r>
              <w:rPr>
                <w:rFonts w:ascii="Times New Roman" w:hAnsi="Times New Roman" w:eastAsia="Times New Roman"/>
                <w:b w:val="0"/>
                <w:color w:val="141E28"/>
                <w:sz w:val="15"/>
              </w:rPr>
              <w:t>0.487</w:t>
            </w:r>
          </w:p>
        </w:tc>
        <w:tc>
          <w:tcPr>
            <w:tcW w:type="dxa" w:w="2033"/>
            <w:vAlign w:val="center"/>
          </w:tcPr>
          <w:p>
            <w:pPr>
              <w:jc w:val="center"/>
            </w:pPr>
            <w:r/>
            <w:r>
              <w:rPr>
                <w:rFonts w:ascii="Times New Roman" w:hAnsi="Times New Roman" w:eastAsia="Times New Roman"/>
                <w:b w:val="0"/>
                <w:color w:val="141E28"/>
                <w:sz w:val="15"/>
              </w:rPr>
              <w:t>0.716</w:t>
            </w:r>
          </w:p>
        </w:tc>
      </w:tr>
      <w:tr>
        <w:tc>
          <w:tcPr>
            <w:tcW w:type="dxa" w:w="2033"/>
            <w:vAlign w:val="center"/>
          </w:tcPr>
          <w:p>
            <w:pPr>
              <w:jc w:val="left"/>
            </w:pPr>
            <w:r/>
            <w:r>
              <w:rPr>
                <w:rFonts w:ascii="Times New Roman" w:hAnsi="Times New Roman" w:eastAsia="Times New Roman"/>
                <w:b w:val="0"/>
                <w:color w:val="141E28"/>
                <w:sz w:val="15"/>
              </w:rPr>
              <w:t>Neural Network</w:t>
            </w:r>
          </w:p>
        </w:tc>
        <w:tc>
          <w:tcPr>
            <w:tcW w:type="dxa" w:w="2033"/>
            <w:vAlign w:val="center"/>
          </w:tcPr>
          <w:p>
            <w:pPr>
              <w:jc w:val="center"/>
            </w:pPr>
            <w:r/>
            <w:r>
              <w:rPr>
                <w:rFonts w:ascii="Times New Roman" w:hAnsi="Times New Roman" w:eastAsia="Times New Roman"/>
                <w:b w:val="0"/>
                <w:color w:val="141E28"/>
                <w:sz w:val="15"/>
              </w:rPr>
              <w:t>0.957</w:t>
            </w:r>
          </w:p>
        </w:tc>
        <w:tc>
          <w:tcPr>
            <w:tcW w:type="dxa" w:w="2033"/>
            <w:vAlign w:val="center"/>
          </w:tcPr>
          <w:p>
            <w:pPr>
              <w:jc w:val="center"/>
            </w:pPr>
            <w:r/>
            <w:r>
              <w:rPr>
                <w:rFonts w:ascii="Times New Roman" w:hAnsi="Times New Roman" w:eastAsia="Times New Roman"/>
                <w:b w:val="0"/>
                <w:color w:val="141E28"/>
                <w:sz w:val="15"/>
              </w:rPr>
              <w:t>0.858</w:t>
            </w:r>
          </w:p>
        </w:tc>
        <w:tc>
          <w:tcPr>
            <w:tcW w:type="dxa" w:w="2033"/>
            <w:vAlign w:val="center"/>
          </w:tcPr>
          <w:p>
            <w:pPr>
              <w:jc w:val="center"/>
            </w:pPr>
            <w:r/>
            <w:r>
              <w:rPr>
                <w:rFonts w:ascii="Times New Roman" w:hAnsi="Times New Roman" w:eastAsia="Times New Roman"/>
                <w:b w:val="0"/>
                <w:color w:val="141E28"/>
                <w:sz w:val="15"/>
              </w:rPr>
              <w:t>0.749</w:t>
            </w:r>
          </w:p>
        </w:tc>
        <w:tc>
          <w:tcPr>
            <w:tcW w:type="dxa" w:w="2033"/>
            <w:vAlign w:val="center"/>
          </w:tcPr>
          <w:p>
            <w:pPr>
              <w:jc w:val="center"/>
            </w:pPr>
            <w:r/>
            <w:r>
              <w:rPr>
                <w:rFonts w:ascii="Times New Roman" w:hAnsi="Times New Roman" w:eastAsia="Times New Roman"/>
                <w:b w:val="0"/>
                <w:color w:val="141E28"/>
                <w:sz w:val="15"/>
              </w:rPr>
              <w:t>0.862</w:t>
            </w:r>
          </w:p>
        </w:tc>
      </w:tr>
      <w:tr>
        <w:tc>
          <w:tcPr>
            <w:tcW w:type="dxa" w:w="2033"/>
            <w:vAlign w:val="center"/>
          </w:tcPr>
          <w:p>
            <w:pPr>
              <w:jc w:val="left"/>
            </w:pPr>
            <w:r/>
            <w:r>
              <w:rPr>
                <w:rFonts w:ascii="Times New Roman" w:hAnsi="Times New Roman" w:eastAsia="Times New Roman"/>
                <w:b w:val="0"/>
                <w:color w:val="141E28"/>
                <w:sz w:val="15"/>
              </w:rPr>
              <w:t>Random Forest</w:t>
            </w:r>
          </w:p>
        </w:tc>
        <w:tc>
          <w:tcPr>
            <w:tcW w:type="dxa" w:w="2033"/>
            <w:vAlign w:val="center"/>
          </w:tcPr>
          <w:p>
            <w:pPr>
              <w:jc w:val="center"/>
            </w:pPr>
            <w:r/>
            <w:r>
              <w:rPr>
                <w:rFonts w:ascii="Times New Roman" w:hAnsi="Times New Roman" w:eastAsia="Times New Roman"/>
                <w:b w:val="0"/>
                <w:color w:val="141E28"/>
                <w:sz w:val="15"/>
              </w:rPr>
              <w:t>0.960</w:t>
            </w:r>
          </w:p>
        </w:tc>
        <w:tc>
          <w:tcPr>
            <w:tcW w:type="dxa" w:w="2033"/>
            <w:vAlign w:val="center"/>
          </w:tcPr>
          <w:p>
            <w:pPr>
              <w:jc w:val="center"/>
            </w:pPr>
            <w:r/>
            <w:r>
              <w:rPr>
                <w:rFonts w:ascii="Times New Roman" w:hAnsi="Times New Roman" w:eastAsia="Times New Roman"/>
                <w:b w:val="0"/>
                <w:color w:val="141E28"/>
                <w:sz w:val="15"/>
              </w:rPr>
              <w:t>0.851</w:t>
            </w:r>
          </w:p>
        </w:tc>
        <w:tc>
          <w:tcPr>
            <w:tcW w:type="dxa" w:w="2033"/>
            <w:vAlign w:val="center"/>
          </w:tcPr>
          <w:p>
            <w:pPr>
              <w:jc w:val="center"/>
            </w:pPr>
            <w:r/>
            <w:r>
              <w:rPr>
                <w:rFonts w:ascii="Times New Roman" w:hAnsi="Times New Roman" w:eastAsia="Times New Roman"/>
                <w:b w:val="0"/>
                <w:color w:val="141E28"/>
                <w:sz w:val="15"/>
              </w:rPr>
              <w:t>0.695</w:t>
            </w:r>
          </w:p>
        </w:tc>
        <w:tc>
          <w:tcPr>
            <w:tcW w:type="dxa" w:w="2033"/>
            <w:vAlign w:val="center"/>
          </w:tcPr>
          <w:p>
            <w:pPr>
              <w:jc w:val="center"/>
            </w:pPr>
            <w:r/>
            <w:r>
              <w:rPr>
                <w:rFonts w:ascii="Times New Roman" w:hAnsi="Times New Roman" w:eastAsia="Times New Roman"/>
                <w:b w:val="0"/>
                <w:color w:val="141E28"/>
                <w:sz w:val="15"/>
              </w:rPr>
              <w:t>0.868</w:t>
            </w:r>
          </w:p>
        </w:tc>
      </w:tr>
    </w:tbl>
    <w:p>
      <w:pPr>
        <w:spacing w:after="120" w:line="252" w:lineRule="auto"/>
      </w:pPr>
    </w:p>
    <w:p>
      <w:pPr>
        <w:jc w:val="center"/>
      </w:pPr>
      <w:r>
        <w:drawing>
          <wp:inline xmlns:a="http://schemas.openxmlformats.org/drawingml/2006/main" xmlns:pic="http://schemas.openxmlformats.org/drawingml/2006/picture">
            <wp:extent cx="5989320" cy="4187737"/>
            <wp:docPr id="4" name="Picture 4" title="Fig" descr="Fig. 4. Seasonal F1-score heatmap on the 2019-2020 holdout period."/>
            <wp:cNvGraphicFramePr>
              <a:graphicFrameLocks noChangeAspect="1"/>
            </wp:cNvGraphicFramePr>
            <a:graphic>
              <a:graphicData uri="http://schemas.openxmlformats.org/drawingml/2006/picture">
                <pic:pic>
                  <pic:nvPicPr>
                    <pic:cNvPr id="0" name="rq3_seasonal_f1_heatmap.png"/>
                    <pic:cNvPicPr/>
                  </pic:nvPicPr>
                  <pic:blipFill>
                    <a:blip r:embed="rId19"/>
                    <a:stretch>
                      <a:fillRect/>
                    </a:stretch>
                  </pic:blipFill>
                  <pic:spPr>
                    <a:xfrm>
                      <a:off x="0" y="0"/>
                      <a:ext cx="5989320" cy="4187737"/>
                    </a:xfrm>
                    <a:prstGeom prst="rect"/>
                  </pic:spPr>
                </pic:pic>
              </a:graphicData>
            </a:graphic>
          </wp:inline>
        </w:drawing>
      </w:r>
    </w:p>
    <w:p>
      <w:pPr>
        <w:spacing w:before="100" w:after="100"/>
        <w:jc w:val="center"/>
      </w:pPr>
      <w:r>
        <w:rPr>
          <w:rFonts w:ascii="Times New Roman" w:hAnsi="Times New Roman" w:eastAsia="Times New Roman"/>
          <w:b/>
          <w:sz w:val="18"/>
        </w:rPr>
        <w:t>Fig. 4. Seasonal F1-score heatmap on the 2019-2020 holdout period.</w:t>
      </w:r>
    </w:p>
    <w:p>
      <w:r>
        <w:br w:type="page"/>
      </w:r>
    </w:p>
    <w:p>
      <w:pPr>
        <w:pStyle w:val="Heading2"/>
        <w:spacing w:before="120" w:after="80"/>
      </w:pPr>
      <w:r>
        <w:rPr>
          <w:rFonts w:ascii="Times New Roman" w:hAnsi="Times New Roman" w:eastAsia="Times New Roman"/>
          <w:b/>
          <w:color w:val="1F2B38"/>
          <w:sz w:val="23"/>
        </w:rPr>
        <w:t>4.4 RQ4: Interpretability and Auditability</w:t>
      </w:r>
    </w:p>
    <w:p>
      <w:pPr>
        <w:spacing w:after="120" w:line="252" w:lineRule="auto"/>
      </w:pPr>
      <w:r>
        <w:rPr>
          <w:rFonts w:ascii="Times New Roman" w:hAnsi="Times New Roman" w:eastAsia="Times New Roman"/>
          <w:sz w:val="21"/>
        </w:rPr>
        <w:t>The interpretable model identifies calendar structure, rolling load, TSO-zone load, and residual-load/renewable-share terms as prominent drivers. Because many power-system variables are collinear, coefficient signs must be interpreted as controlled statistical effects rather than causal claims. The permutation-importance check provides a second lens on realized predictive contribution.</w:t>
      </w:r>
    </w:p>
    <w:p>
      <w:pPr>
        <w:spacing w:before="100" w:after="100"/>
        <w:jc w:val="center"/>
      </w:pPr>
      <w:r>
        <w:rPr>
          <w:rFonts w:ascii="Times New Roman" w:hAnsi="Times New Roman" w:eastAsia="Times New Roman"/>
          <w:b/>
          <w:sz w:val="19"/>
        </w:rPr>
        <w:t>TABLE 6. Top interpretable features from standardized logistic regression.</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DCEAF7"/>
            <w:vAlign w:val="center"/>
          </w:tcPr>
          <w:p>
            <w:pPr>
              <w:jc w:val="center"/>
            </w:pPr>
            <w:r/>
            <w:r>
              <w:rPr>
                <w:rFonts w:ascii="Times New Roman" w:hAnsi="Times New Roman" w:eastAsia="Times New Roman"/>
                <w:b/>
                <w:color w:val="141E28"/>
                <w:sz w:val="16"/>
              </w:rPr>
              <w:t>Feature</w:t>
            </w:r>
          </w:p>
        </w:tc>
        <w:tc>
          <w:tcPr>
            <w:tcW w:type="dxa" w:w="2541"/>
            <w:shd w:fill="DCEAF7"/>
            <w:vAlign w:val="center"/>
          </w:tcPr>
          <w:p>
            <w:pPr>
              <w:jc w:val="center"/>
            </w:pPr>
            <w:r/>
            <w:r>
              <w:rPr>
                <w:rFonts w:ascii="Times New Roman" w:hAnsi="Times New Roman" w:eastAsia="Times New Roman"/>
                <w:b/>
                <w:color w:val="141E28"/>
                <w:sz w:val="16"/>
              </w:rPr>
              <w:t>Coefficient</w:t>
            </w:r>
          </w:p>
        </w:tc>
        <w:tc>
          <w:tcPr>
            <w:tcW w:type="dxa" w:w="2541"/>
            <w:shd w:fill="DCEAF7"/>
            <w:vAlign w:val="center"/>
          </w:tcPr>
          <w:p>
            <w:pPr>
              <w:jc w:val="center"/>
            </w:pPr>
            <w:r/>
            <w:r>
              <w:rPr>
                <w:rFonts w:ascii="Times New Roman" w:hAnsi="Times New Roman" w:eastAsia="Times New Roman"/>
                <w:b/>
                <w:color w:val="141E28"/>
                <w:sz w:val="16"/>
              </w:rPr>
              <w:t>Permutation importance</w:t>
            </w:r>
          </w:p>
        </w:tc>
        <w:tc>
          <w:tcPr>
            <w:tcW w:type="dxa" w:w="2541"/>
            <w:shd w:fill="DCEAF7"/>
            <w:vAlign w:val="center"/>
          </w:tcPr>
          <w:p>
            <w:pPr>
              <w:jc w:val="center"/>
            </w:pPr>
            <w:r/>
            <w:r>
              <w:rPr>
                <w:rFonts w:ascii="Times New Roman" w:hAnsi="Times New Roman" w:eastAsia="Times New Roman"/>
                <w:b/>
                <w:color w:val="141E28"/>
                <w:sz w:val="16"/>
              </w:rPr>
              <w:t>Direction</w:t>
            </w:r>
          </w:p>
        </w:tc>
      </w:tr>
      <w:tr>
        <w:tc>
          <w:tcPr>
            <w:tcW w:type="dxa" w:w="2541"/>
            <w:vAlign w:val="center"/>
          </w:tcPr>
          <w:p>
            <w:pPr>
              <w:jc w:val="left"/>
            </w:pPr>
            <w:r/>
            <w:r>
              <w:rPr>
                <w:rFonts w:ascii="Times New Roman" w:hAnsi="Times New Roman" w:eastAsia="Times New Roman"/>
                <w:b w:val="0"/>
                <w:color w:val="141E28"/>
                <w:sz w:val="15"/>
              </w:rPr>
              <w:t>Load rolling mean, 24 h</w:t>
            </w:r>
          </w:p>
        </w:tc>
        <w:tc>
          <w:tcPr>
            <w:tcW w:type="dxa" w:w="2541"/>
            <w:vAlign w:val="center"/>
          </w:tcPr>
          <w:p>
            <w:pPr>
              <w:jc w:val="center"/>
            </w:pPr>
            <w:r/>
            <w:r>
              <w:rPr>
                <w:rFonts w:ascii="Times New Roman" w:hAnsi="Times New Roman" w:eastAsia="Times New Roman"/>
                <w:b w:val="0"/>
                <w:color w:val="141E28"/>
                <w:sz w:val="15"/>
              </w:rPr>
              <w:t>-3.537</w:t>
            </w:r>
          </w:p>
        </w:tc>
        <w:tc>
          <w:tcPr>
            <w:tcW w:type="dxa" w:w="2541"/>
            <w:vAlign w:val="center"/>
          </w:tcPr>
          <w:p>
            <w:pPr>
              <w:jc w:val="center"/>
            </w:pPr>
            <w:r/>
            <w:r>
              <w:rPr>
                <w:rFonts w:ascii="Times New Roman" w:hAnsi="Times New Roman" w:eastAsia="Times New Roman"/>
                <w:b w:val="0"/>
                <w:color w:val="141E28"/>
                <w:sz w:val="15"/>
              </w:rPr>
              <w:t>0.168</w:t>
            </w:r>
          </w:p>
        </w:tc>
        <w:tc>
          <w:tcPr>
            <w:tcW w:type="dxa" w:w="2541"/>
            <w:vAlign w:val="center"/>
          </w:tcPr>
          <w:p>
            <w:pPr>
              <w:jc w:val="center"/>
            </w:pPr>
            <w:r/>
            <w:r>
              <w:rPr>
                <w:rFonts w:ascii="Times New Roman" w:hAnsi="Times New Roman" w:eastAsia="Times New Roman"/>
                <w:b w:val="0"/>
                <w:color w:val="141E28"/>
                <w:sz w:val="15"/>
              </w:rPr>
              <w:t>decreases risk</w:t>
            </w:r>
          </w:p>
        </w:tc>
      </w:tr>
      <w:tr>
        <w:tc>
          <w:tcPr>
            <w:tcW w:type="dxa" w:w="2541"/>
            <w:vAlign w:val="center"/>
          </w:tcPr>
          <w:p>
            <w:pPr>
              <w:jc w:val="left"/>
            </w:pPr>
            <w:r/>
            <w:r>
              <w:rPr>
                <w:rFonts w:ascii="Times New Roman" w:hAnsi="Times New Roman" w:eastAsia="Times New Roman"/>
                <w:b w:val="0"/>
                <w:color w:val="141E28"/>
                <w:sz w:val="15"/>
              </w:rPr>
              <w:t>Day-of-week sine</w:t>
            </w:r>
          </w:p>
        </w:tc>
        <w:tc>
          <w:tcPr>
            <w:tcW w:type="dxa" w:w="2541"/>
            <w:vAlign w:val="center"/>
          </w:tcPr>
          <w:p>
            <w:pPr>
              <w:jc w:val="center"/>
            </w:pPr>
            <w:r/>
            <w:r>
              <w:rPr>
                <w:rFonts w:ascii="Times New Roman" w:hAnsi="Times New Roman" w:eastAsia="Times New Roman"/>
                <w:b w:val="0"/>
                <w:color w:val="141E28"/>
                <w:sz w:val="15"/>
              </w:rPr>
              <w:t>2.543</w:t>
            </w:r>
          </w:p>
        </w:tc>
        <w:tc>
          <w:tcPr>
            <w:tcW w:type="dxa" w:w="2541"/>
            <w:vAlign w:val="center"/>
          </w:tcPr>
          <w:p>
            <w:pPr>
              <w:jc w:val="center"/>
            </w:pPr>
            <w:r/>
            <w:r>
              <w:rPr>
                <w:rFonts w:ascii="Times New Roman" w:hAnsi="Times New Roman" w:eastAsia="Times New Roman"/>
                <w:b w:val="0"/>
                <w:color w:val="141E28"/>
                <w:sz w:val="15"/>
              </w:rPr>
              <w:t>0.231</w:t>
            </w:r>
          </w:p>
        </w:tc>
        <w:tc>
          <w:tcPr>
            <w:tcW w:type="dxa" w:w="2541"/>
            <w:vAlign w:val="center"/>
          </w:tcPr>
          <w:p>
            <w:pPr>
              <w:jc w:val="center"/>
            </w:pPr>
            <w:r/>
            <w:r>
              <w:rPr>
                <w:rFonts w:ascii="Times New Roman" w:hAnsi="Times New Roman" w:eastAsia="Times New Roman"/>
                <w:b w:val="0"/>
                <w:color w:val="141E28"/>
                <w:sz w:val="15"/>
              </w:rPr>
              <w:t>increases risk</w:t>
            </w:r>
          </w:p>
        </w:tc>
      </w:tr>
      <w:tr>
        <w:tc>
          <w:tcPr>
            <w:tcW w:type="dxa" w:w="2541"/>
            <w:vAlign w:val="center"/>
          </w:tcPr>
          <w:p>
            <w:pPr>
              <w:jc w:val="left"/>
            </w:pPr>
            <w:r/>
            <w:r>
              <w:rPr>
                <w:rFonts w:ascii="Times New Roman" w:hAnsi="Times New Roman" w:eastAsia="Times New Roman"/>
                <w:b w:val="0"/>
                <w:color w:val="141E28"/>
                <w:sz w:val="15"/>
              </w:rPr>
              <w:t>Weekend indicator</w:t>
            </w:r>
          </w:p>
        </w:tc>
        <w:tc>
          <w:tcPr>
            <w:tcW w:type="dxa" w:w="2541"/>
            <w:vAlign w:val="center"/>
          </w:tcPr>
          <w:p>
            <w:pPr>
              <w:jc w:val="center"/>
            </w:pPr>
            <w:r/>
            <w:r>
              <w:rPr>
                <w:rFonts w:ascii="Times New Roman" w:hAnsi="Times New Roman" w:eastAsia="Times New Roman"/>
                <w:b w:val="0"/>
                <w:color w:val="141E28"/>
                <w:sz w:val="15"/>
              </w:rPr>
              <w:t>1.636</w:t>
            </w:r>
          </w:p>
        </w:tc>
        <w:tc>
          <w:tcPr>
            <w:tcW w:type="dxa" w:w="2541"/>
            <w:vAlign w:val="center"/>
          </w:tcPr>
          <w:p>
            <w:pPr>
              <w:jc w:val="center"/>
            </w:pPr>
            <w:r/>
            <w:r>
              <w:rPr>
                <w:rFonts w:ascii="Times New Roman" w:hAnsi="Times New Roman" w:eastAsia="Times New Roman"/>
                <w:b w:val="0"/>
                <w:color w:val="141E28"/>
                <w:sz w:val="15"/>
              </w:rPr>
              <w:t>0.073</w:t>
            </w:r>
          </w:p>
        </w:tc>
        <w:tc>
          <w:tcPr>
            <w:tcW w:type="dxa" w:w="2541"/>
            <w:vAlign w:val="center"/>
          </w:tcPr>
          <w:p>
            <w:pPr>
              <w:jc w:val="center"/>
            </w:pPr>
            <w:r/>
            <w:r>
              <w:rPr>
                <w:rFonts w:ascii="Times New Roman" w:hAnsi="Times New Roman" w:eastAsia="Times New Roman"/>
                <w:b w:val="0"/>
                <w:color w:val="141E28"/>
                <w:sz w:val="15"/>
              </w:rPr>
              <w:t>increases risk</w:t>
            </w:r>
          </w:p>
        </w:tc>
      </w:tr>
      <w:tr>
        <w:tc>
          <w:tcPr>
            <w:tcW w:type="dxa" w:w="2541"/>
            <w:vAlign w:val="center"/>
          </w:tcPr>
          <w:p>
            <w:pPr>
              <w:jc w:val="left"/>
            </w:pPr>
            <w:r/>
            <w:r>
              <w:rPr>
                <w:rFonts w:ascii="Times New Roman" w:hAnsi="Times New Roman" w:eastAsia="Times New Roman"/>
                <w:b w:val="0"/>
                <w:color w:val="141E28"/>
                <w:sz w:val="15"/>
              </w:rPr>
              <w:t>Load rolling mean, 168 h</w:t>
            </w:r>
          </w:p>
        </w:tc>
        <w:tc>
          <w:tcPr>
            <w:tcW w:type="dxa" w:w="2541"/>
            <w:vAlign w:val="center"/>
          </w:tcPr>
          <w:p>
            <w:pPr>
              <w:jc w:val="center"/>
            </w:pPr>
            <w:r/>
            <w:r>
              <w:rPr>
                <w:rFonts w:ascii="Times New Roman" w:hAnsi="Times New Roman" w:eastAsia="Times New Roman"/>
                <w:b w:val="0"/>
                <w:color w:val="141E28"/>
                <w:sz w:val="15"/>
              </w:rPr>
              <w:t>1.603</w:t>
            </w:r>
          </w:p>
        </w:tc>
        <w:tc>
          <w:tcPr>
            <w:tcW w:type="dxa" w:w="2541"/>
            <w:vAlign w:val="center"/>
          </w:tcPr>
          <w:p>
            <w:pPr>
              <w:jc w:val="center"/>
            </w:pPr>
            <w:r/>
            <w:r>
              <w:rPr>
                <w:rFonts w:ascii="Times New Roman" w:hAnsi="Times New Roman" w:eastAsia="Times New Roman"/>
                <w:b w:val="0"/>
                <w:color w:val="141E28"/>
                <w:sz w:val="15"/>
              </w:rPr>
              <w:t>0.197</w:t>
            </w:r>
          </w:p>
        </w:tc>
        <w:tc>
          <w:tcPr>
            <w:tcW w:type="dxa" w:w="2541"/>
            <w:vAlign w:val="center"/>
          </w:tcPr>
          <w:p>
            <w:pPr>
              <w:jc w:val="center"/>
            </w:pPr>
            <w:r/>
            <w:r>
              <w:rPr>
                <w:rFonts w:ascii="Times New Roman" w:hAnsi="Times New Roman" w:eastAsia="Times New Roman"/>
                <w:b w:val="0"/>
                <w:color w:val="141E28"/>
                <w:sz w:val="15"/>
              </w:rPr>
              <w:t>increases risk</w:t>
            </w:r>
          </w:p>
        </w:tc>
      </w:tr>
      <w:tr>
        <w:tc>
          <w:tcPr>
            <w:tcW w:type="dxa" w:w="2541"/>
            <w:vAlign w:val="center"/>
          </w:tcPr>
          <w:p>
            <w:pPr>
              <w:jc w:val="left"/>
            </w:pPr>
            <w:r/>
            <w:r>
              <w:rPr>
                <w:rFonts w:ascii="Times New Roman" w:hAnsi="Times New Roman" w:eastAsia="Times New Roman"/>
                <w:b w:val="0"/>
                <w:color w:val="141E28"/>
                <w:sz w:val="15"/>
              </w:rPr>
              <w:t>TenneT zone load</w:t>
            </w:r>
          </w:p>
        </w:tc>
        <w:tc>
          <w:tcPr>
            <w:tcW w:type="dxa" w:w="2541"/>
            <w:vAlign w:val="center"/>
          </w:tcPr>
          <w:p>
            <w:pPr>
              <w:jc w:val="center"/>
            </w:pPr>
            <w:r/>
            <w:r>
              <w:rPr>
                <w:rFonts w:ascii="Times New Roman" w:hAnsi="Times New Roman" w:eastAsia="Times New Roman"/>
                <w:b w:val="0"/>
                <w:color w:val="141E28"/>
                <w:sz w:val="15"/>
              </w:rPr>
              <w:t>1.493</w:t>
            </w:r>
          </w:p>
        </w:tc>
        <w:tc>
          <w:tcPr>
            <w:tcW w:type="dxa" w:w="2541"/>
            <w:vAlign w:val="center"/>
          </w:tcPr>
          <w:p>
            <w:pPr>
              <w:jc w:val="center"/>
            </w:pPr>
            <w:r/>
            <w:r>
              <w:rPr>
                <w:rFonts w:ascii="Times New Roman" w:hAnsi="Times New Roman" w:eastAsia="Times New Roman"/>
                <w:b w:val="0"/>
                <w:color w:val="141E28"/>
                <w:sz w:val="15"/>
              </w:rPr>
              <w:t>0.104</w:t>
            </w:r>
          </w:p>
        </w:tc>
        <w:tc>
          <w:tcPr>
            <w:tcW w:type="dxa" w:w="2541"/>
            <w:vAlign w:val="center"/>
          </w:tcPr>
          <w:p>
            <w:pPr>
              <w:jc w:val="center"/>
            </w:pPr>
            <w:r/>
            <w:r>
              <w:rPr>
                <w:rFonts w:ascii="Times New Roman" w:hAnsi="Times New Roman" w:eastAsia="Times New Roman"/>
                <w:b w:val="0"/>
                <w:color w:val="141E28"/>
                <w:sz w:val="15"/>
              </w:rPr>
              <w:t>increases risk</w:t>
            </w:r>
          </w:p>
        </w:tc>
      </w:tr>
      <w:tr>
        <w:tc>
          <w:tcPr>
            <w:tcW w:type="dxa" w:w="2541"/>
            <w:vAlign w:val="center"/>
          </w:tcPr>
          <w:p>
            <w:pPr>
              <w:jc w:val="left"/>
            </w:pPr>
            <w:r/>
            <w:r>
              <w:rPr>
                <w:rFonts w:ascii="Times New Roman" w:hAnsi="Times New Roman" w:eastAsia="Times New Roman"/>
                <w:b w:val="0"/>
                <w:color w:val="141E28"/>
                <w:sz w:val="15"/>
              </w:rPr>
              <w:t>Residual-load share</w:t>
            </w:r>
          </w:p>
        </w:tc>
        <w:tc>
          <w:tcPr>
            <w:tcW w:type="dxa" w:w="2541"/>
            <w:vAlign w:val="center"/>
          </w:tcPr>
          <w:p>
            <w:pPr>
              <w:jc w:val="center"/>
            </w:pPr>
            <w:r/>
            <w:r>
              <w:rPr>
                <w:rFonts w:ascii="Times New Roman" w:hAnsi="Times New Roman" w:eastAsia="Times New Roman"/>
                <w:b w:val="0"/>
                <w:color w:val="141E28"/>
                <w:sz w:val="15"/>
              </w:rPr>
              <w:t>-1.173</w:t>
            </w:r>
          </w:p>
        </w:tc>
        <w:tc>
          <w:tcPr>
            <w:tcW w:type="dxa" w:w="2541"/>
            <w:vAlign w:val="center"/>
          </w:tcPr>
          <w:p>
            <w:pPr>
              <w:jc w:val="center"/>
            </w:pPr>
            <w:r/>
            <w:r>
              <w:rPr>
                <w:rFonts w:ascii="Times New Roman" w:hAnsi="Times New Roman" w:eastAsia="Times New Roman"/>
                <w:b w:val="0"/>
                <w:color w:val="141E28"/>
                <w:sz w:val="15"/>
              </w:rPr>
              <w:t>0.032</w:t>
            </w:r>
          </w:p>
        </w:tc>
        <w:tc>
          <w:tcPr>
            <w:tcW w:type="dxa" w:w="2541"/>
            <w:vAlign w:val="center"/>
          </w:tcPr>
          <w:p>
            <w:pPr>
              <w:jc w:val="center"/>
            </w:pPr>
            <w:r/>
            <w:r>
              <w:rPr>
                <w:rFonts w:ascii="Times New Roman" w:hAnsi="Times New Roman" w:eastAsia="Times New Roman"/>
                <w:b w:val="0"/>
                <w:color w:val="141E28"/>
                <w:sz w:val="15"/>
              </w:rPr>
              <w:t>decreases risk</w:t>
            </w:r>
          </w:p>
        </w:tc>
      </w:tr>
      <w:tr>
        <w:tc>
          <w:tcPr>
            <w:tcW w:type="dxa" w:w="2541"/>
            <w:vAlign w:val="center"/>
          </w:tcPr>
          <w:p>
            <w:pPr>
              <w:jc w:val="left"/>
            </w:pPr>
            <w:r/>
            <w:r>
              <w:rPr>
                <w:rFonts w:ascii="Times New Roman" w:hAnsi="Times New Roman" w:eastAsia="Times New Roman"/>
                <w:b w:val="0"/>
                <w:color w:val="141E28"/>
                <w:sz w:val="15"/>
              </w:rPr>
              <w:t>Wind/solar share of load</w:t>
            </w:r>
          </w:p>
        </w:tc>
        <w:tc>
          <w:tcPr>
            <w:tcW w:type="dxa" w:w="2541"/>
            <w:vAlign w:val="center"/>
          </w:tcPr>
          <w:p>
            <w:pPr>
              <w:jc w:val="center"/>
            </w:pPr>
            <w:r/>
            <w:r>
              <w:rPr>
                <w:rFonts w:ascii="Times New Roman" w:hAnsi="Times New Roman" w:eastAsia="Times New Roman"/>
                <w:b w:val="0"/>
                <w:color w:val="141E28"/>
                <w:sz w:val="15"/>
              </w:rPr>
              <w:t>1.173</w:t>
            </w:r>
          </w:p>
        </w:tc>
        <w:tc>
          <w:tcPr>
            <w:tcW w:type="dxa" w:w="2541"/>
            <w:vAlign w:val="center"/>
          </w:tcPr>
          <w:p>
            <w:pPr>
              <w:jc w:val="center"/>
            </w:pPr>
            <w:r/>
            <w:r>
              <w:rPr>
                <w:rFonts w:ascii="Times New Roman" w:hAnsi="Times New Roman" w:eastAsia="Times New Roman"/>
                <w:b w:val="0"/>
                <w:color w:val="141E28"/>
                <w:sz w:val="15"/>
              </w:rPr>
              <w:t>0.032</w:t>
            </w:r>
          </w:p>
        </w:tc>
        <w:tc>
          <w:tcPr>
            <w:tcW w:type="dxa" w:w="2541"/>
            <w:vAlign w:val="center"/>
          </w:tcPr>
          <w:p>
            <w:pPr>
              <w:jc w:val="center"/>
            </w:pPr>
            <w:r/>
            <w:r>
              <w:rPr>
                <w:rFonts w:ascii="Times New Roman" w:hAnsi="Times New Roman" w:eastAsia="Times New Roman"/>
                <w:b w:val="0"/>
                <w:color w:val="141E28"/>
                <w:sz w:val="15"/>
              </w:rPr>
              <w:t>increases risk</w:t>
            </w:r>
          </w:p>
        </w:tc>
      </w:tr>
      <w:tr>
        <w:tc>
          <w:tcPr>
            <w:tcW w:type="dxa" w:w="2541"/>
            <w:vAlign w:val="center"/>
          </w:tcPr>
          <w:p>
            <w:pPr>
              <w:jc w:val="left"/>
            </w:pPr>
            <w:r/>
            <w:r>
              <w:rPr>
                <w:rFonts w:ascii="Times New Roman" w:hAnsi="Times New Roman" w:eastAsia="Times New Roman"/>
                <w:b w:val="0"/>
                <w:color w:val="141E28"/>
                <w:sz w:val="15"/>
              </w:rPr>
              <w:t>Load lag, 168 h</w:t>
            </w:r>
          </w:p>
        </w:tc>
        <w:tc>
          <w:tcPr>
            <w:tcW w:type="dxa" w:w="2541"/>
            <w:vAlign w:val="center"/>
          </w:tcPr>
          <w:p>
            <w:pPr>
              <w:jc w:val="center"/>
            </w:pPr>
            <w:r/>
            <w:r>
              <w:rPr>
                <w:rFonts w:ascii="Times New Roman" w:hAnsi="Times New Roman" w:eastAsia="Times New Roman"/>
                <w:b w:val="0"/>
                <w:color w:val="141E28"/>
                <w:sz w:val="15"/>
              </w:rPr>
              <w:t>-1.083</w:t>
            </w:r>
          </w:p>
        </w:tc>
        <w:tc>
          <w:tcPr>
            <w:tcW w:type="dxa" w:w="2541"/>
            <w:vAlign w:val="center"/>
          </w:tcPr>
          <w:p>
            <w:pPr>
              <w:jc w:val="center"/>
            </w:pPr>
            <w:r/>
            <w:r>
              <w:rPr>
                <w:rFonts w:ascii="Times New Roman" w:hAnsi="Times New Roman" w:eastAsia="Times New Roman"/>
                <w:b w:val="0"/>
                <w:color w:val="141E28"/>
                <w:sz w:val="15"/>
              </w:rPr>
              <w:t>0.039</w:t>
            </w:r>
          </w:p>
        </w:tc>
        <w:tc>
          <w:tcPr>
            <w:tcW w:type="dxa" w:w="2541"/>
            <w:vAlign w:val="center"/>
          </w:tcPr>
          <w:p>
            <w:pPr>
              <w:jc w:val="center"/>
            </w:pPr>
            <w:r/>
            <w:r>
              <w:rPr>
                <w:rFonts w:ascii="Times New Roman" w:hAnsi="Times New Roman" w:eastAsia="Times New Roman"/>
                <w:b w:val="0"/>
                <w:color w:val="141E28"/>
                <w:sz w:val="15"/>
              </w:rPr>
              <w:t>decreases risk</w:t>
            </w:r>
          </w:p>
        </w:tc>
      </w:tr>
      <w:tr>
        <w:tc>
          <w:tcPr>
            <w:tcW w:type="dxa" w:w="2541"/>
            <w:vAlign w:val="center"/>
          </w:tcPr>
          <w:p>
            <w:pPr>
              <w:jc w:val="left"/>
            </w:pPr>
            <w:r/>
            <w:r>
              <w:rPr>
                <w:rFonts w:ascii="Times New Roman" w:hAnsi="Times New Roman" w:eastAsia="Times New Roman"/>
                <w:b w:val="0"/>
                <w:color w:val="141E28"/>
                <w:sz w:val="15"/>
              </w:rPr>
              <w:t>Day-of-year cosine</w:t>
            </w:r>
          </w:p>
        </w:tc>
        <w:tc>
          <w:tcPr>
            <w:tcW w:type="dxa" w:w="2541"/>
            <w:vAlign w:val="center"/>
          </w:tcPr>
          <w:p>
            <w:pPr>
              <w:jc w:val="center"/>
            </w:pPr>
            <w:r/>
            <w:r>
              <w:rPr>
                <w:rFonts w:ascii="Times New Roman" w:hAnsi="Times New Roman" w:eastAsia="Times New Roman"/>
                <w:b w:val="0"/>
                <w:color w:val="141E28"/>
                <w:sz w:val="15"/>
              </w:rPr>
              <w:t>1.037</w:t>
            </w:r>
          </w:p>
        </w:tc>
        <w:tc>
          <w:tcPr>
            <w:tcW w:type="dxa" w:w="2541"/>
            <w:vAlign w:val="center"/>
          </w:tcPr>
          <w:p>
            <w:pPr>
              <w:jc w:val="center"/>
            </w:pPr>
            <w:r/>
            <w:r>
              <w:rPr>
                <w:rFonts w:ascii="Times New Roman" w:hAnsi="Times New Roman" w:eastAsia="Times New Roman"/>
                <w:b w:val="0"/>
                <w:color w:val="141E28"/>
                <w:sz w:val="15"/>
              </w:rPr>
              <w:t>0.058</w:t>
            </w:r>
          </w:p>
        </w:tc>
        <w:tc>
          <w:tcPr>
            <w:tcW w:type="dxa" w:w="2541"/>
            <w:vAlign w:val="center"/>
          </w:tcPr>
          <w:p>
            <w:pPr>
              <w:jc w:val="center"/>
            </w:pPr>
            <w:r/>
            <w:r>
              <w:rPr>
                <w:rFonts w:ascii="Times New Roman" w:hAnsi="Times New Roman" w:eastAsia="Times New Roman"/>
                <w:b w:val="0"/>
                <w:color w:val="141E28"/>
                <w:sz w:val="15"/>
              </w:rPr>
              <w:t>increases risk</w:t>
            </w:r>
          </w:p>
        </w:tc>
      </w:tr>
      <w:tr>
        <w:tc>
          <w:tcPr>
            <w:tcW w:type="dxa" w:w="2541"/>
            <w:vAlign w:val="center"/>
          </w:tcPr>
          <w:p>
            <w:pPr>
              <w:jc w:val="left"/>
            </w:pPr>
            <w:r/>
            <w:r>
              <w:rPr>
                <w:rFonts w:ascii="Times New Roman" w:hAnsi="Times New Roman" w:eastAsia="Times New Roman"/>
                <w:b w:val="0"/>
                <w:color w:val="141E28"/>
                <w:sz w:val="15"/>
              </w:rPr>
              <w:t>Residual load</w:t>
            </w:r>
          </w:p>
        </w:tc>
        <w:tc>
          <w:tcPr>
            <w:tcW w:type="dxa" w:w="2541"/>
            <w:vAlign w:val="center"/>
          </w:tcPr>
          <w:p>
            <w:pPr>
              <w:jc w:val="center"/>
            </w:pPr>
            <w:r/>
            <w:r>
              <w:rPr>
                <w:rFonts w:ascii="Times New Roman" w:hAnsi="Times New Roman" w:eastAsia="Times New Roman"/>
                <w:b w:val="0"/>
                <w:color w:val="141E28"/>
                <w:sz w:val="15"/>
              </w:rPr>
              <w:t>1.011</w:t>
            </w:r>
          </w:p>
        </w:tc>
        <w:tc>
          <w:tcPr>
            <w:tcW w:type="dxa" w:w="2541"/>
            <w:vAlign w:val="center"/>
          </w:tcPr>
          <w:p>
            <w:pPr>
              <w:jc w:val="center"/>
            </w:pPr>
            <w:r/>
            <w:r>
              <w:rPr>
                <w:rFonts w:ascii="Times New Roman" w:hAnsi="Times New Roman" w:eastAsia="Times New Roman"/>
                <w:b w:val="0"/>
                <w:color w:val="141E28"/>
                <w:sz w:val="15"/>
              </w:rPr>
              <w:t>0.079</w:t>
            </w:r>
          </w:p>
        </w:tc>
        <w:tc>
          <w:tcPr>
            <w:tcW w:type="dxa" w:w="2541"/>
            <w:vAlign w:val="center"/>
          </w:tcPr>
          <w:p>
            <w:pPr>
              <w:jc w:val="center"/>
            </w:pPr>
            <w:r/>
            <w:r>
              <w:rPr>
                <w:rFonts w:ascii="Times New Roman" w:hAnsi="Times New Roman" w:eastAsia="Times New Roman"/>
                <w:b w:val="0"/>
                <w:color w:val="141E28"/>
                <w:sz w:val="15"/>
              </w:rPr>
              <w:t>increases risk</w:t>
            </w:r>
          </w:p>
        </w:tc>
      </w:tr>
    </w:tbl>
    <w:p>
      <w:pPr>
        <w:spacing w:after="120" w:line="252" w:lineRule="auto"/>
      </w:pPr>
    </w:p>
    <w:p>
      <w:pPr>
        <w:jc w:val="center"/>
      </w:pPr>
      <w:r>
        <w:drawing>
          <wp:inline xmlns:a="http://schemas.openxmlformats.org/drawingml/2006/main" xmlns:pic="http://schemas.openxmlformats.org/drawingml/2006/picture">
            <wp:extent cx="5989320" cy="2563256"/>
            <wp:docPr id="5" name="Picture 5" title="Fig" descr="Fig. 5. Interpretable drivers and accuracy-auditability trade-off."/>
            <wp:cNvGraphicFramePr>
              <a:graphicFrameLocks noChangeAspect="1"/>
            </wp:cNvGraphicFramePr>
            <a:graphic>
              <a:graphicData uri="http://schemas.openxmlformats.org/drawingml/2006/picture">
                <pic:pic>
                  <pic:nvPicPr>
                    <pic:cNvPr id="0" name="rq4_interpretability_efficiency.png"/>
                    <pic:cNvPicPr/>
                  </pic:nvPicPr>
                  <pic:blipFill>
                    <a:blip r:embed="rId20"/>
                    <a:stretch>
                      <a:fillRect/>
                    </a:stretch>
                  </pic:blipFill>
                  <pic:spPr>
                    <a:xfrm>
                      <a:off x="0" y="0"/>
                      <a:ext cx="5989320" cy="2563256"/>
                    </a:xfrm>
                    <a:prstGeom prst="rect"/>
                  </pic:spPr>
                </pic:pic>
              </a:graphicData>
            </a:graphic>
          </wp:inline>
        </w:drawing>
      </w:r>
    </w:p>
    <w:p>
      <w:pPr>
        <w:spacing w:before="100" w:after="100"/>
        <w:jc w:val="center"/>
      </w:pPr>
      <w:r>
        <w:rPr>
          <w:rFonts w:ascii="Times New Roman" w:hAnsi="Times New Roman" w:eastAsia="Times New Roman"/>
          <w:b/>
          <w:sz w:val="18"/>
        </w:rPr>
        <w:t>Fig. 5. Interpretable drivers and accuracy-auditability trade-off.</w:t>
      </w:r>
    </w:p>
    <w:p>
      <w:r>
        <w:br w:type="page"/>
      </w:r>
    </w:p>
    <w:p>
      <w:pPr>
        <w:pStyle w:val="Heading2"/>
        <w:spacing w:before="120" w:after="80"/>
      </w:pPr>
      <w:r>
        <w:rPr>
          <w:rFonts w:ascii="Times New Roman" w:hAnsi="Times New Roman" w:eastAsia="Times New Roman"/>
          <w:b/>
          <w:color w:val="1F2B38"/>
          <w:sz w:val="23"/>
        </w:rPr>
        <w:t>4.5 RQ5: Carbon-Aware Training Windows</w:t>
      </w:r>
    </w:p>
    <w:p>
      <w:pPr>
        <w:spacing w:after="120" w:line="252" w:lineRule="auto"/>
      </w:pPr>
      <w:r>
        <w:rPr>
          <w:rFonts w:ascii="Times New Roman" w:hAnsi="Times New Roman" w:eastAsia="Times New Roman"/>
          <w:sz w:val="21"/>
        </w:rPr>
        <w:t>For the selected model, green-window scheduling reduces proxy training carbon by 31.9% relative to an average training hour. Although the absolute carbon values are small because the models are lightweight and the dataset is course-scale, the relative result is important: scheduling and energy-aware orchestration matter even before model architecture changes.</w:t>
      </w:r>
    </w:p>
    <w:p>
      <w:pPr>
        <w:spacing w:before="100" w:after="100"/>
        <w:jc w:val="center"/>
      </w:pPr>
      <w:r>
        <w:rPr>
          <w:rFonts w:ascii="Times New Roman" w:hAnsi="Times New Roman" w:eastAsia="Times New Roman"/>
          <w:b/>
          <w:sz w:val="19"/>
        </w:rPr>
        <w:t>TABLE 7. Training-window scenarios for the selected and lowest-compute models.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DCEAF7"/>
            <w:vAlign w:val="center"/>
          </w:tcPr>
          <w:p>
            <w:pPr>
              <w:jc w:val="center"/>
            </w:pPr>
            <w:r/>
            <w:r>
              <w:rPr>
                <w:rFonts w:ascii="Times New Roman" w:hAnsi="Times New Roman" w:eastAsia="Times New Roman"/>
                <w:b/>
                <w:color w:val="141E28"/>
                <w:sz w:val="16"/>
              </w:rPr>
              <w:t>Model</w:t>
            </w:r>
          </w:p>
        </w:tc>
        <w:tc>
          <w:tcPr>
            <w:tcW w:type="dxa" w:w="2033"/>
            <w:shd w:fill="DCEAF7"/>
            <w:vAlign w:val="center"/>
          </w:tcPr>
          <w:p>
            <w:pPr>
              <w:jc w:val="center"/>
            </w:pPr>
            <w:r/>
            <w:r>
              <w:rPr>
                <w:rFonts w:ascii="Times New Roman" w:hAnsi="Times New Roman" w:eastAsia="Times New Roman"/>
                <w:b/>
                <w:color w:val="141E28"/>
                <w:sz w:val="16"/>
              </w:rPr>
              <w:t>Scenario</w:t>
            </w:r>
          </w:p>
        </w:tc>
        <w:tc>
          <w:tcPr>
            <w:tcW w:type="dxa" w:w="2033"/>
            <w:shd w:fill="DCEAF7"/>
            <w:vAlign w:val="center"/>
          </w:tcPr>
          <w:p>
            <w:pPr>
              <w:jc w:val="center"/>
            </w:pPr>
            <w:r/>
            <w:r>
              <w:rPr>
                <w:rFonts w:ascii="Times New Roman" w:hAnsi="Times New Roman" w:eastAsia="Times New Roman"/>
                <w:b/>
                <w:color w:val="141E28"/>
                <w:sz w:val="16"/>
              </w:rPr>
              <w:t>Proxy intensity</w:t>
            </w:r>
          </w:p>
        </w:tc>
        <w:tc>
          <w:tcPr>
            <w:tcW w:type="dxa" w:w="2033"/>
            <w:shd w:fill="DCEAF7"/>
            <w:vAlign w:val="center"/>
          </w:tcPr>
          <w:p>
            <w:pPr>
              <w:jc w:val="center"/>
            </w:pPr>
            <w:r/>
            <w:r>
              <w:rPr>
                <w:rFonts w:ascii="Times New Roman" w:hAnsi="Times New Roman" w:eastAsia="Times New Roman"/>
                <w:b/>
                <w:color w:val="141E28"/>
                <w:sz w:val="16"/>
              </w:rPr>
              <w:t>Carbon proxy (mg CO2e)</w:t>
            </w:r>
          </w:p>
        </w:tc>
        <w:tc>
          <w:tcPr>
            <w:tcW w:type="dxa" w:w="2033"/>
            <w:shd w:fill="DCEAF7"/>
            <w:vAlign w:val="center"/>
          </w:tcPr>
          <w:p>
            <w:pPr>
              <w:jc w:val="center"/>
            </w:pPr>
            <w:r/>
            <w:r>
              <w:rPr>
                <w:rFonts w:ascii="Times New Roman" w:hAnsi="Times New Roman" w:eastAsia="Times New Roman"/>
                <w:b/>
                <w:color w:val="141E28"/>
                <w:sz w:val="16"/>
              </w:rPr>
              <w:t>Reduction vs random (%)</w:t>
            </w:r>
          </w:p>
        </w:tc>
      </w:tr>
      <w:tr>
        <w:tc>
          <w:tcPr>
            <w:tcW w:type="dxa" w:w="2033"/>
            <w:vAlign w:val="center"/>
          </w:tcPr>
          <w:p>
            <w:pPr>
              <w:jc w:val="left"/>
            </w:pPr>
            <w:r/>
            <w:r>
              <w:rPr>
                <w:rFonts w:ascii="Times New Roman" w:hAnsi="Times New Roman" w:eastAsia="Times New Roman"/>
                <w:b w:val="0"/>
                <w:color w:val="141E28"/>
                <w:sz w:val="15"/>
              </w:rPr>
              <w:t>Histogram Gradient Boosting</w:t>
            </w:r>
          </w:p>
        </w:tc>
        <w:tc>
          <w:tcPr>
            <w:tcW w:type="dxa" w:w="2033"/>
            <w:vAlign w:val="center"/>
          </w:tcPr>
          <w:p>
            <w:pPr>
              <w:jc w:val="center"/>
            </w:pPr>
            <w:r/>
            <w:r>
              <w:rPr>
                <w:rFonts w:ascii="Times New Roman" w:hAnsi="Times New Roman" w:eastAsia="Times New Roman"/>
                <w:b w:val="0"/>
                <w:color w:val="141E28"/>
                <w:sz w:val="15"/>
              </w:rPr>
              <w:t>Green-window scheduling (lowest decile)</w:t>
            </w:r>
          </w:p>
        </w:tc>
        <w:tc>
          <w:tcPr>
            <w:tcW w:type="dxa" w:w="2033"/>
            <w:vAlign w:val="center"/>
          </w:tcPr>
          <w:p>
            <w:pPr>
              <w:jc w:val="center"/>
            </w:pPr>
            <w:r/>
            <w:r>
              <w:rPr>
                <w:rFonts w:ascii="Times New Roman" w:hAnsi="Times New Roman" w:eastAsia="Times New Roman"/>
                <w:b w:val="0"/>
                <w:color w:val="141E28"/>
                <w:sz w:val="15"/>
              </w:rPr>
              <w:t>354.132</w:t>
            </w:r>
          </w:p>
        </w:tc>
        <w:tc>
          <w:tcPr>
            <w:tcW w:type="dxa" w:w="2033"/>
            <w:vAlign w:val="center"/>
          </w:tcPr>
          <w:p>
            <w:pPr>
              <w:jc w:val="center"/>
            </w:pPr>
            <w:r/>
            <w:r>
              <w:rPr>
                <w:rFonts w:ascii="Times New Roman" w:hAnsi="Times New Roman" w:eastAsia="Times New Roman"/>
                <w:b w:val="0"/>
                <w:color w:val="141E28"/>
                <w:sz w:val="15"/>
              </w:rPr>
              <w:t>3.878</w:t>
            </w:r>
          </w:p>
        </w:tc>
        <w:tc>
          <w:tcPr>
            <w:tcW w:type="dxa" w:w="2033"/>
            <w:vAlign w:val="center"/>
          </w:tcPr>
          <w:p>
            <w:pPr>
              <w:jc w:val="center"/>
            </w:pPr>
            <w:r/>
            <w:r>
              <w:rPr>
                <w:rFonts w:ascii="Times New Roman" w:hAnsi="Times New Roman" w:eastAsia="Times New Roman"/>
                <w:b w:val="0"/>
                <w:color w:val="141E28"/>
                <w:sz w:val="15"/>
              </w:rPr>
              <w:t>31.886</w:t>
            </w:r>
          </w:p>
        </w:tc>
      </w:tr>
      <w:tr>
        <w:tc>
          <w:tcPr>
            <w:tcW w:type="dxa" w:w="2033"/>
            <w:vAlign w:val="center"/>
          </w:tcPr>
          <w:p>
            <w:pPr>
              <w:jc w:val="left"/>
            </w:pPr>
            <w:r/>
            <w:r>
              <w:rPr>
                <w:rFonts w:ascii="Times New Roman" w:hAnsi="Times New Roman" w:eastAsia="Times New Roman"/>
                <w:b w:val="0"/>
                <w:color w:val="141E28"/>
                <w:sz w:val="15"/>
              </w:rPr>
              <w:t>Histogram Gradient Boosting</w:t>
            </w:r>
          </w:p>
        </w:tc>
        <w:tc>
          <w:tcPr>
            <w:tcW w:type="dxa" w:w="2033"/>
            <w:vAlign w:val="center"/>
          </w:tcPr>
          <w:p>
            <w:pPr>
              <w:jc w:val="center"/>
            </w:pPr>
            <w:r/>
            <w:r>
              <w:rPr>
                <w:rFonts w:ascii="Times New Roman" w:hAnsi="Times New Roman" w:eastAsia="Times New Roman"/>
                <w:b w:val="0"/>
                <w:color w:val="141E28"/>
                <w:sz w:val="15"/>
              </w:rPr>
              <w:t>Random-hour scheduling (training mean)</w:t>
            </w:r>
          </w:p>
        </w:tc>
        <w:tc>
          <w:tcPr>
            <w:tcW w:type="dxa" w:w="2033"/>
            <w:vAlign w:val="center"/>
          </w:tcPr>
          <w:p>
            <w:pPr>
              <w:jc w:val="center"/>
            </w:pPr>
            <w:r/>
            <w:r>
              <w:rPr>
                <w:rFonts w:ascii="Times New Roman" w:hAnsi="Times New Roman" w:eastAsia="Times New Roman"/>
                <w:b w:val="0"/>
                <w:color w:val="141E28"/>
                <w:sz w:val="15"/>
              </w:rPr>
              <w:t>519.912</w:t>
            </w:r>
          </w:p>
        </w:tc>
        <w:tc>
          <w:tcPr>
            <w:tcW w:type="dxa" w:w="2033"/>
            <w:vAlign w:val="center"/>
          </w:tcPr>
          <w:p>
            <w:pPr>
              <w:jc w:val="center"/>
            </w:pPr>
            <w:r/>
            <w:r>
              <w:rPr>
                <w:rFonts w:ascii="Times New Roman" w:hAnsi="Times New Roman" w:eastAsia="Times New Roman"/>
                <w:b w:val="0"/>
                <w:color w:val="141E28"/>
                <w:sz w:val="15"/>
              </w:rPr>
              <w:t>5.693</w:t>
            </w:r>
          </w:p>
        </w:tc>
        <w:tc>
          <w:tcPr>
            <w:tcW w:type="dxa" w:w="2033"/>
            <w:vAlign w:val="center"/>
          </w:tcPr>
          <w:p>
            <w:pPr>
              <w:jc w:val="center"/>
            </w:pPr>
            <w:r/>
            <w:r>
              <w:rPr>
                <w:rFonts w:ascii="Times New Roman" w:hAnsi="Times New Roman" w:eastAsia="Times New Roman"/>
                <w:b w:val="0"/>
                <w:color w:val="141E28"/>
                <w:sz w:val="15"/>
              </w:rPr>
              <w:t>0.000</w:t>
            </w:r>
          </w:p>
        </w:tc>
      </w:tr>
      <w:tr>
        <w:tc>
          <w:tcPr>
            <w:tcW w:type="dxa" w:w="2033"/>
            <w:vAlign w:val="center"/>
          </w:tcPr>
          <w:p>
            <w:pPr>
              <w:jc w:val="left"/>
            </w:pPr>
            <w:r/>
            <w:r>
              <w:rPr>
                <w:rFonts w:ascii="Times New Roman" w:hAnsi="Times New Roman" w:eastAsia="Times New Roman"/>
                <w:b w:val="0"/>
                <w:color w:val="141E28"/>
                <w:sz w:val="15"/>
              </w:rPr>
              <w:t>Histogram Gradient Boosting</w:t>
            </w:r>
          </w:p>
        </w:tc>
        <w:tc>
          <w:tcPr>
            <w:tcW w:type="dxa" w:w="2033"/>
            <w:vAlign w:val="center"/>
          </w:tcPr>
          <w:p>
            <w:pPr>
              <w:jc w:val="center"/>
            </w:pPr>
            <w:r/>
            <w:r>
              <w:rPr>
                <w:rFonts w:ascii="Times New Roman" w:hAnsi="Times New Roman" w:eastAsia="Times New Roman"/>
                <w:b w:val="0"/>
                <w:color w:val="141E28"/>
                <w:sz w:val="15"/>
              </w:rPr>
              <w:t>Carbon-intensive scheduling (highest decile)</w:t>
            </w:r>
          </w:p>
        </w:tc>
        <w:tc>
          <w:tcPr>
            <w:tcW w:type="dxa" w:w="2033"/>
            <w:vAlign w:val="center"/>
          </w:tcPr>
          <w:p>
            <w:pPr>
              <w:jc w:val="center"/>
            </w:pPr>
            <w:r/>
            <w:r>
              <w:rPr>
                <w:rFonts w:ascii="Times New Roman" w:hAnsi="Times New Roman" w:eastAsia="Times New Roman"/>
                <w:b w:val="0"/>
                <w:color w:val="141E28"/>
                <w:sz w:val="15"/>
              </w:rPr>
              <w:t>626.796</w:t>
            </w:r>
          </w:p>
        </w:tc>
        <w:tc>
          <w:tcPr>
            <w:tcW w:type="dxa" w:w="2033"/>
            <w:vAlign w:val="center"/>
          </w:tcPr>
          <w:p>
            <w:pPr>
              <w:jc w:val="center"/>
            </w:pPr>
            <w:r/>
            <w:r>
              <w:rPr>
                <w:rFonts w:ascii="Times New Roman" w:hAnsi="Times New Roman" w:eastAsia="Times New Roman"/>
                <w:b w:val="0"/>
                <w:color w:val="141E28"/>
                <w:sz w:val="15"/>
              </w:rPr>
              <w:t>6.863</w:t>
            </w:r>
          </w:p>
        </w:tc>
        <w:tc>
          <w:tcPr>
            <w:tcW w:type="dxa" w:w="2033"/>
            <w:vAlign w:val="center"/>
          </w:tcPr>
          <w:p>
            <w:pPr>
              <w:jc w:val="center"/>
            </w:pPr>
            <w:r/>
            <w:r>
              <w:rPr>
                <w:rFonts w:ascii="Times New Roman" w:hAnsi="Times New Roman" w:eastAsia="Times New Roman"/>
                <w:b w:val="0"/>
                <w:color w:val="141E28"/>
                <w:sz w:val="15"/>
              </w:rPr>
              <w:t>-20.558</w:t>
            </w:r>
          </w:p>
        </w:tc>
      </w:tr>
      <w:tr>
        <w:tc>
          <w:tcPr>
            <w:tcW w:type="dxa" w:w="2033"/>
            <w:vAlign w:val="center"/>
          </w:tcPr>
          <w:p>
            <w:pPr>
              <w:jc w:val="left"/>
            </w:pPr>
            <w:r/>
            <w:r>
              <w:rPr>
                <w:rFonts w:ascii="Times New Roman" w:hAnsi="Times New Roman" w:eastAsia="Times New Roman"/>
                <w:b w:val="0"/>
                <w:color w:val="141E28"/>
                <w:sz w:val="15"/>
              </w:rPr>
              <w:t>Logistic Regression</w:t>
            </w:r>
          </w:p>
        </w:tc>
        <w:tc>
          <w:tcPr>
            <w:tcW w:type="dxa" w:w="2033"/>
            <w:vAlign w:val="center"/>
          </w:tcPr>
          <w:p>
            <w:pPr>
              <w:jc w:val="center"/>
            </w:pPr>
            <w:r/>
            <w:r>
              <w:rPr>
                <w:rFonts w:ascii="Times New Roman" w:hAnsi="Times New Roman" w:eastAsia="Times New Roman"/>
                <w:b w:val="0"/>
                <w:color w:val="141E28"/>
                <w:sz w:val="15"/>
              </w:rPr>
              <w:t>Green-window scheduling (lowest decile)</w:t>
            </w:r>
          </w:p>
        </w:tc>
        <w:tc>
          <w:tcPr>
            <w:tcW w:type="dxa" w:w="2033"/>
            <w:vAlign w:val="center"/>
          </w:tcPr>
          <w:p>
            <w:pPr>
              <w:jc w:val="center"/>
            </w:pPr>
            <w:r/>
            <w:r>
              <w:rPr>
                <w:rFonts w:ascii="Times New Roman" w:hAnsi="Times New Roman" w:eastAsia="Times New Roman"/>
                <w:b w:val="0"/>
                <w:color w:val="141E28"/>
                <w:sz w:val="15"/>
              </w:rPr>
              <w:t>354.132</w:t>
            </w:r>
          </w:p>
        </w:tc>
        <w:tc>
          <w:tcPr>
            <w:tcW w:type="dxa" w:w="2033"/>
            <w:vAlign w:val="center"/>
          </w:tcPr>
          <w:p>
            <w:pPr>
              <w:jc w:val="center"/>
            </w:pPr>
            <w:r/>
            <w:r>
              <w:rPr>
                <w:rFonts w:ascii="Times New Roman" w:hAnsi="Times New Roman" w:eastAsia="Times New Roman"/>
                <w:b w:val="0"/>
                <w:color w:val="141E28"/>
                <w:sz w:val="15"/>
              </w:rPr>
              <w:t>0.156</w:t>
            </w:r>
          </w:p>
        </w:tc>
        <w:tc>
          <w:tcPr>
            <w:tcW w:type="dxa" w:w="2033"/>
            <w:vAlign w:val="center"/>
          </w:tcPr>
          <w:p>
            <w:pPr>
              <w:jc w:val="center"/>
            </w:pPr>
            <w:r/>
            <w:r>
              <w:rPr>
                <w:rFonts w:ascii="Times New Roman" w:hAnsi="Times New Roman" w:eastAsia="Times New Roman"/>
                <w:b w:val="0"/>
                <w:color w:val="141E28"/>
                <w:sz w:val="15"/>
              </w:rPr>
              <w:t>31.886</w:t>
            </w:r>
          </w:p>
        </w:tc>
      </w:tr>
      <w:tr>
        <w:tc>
          <w:tcPr>
            <w:tcW w:type="dxa" w:w="2033"/>
            <w:vAlign w:val="center"/>
          </w:tcPr>
          <w:p>
            <w:pPr>
              <w:jc w:val="left"/>
            </w:pPr>
            <w:r/>
            <w:r>
              <w:rPr>
                <w:rFonts w:ascii="Times New Roman" w:hAnsi="Times New Roman" w:eastAsia="Times New Roman"/>
                <w:b w:val="0"/>
                <w:color w:val="141E28"/>
                <w:sz w:val="15"/>
              </w:rPr>
              <w:t>Logistic Regression</w:t>
            </w:r>
          </w:p>
        </w:tc>
        <w:tc>
          <w:tcPr>
            <w:tcW w:type="dxa" w:w="2033"/>
            <w:vAlign w:val="center"/>
          </w:tcPr>
          <w:p>
            <w:pPr>
              <w:jc w:val="center"/>
            </w:pPr>
            <w:r/>
            <w:r>
              <w:rPr>
                <w:rFonts w:ascii="Times New Roman" w:hAnsi="Times New Roman" w:eastAsia="Times New Roman"/>
                <w:b w:val="0"/>
                <w:color w:val="141E28"/>
                <w:sz w:val="15"/>
              </w:rPr>
              <w:t>Random-hour scheduling (training mean)</w:t>
            </w:r>
          </w:p>
        </w:tc>
        <w:tc>
          <w:tcPr>
            <w:tcW w:type="dxa" w:w="2033"/>
            <w:vAlign w:val="center"/>
          </w:tcPr>
          <w:p>
            <w:pPr>
              <w:jc w:val="center"/>
            </w:pPr>
            <w:r/>
            <w:r>
              <w:rPr>
                <w:rFonts w:ascii="Times New Roman" w:hAnsi="Times New Roman" w:eastAsia="Times New Roman"/>
                <w:b w:val="0"/>
                <w:color w:val="141E28"/>
                <w:sz w:val="15"/>
              </w:rPr>
              <w:t>519.912</w:t>
            </w:r>
          </w:p>
        </w:tc>
        <w:tc>
          <w:tcPr>
            <w:tcW w:type="dxa" w:w="2033"/>
            <w:vAlign w:val="center"/>
          </w:tcPr>
          <w:p>
            <w:pPr>
              <w:jc w:val="center"/>
            </w:pPr>
            <w:r/>
            <w:r>
              <w:rPr>
                <w:rFonts w:ascii="Times New Roman" w:hAnsi="Times New Roman" w:eastAsia="Times New Roman"/>
                <w:b w:val="0"/>
                <w:color w:val="141E28"/>
                <w:sz w:val="15"/>
              </w:rPr>
              <w:t>0.229</w:t>
            </w:r>
          </w:p>
        </w:tc>
        <w:tc>
          <w:tcPr>
            <w:tcW w:type="dxa" w:w="2033"/>
            <w:vAlign w:val="center"/>
          </w:tcPr>
          <w:p>
            <w:pPr>
              <w:jc w:val="center"/>
            </w:pPr>
            <w:r/>
            <w:r>
              <w:rPr>
                <w:rFonts w:ascii="Times New Roman" w:hAnsi="Times New Roman" w:eastAsia="Times New Roman"/>
                <w:b w:val="0"/>
                <w:color w:val="141E28"/>
                <w:sz w:val="15"/>
              </w:rPr>
              <w:t>0.000</w:t>
            </w:r>
          </w:p>
        </w:tc>
      </w:tr>
      <w:tr>
        <w:tc>
          <w:tcPr>
            <w:tcW w:type="dxa" w:w="2033"/>
            <w:vAlign w:val="center"/>
          </w:tcPr>
          <w:p>
            <w:pPr>
              <w:jc w:val="left"/>
            </w:pPr>
            <w:r/>
            <w:r>
              <w:rPr>
                <w:rFonts w:ascii="Times New Roman" w:hAnsi="Times New Roman" w:eastAsia="Times New Roman"/>
                <w:b w:val="0"/>
                <w:color w:val="141E28"/>
                <w:sz w:val="15"/>
              </w:rPr>
              <w:t>Logistic Regression</w:t>
            </w:r>
          </w:p>
        </w:tc>
        <w:tc>
          <w:tcPr>
            <w:tcW w:type="dxa" w:w="2033"/>
            <w:vAlign w:val="center"/>
          </w:tcPr>
          <w:p>
            <w:pPr>
              <w:jc w:val="center"/>
            </w:pPr>
            <w:r/>
            <w:r>
              <w:rPr>
                <w:rFonts w:ascii="Times New Roman" w:hAnsi="Times New Roman" w:eastAsia="Times New Roman"/>
                <w:b w:val="0"/>
                <w:color w:val="141E28"/>
                <w:sz w:val="15"/>
              </w:rPr>
              <w:t>Carbon-intensive scheduling (highest decile)</w:t>
            </w:r>
          </w:p>
        </w:tc>
        <w:tc>
          <w:tcPr>
            <w:tcW w:type="dxa" w:w="2033"/>
            <w:vAlign w:val="center"/>
          </w:tcPr>
          <w:p>
            <w:pPr>
              <w:jc w:val="center"/>
            </w:pPr>
            <w:r/>
            <w:r>
              <w:rPr>
                <w:rFonts w:ascii="Times New Roman" w:hAnsi="Times New Roman" w:eastAsia="Times New Roman"/>
                <w:b w:val="0"/>
                <w:color w:val="141E28"/>
                <w:sz w:val="15"/>
              </w:rPr>
              <w:t>626.796</w:t>
            </w:r>
          </w:p>
        </w:tc>
        <w:tc>
          <w:tcPr>
            <w:tcW w:type="dxa" w:w="2033"/>
            <w:vAlign w:val="center"/>
          </w:tcPr>
          <w:p>
            <w:pPr>
              <w:jc w:val="center"/>
            </w:pPr>
            <w:r/>
            <w:r>
              <w:rPr>
                <w:rFonts w:ascii="Times New Roman" w:hAnsi="Times New Roman" w:eastAsia="Times New Roman"/>
                <w:b w:val="0"/>
                <w:color w:val="141E28"/>
                <w:sz w:val="15"/>
              </w:rPr>
              <w:t>0.276</w:t>
            </w:r>
          </w:p>
        </w:tc>
        <w:tc>
          <w:tcPr>
            <w:tcW w:type="dxa" w:w="2033"/>
            <w:vAlign w:val="center"/>
          </w:tcPr>
          <w:p>
            <w:pPr>
              <w:jc w:val="center"/>
            </w:pPr>
            <w:r/>
            <w:r>
              <w:rPr>
                <w:rFonts w:ascii="Times New Roman" w:hAnsi="Times New Roman" w:eastAsia="Times New Roman"/>
                <w:b w:val="0"/>
                <w:color w:val="141E28"/>
                <w:sz w:val="15"/>
              </w:rPr>
              <w:t>-20.558</w:t>
            </w:r>
          </w:p>
        </w:tc>
      </w:tr>
    </w:tbl>
    <w:p>
      <w:pPr>
        <w:spacing w:after="120" w:line="252" w:lineRule="auto"/>
      </w:pPr>
    </w:p>
    <w:p>
      <w:pPr>
        <w:jc w:val="center"/>
      </w:pPr>
      <w:r>
        <w:drawing>
          <wp:inline xmlns:a="http://schemas.openxmlformats.org/drawingml/2006/main" xmlns:pic="http://schemas.openxmlformats.org/drawingml/2006/picture">
            <wp:extent cx="5989320" cy="3260499"/>
            <wp:docPr id="6" name="Picture 6" title="Fig" descr="Fig. 6. Carbon-aware training-window sensitivity by model."/>
            <wp:cNvGraphicFramePr>
              <a:graphicFrameLocks noChangeAspect="1"/>
            </wp:cNvGraphicFramePr>
            <a:graphic>
              <a:graphicData uri="http://schemas.openxmlformats.org/drawingml/2006/picture">
                <pic:pic>
                  <pic:nvPicPr>
                    <pic:cNvPr id="0" name="rq5_carbon_aware_training_windows.png"/>
                    <pic:cNvPicPr/>
                  </pic:nvPicPr>
                  <pic:blipFill>
                    <a:blip r:embed="rId21"/>
                    <a:stretch>
                      <a:fillRect/>
                    </a:stretch>
                  </pic:blipFill>
                  <pic:spPr>
                    <a:xfrm>
                      <a:off x="0" y="0"/>
                      <a:ext cx="5989320" cy="3260499"/>
                    </a:xfrm>
                    <a:prstGeom prst="rect"/>
                  </pic:spPr>
                </pic:pic>
              </a:graphicData>
            </a:graphic>
          </wp:inline>
        </w:drawing>
      </w:r>
    </w:p>
    <w:p>
      <w:pPr>
        <w:spacing w:before="100" w:after="100"/>
        <w:jc w:val="center"/>
      </w:pPr>
      <w:r>
        <w:rPr>
          <w:rFonts w:ascii="Times New Roman" w:hAnsi="Times New Roman" w:eastAsia="Times New Roman"/>
          <w:b/>
          <w:sz w:val="18"/>
        </w:rPr>
        <w:t>Fig. 6. Carbon-aware training-window sensitivity by model.</w:t>
      </w:r>
    </w:p>
    <w:p>
      <w:r>
        <w:br w:type="page"/>
      </w:r>
    </w:p>
    <w:p>
      <w:pPr>
        <w:pStyle w:val="Heading1"/>
        <w:spacing w:before="200" w:after="80"/>
      </w:pPr>
      <w:r>
        <w:rPr>
          <w:rFonts w:ascii="Times New Roman" w:hAnsi="Times New Roman" w:eastAsia="Times New Roman"/>
          <w:b/>
          <w:color w:val="1F2B38"/>
          <w:sz w:val="26"/>
        </w:rPr>
        <w:t>5. RESPONSIBLE AI AND POWER-SYSTEM GOVERNANCE IMPLICATIONS</w:t>
      </w:r>
    </w:p>
    <w:p>
      <w:pPr>
        <w:spacing w:after="120" w:line="252" w:lineRule="auto"/>
      </w:pPr>
      <w:r>
        <w:rPr>
          <w:rFonts w:ascii="Times New Roman" w:hAnsi="Times New Roman" w:eastAsia="Times New Roman"/>
          <w:sz w:val="21"/>
        </w:rPr>
        <w:t>This study supports a procurement-style view of ML model selection. A model should not be approved solely because it has the highest accuracy. A responsible selection record should include the target definition, data provenance, chronological validation design, performance metrics by operating regime, model size, runtime, carbon-accounting assumption, and evidence that simpler alternatives were tested.</w:t>
      </w:r>
    </w:p>
    <w:p>
      <w:pPr>
        <w:spacing w:after="120" w:line="252" w:lineRule="auto"/>
      </w:pPr>
      <w:r>
        <w:rPr>
          <w:rFonts w:ascii="Times New Roman" w:hAnsi="Times New Roman" w:eastAsia="Times New Roman"/>
          <w:sz w:val="21"/>
        </w:rPr>
        <w:t>For German power-system applications, the strongest governance rule is seasonal stress testing. A model that performs well on average but fails in summer or transition seasons may be unsuitable for operational use. The second rule is traceable carbon accounting. Even a proxy makes hidden compute costs visible, and it creates a structure for replacing assumptions with measured hardware energy later.</w:t>
      </w:r>
    </w:p>
    <w:p>
      <w:pPr>
        <w:pStyle w:val="Heading1"/>
        <w:spacing w:before="200" w:after="80"/>
      </w:pPr>
      <w:r>
        <w:rPr>
          <w:rFonts w:ascii="Times New Roman" w:hAnsi="Times New Roman" w:eastAsia="Times New Roman"/>
          <w:b/>
          <w:color w:val="1F2B38"/>
          <w:sz w:val="26"/>
        </w:rPr>
        <w:t>6. LIMITATIONS</w:t>
      </w:r>
    </w:p>
    <w:p>
      <w:pPr>
        <w:spacing w:after="120" w:line="252" w:lineRule="auto"/>
      </w:pPr>
      <w:r>
        <w:rPr>
          <w:rFonts w:ascii="Times New Roman" w:hAnsi="Times New Roman" w:eastAsia="Times New Roman"/>
          <w:sz w:val="21"/>
        </w:rPr>
        <w:t>First, the carbon variable is a residual-load proxy, not measured German grid-emission intensity. It should be treated as a sensitivity indicator. Second, the analysis is limited to OPSD variables available in the hourly single-index package; adding weather, market, holiday, and industrial activity data would make the task more realistic. Third, serialized model size and CPU runtime are environment-specific. Fourth, the report uses histogram gradient boosting as a reproducible boosted-tree comparator, not the external XGBoost library. Fifth, feature coefficients are not causal estimates.</w:t>
      </w:r>
    </w:p>
    <w:p>
      <w:pPr>
        <w:pStyle w:val="Heading1"/>
        <w:spacing w:before="200" w:after="80"/>
      </w:pPr>
      <w:r>
        <w:rPr>
          <w:rFonts w:ascii="Times New Roman" w:hAnsi="Times New Roman" w:eastAsia="Times New Roman"/>
          <w:b/>
          <w:color w:val="1F2B38"/>
          <w:sz w:val="26"/>
        </w:rPr>
        <w:t>7. CONCLUSIONS AND RECOMMENDATIONS</w:t>
      </w:r>
    </w:p>
    <w:p>
      <w:pPr>
        <w:spacing w:after="120" w:line="252" w:lineRule="auto"/>
      </w:pPr>
      <w:r>
        <w:rPr>
          <w:rFonts w:ascii="Times New Roman" w:hAnsi="Times New Roman" w:eastAsia="Times New Roman"/>
          <w:sz w:val="21"/>
        </w:rPr>
        <w:t>The recommended balanced model is Histogram Gradient Boosting, because it achieves the highest F1-score (0.897) with a modest carbon proxy and strong ROC-AUC (0.993). The recommended low-compute fallback is Logistic Regression, which is appropriate when transparency, speed, and operational simplicity outweigh maximum predictive performance.</w:t>
      </w:r>
    </w:p>
    <w:p>
      <w:pPr>
        <w:spacing w:after="120" w:line="252" w:lineRule="auto"/>
      </w:pPr>
      <w:r>
        <w:rPr>
          <w:rFonts w:ascii="Times New Roman" w:hAnsi="Times New Roman" w:eastAsia="Times New Roman"/>
          <w:sz w:val="21"/>
        </w:rPr>
        <w:t>For a publication or conference presentation, the strongest story is: (1) define model selection as a multi-objective power-system governance problem; (2) use Germany-specific open data; (3) compare models on both accuracy and sustainability indicators; (4) stress-test results seasonally; and (5) recommend a Pareto-efficient model with explicit caveats.</w:t>
      </w:r>
    </w:p>
    <w:p>
      <w:pPr>
        <w:pStyle w:val="Heading1"/>
        <w:spacing w:before="200" w:after="80"/>
      </w:pPr>
      <w:r>
        <w:rPr>
          <w:rFonts w:ascii="Times New Roman" w:hAnsi="Times New Roman" w:eastAsia="Times New Roman"/>
          <w:b/>
          <w:color w:val="1F2B38"/>
          <w:sz w:val="26"/>
        </w:rPr>
        <w:t>APPENDIX A. REPRODUCIBILITY PACKAGE</w:t>
      </w:r>
    </w:p>
    <w:p>
      <w:pPr>
        <w:spacing w:after="120" w:line="252" w:lineRule="auto"/>
      </w:pPr>
      <w:r>
        <w:rPr>
          <w:rFonts w:ascii="Times New Roman" w:hAnsi="Times New Roman" w:eastAsia="Times New Roman"/>
          <w:sz w:val="21"/>
        </w:rPr>
        <w:t>The generated package contains the raw OPSD CSV (`data.csv`), processed modeling table (`preprocessed_content.csv`), five notebooks under `notebooks/`, result tables under `outputs/tables/`, PDF and PNG figures under `outputs/figures/`, reusable SVG icons under `icons/`, and an editable PowerPoint poster deck under `posters/`.</w:t>
      </w:r>
    </w:p>
    <w:p>
      <w:pPr>
        <w:spacing w:after="120" w:line="252" w:lineRule="auto"/>
      </w:pPr>
      <w:r>
        <w:rPr>
          <w:rFonts w:ascii="Times New Roman" w:hAnsi="Times New Roman" w:eastAsia="Times New Roman"/>
          <w:sz w:val="21"/>
        </w:rPr>
        <w:t>Run `python3 scripts/generate_analysis_assets.py` from the project root to regenerate the computational assets. The report itself is produced by `scripts/generate_report_docx.py`.</w:t>
      </w:r>
    </w:p>
    <w:p>
      <w:pPr>
        <w:pStyle w:val="Heading1"/>
        <w:spacing w:before="200" w:after="80"/>
      </w:pPr>
      <w:r>
        <w:rPr>
          <w:rFonts w:ascii="Times New Roman" w:hAnsi="Times New Roman" w:eastAsia="Times New Roman"/>
          <w:b/>
          <w:color w:val="1F2B38"/>
          <w:sz w:val="26"/>
        </w:rPr>
        <w:t>REFERENCES</w:t>
      </w:r>
    </w:p>
    <w:p>
      <w:pPr>
        <w:spacing w:after="120" w:line="252" w:lineRule="auto"/>
      </w:pPr>
      <w:r>
        <w:rPr>
          <w:rFonts w:ascii="Times New Roman" w:hAnsi="Times New Roman" w:eastAsia="Times New Roman"/>
          <w:sz w:val="19"/>
        </w:rPr>
        <w:t>[1] IEEE Power &amp; Energy Society, Technical Reports &amp; White Papers, https://ieee-pes.org/technical-activities/technical-reports-white-papers/.</w:t>
      </w:r>
    </w:p>
    <w:p>
      <w:pPr>
        <w:spacing w:after="120" w:line="252" w:lineRule="auto"/>
      </w:pPr>
      <w:r>
        <w:rPr>
          <w:rFonts w:ascii="Times New Roman" w:hAnsi="Times New Roman" w:eastAsia="Times New Roman"/>
          <w:sz w:val="19"/>
        </w:rPr>
        <w:t>[2] Open Power System Data, Data Package Time series, Version 2020-10-06, https://doi.org/10.25832/time_series/2020-10-06.</w:t>
      </w:r>
    </w:p>
    <w:p>
      <w:pPr>
        <w:spacing w:after="120" w:line="252" w:lineRule="auto"/>
      </w:pPr>
      <w:r>
        <w:rPr>
          <w:rFonts w:ascii="Times New Roman" w:hAnsi="Times New Roman" w:eastAsia="Times New Roman"/>
          <w:sz w:val="19"/>
        </w:rPr>
        <w:t>[3] Open Power System Data, Time series field documentation, https://data.open-power-system-data.org/time_series/.</w:t>
      </w:r>
    </w:p>
    <w:p>
      <w:pPr>
        <w:spacing w:after="120" w:line="252" w:lineRule="auto"/>
      </w:pPr>
      <w:r>
        <w:rPr>
          <w:rFonts w:ascii="Times New Roman" w:hAnsi="Times New Roman" w:eastAsia="Times New Roman"/>
          <w:sz w:val="19"/>
        </w:rPr>
        <w:t>[4] A. M. Stankovic et al., Methods for Analysis and Quantification of Power System Resilience, IEEE PES Technical Report TR 108, 2023.</w:t>
      </w:r>
    </w:p>
    <w:p>
      <w:pPr>
        <w:spacing w:after="120" w:line="252" w:lineRule="auto"/>
      </w:pPr>
      <w:r>
        <w:rPr>
          <w:rFonts w:ascii="Times New Roman" w:hAnsi="Times New Roman" w:eastAsia="Times New Roman"/>
          <w:sz w:val="19"/>
        </w:rPr>
        <w:t>[5] H. Chen et al., IEEE Power and Energy Technology Assessment and Roadmap, IEEE PES Technical Report TR 123, 2024.</w:t>
      </w:r>
    </w:p>
    <w:p>
      <w:pPr>
        <w:spacing w:after="120" w:line="252" w:lineRule="auto"/>
      </w:pPr>
      <w:r>
        <w:rPr>
          <w:rFonts w:ascii="Times New Roman" w:hAnsi="Times New Roman" w:eastAsia="Times New Roman"/>
          <w:sz w:val="19"/>
        </w:rPr>
        <w:t>[6] R. Jeffers et al., Enabling Climate Adaptation and Mitigation Through Grid Modernization, IEEE PES Technical Report TR 124, 2024.</w:t>
      </w:r>
    </w:p>
    <w:p>
      <w:pPr>
        <w:spacing w:after="120" w:line="252" w:lineRule="auto"/>
      </w:pPr>
      <w:r>
        <w:rPr>
          <w:rFonts w:ascii="Times New Roman" w:hAnsi="Times New Roman" w:eastAsia="Times New Roman"/>
          <w:sz w:val="19"/>
        </w:rPr>
        <w:t>[7] F. Pedregosa et al., Scikit-learn: Machine Learning in Python, Journal of Machine Learning Research, vol. 12, pp. 2825-2830, 2011.</w:t>
      </w:r>
    </w:p>
    <w:p>
      <w:pPr>
        <w:spacing w:after="120" w:line="252" w:lineRule="auto"/>
      </w:pPr>
      <w:r>
        <w:rPr>
          <w:rFonts w:ascii="Times New Roman" w:hAnsi="Times New Roman" w:eastAsia="Times New Roman"/>
          <w:sz w:val="19"/>
        </w:rPr>
        <w:t>[8] R. Schwartz, J. Dodge, N. A. Smith, and O. Etzioni, Green AI, Communications of the ACM, vol. 63, no. 12, pp. 54-63, 2020.</w:t>
      </w:r>
    </w:p>
    <w:sectPr w:rsidR="00C32A84" w:rsidRPr="00033ED1" w:rsidSect="00817F85">
      <w:footerReference w:type="default" r:id="rId12"/>
      <w:headerReference w:type="default" r:id="rId15"/>
      <w:pgSz w:w="12240" w:h="15840" w:code="1"/>
      <w:pgMar w:top="1080" w:right="1037" w:bottom="1080" w:left="1037"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6C4F" w:rsidRDefault="005F6C4F" w:rsidP="007F3179">
      <w:pPr>
        <w:spacing w:after="0"/>
      </w:pPr>
      <w:r>
        <w:separator/>
      </w:r>
    </w:p>
    <w:p w:rsidR="005F6C4F" w:rsidRDefault="005F6C4F"/>
  </w:endnote>
  <w:endnote w:type="continuationSeparator" w:id="0">
    <w:p w:rsidR="005F6C4F" w:rsidRDefault="005F6C4F" w:rsidP="007F3179">
      <w:pPr>
        <w:spacing w:after="0"/>
      </w:pPr>
      <w:r>
        <w:continuationSeparator/>
      </w:r>
    </w:p>
    <w:p w:rsidR="005F6C4F" w:rsidRDefault="005F6C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3179" w:rsidRDefault="00A00907">
    <w:pPr>
      <w:pStyle w:val="Footer"/>
      <w:framePr w:wrap="around" w:vAnchor="text" w:hAnchor="margin" w:xAlign="center" w:y="1"/>
      <w:rPr>
        <w:rStyle w:val="PageNumber"/>
      </w:rPr>
    </w:pPr>
    <w:r>
      <w:rPr>
        <w:rStyle w:val="PageNumber"/>
      </w:rPr>
      <w:fldChar w:fldCharType="begin"/>
    </w:r>
    <w:r w:rsidR="007F3179">
      <w:rPr>
        <w:rStyle w:val="PageNumber"/>
      </w:rPr>
      <w:instrText xml:space="preserve">PAGE  </w:instrText>
    </w:r>
    <w:r>
      <w:rPr>
        <w:rStyle w:val="PageNumber"/>
      </w:rPr>
      <w:fldChar w:fldCharType="separate"/>
    </w:r>
    <w:r w:rsidR="00652FE4">
      <w:rPr>
        <w:rStyle w:val="PageNumber"/>
        <w:noProof/>
      </w:rPr>
      <w:t>ii</w:t>
    </w:r>
    <w:r>
      <w:rPr>
        <w:rStyle w:val="PageNumber"/>
      </w:rPr>
      <w:fldChar w:fldCharType="end"/>
    </w:r>
  </w:p>
  <w:p w:rsidR="007F3179" w:rsidRDefault="007F31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52266"/>
      <w:docPartObj>
        <w:docPartGallery w:val="Page Numbers (Bottom of Page)"/>
        <w:docPartUnique/>
      </w:docPartObj>
    </w:sdtPr>
    <w:sdtEndPr/>
    <w:sdtContent>
      <w:p w:rsidR="004F630B" w:rsidRDefault="005F6C4F">
        <w:pPr>
          <w:pStyle w:val="Footer"/>
          <w:jc w:val="center"/>
        </w:pPr>
        <w:r>
          <w:fldChar w:fldCharType="begin"/>
        </w:r>
        <w:r>
          <w:instrText xml:space="preserve"> PAGE   \* MERGEFORMAT </w:instrText>
        </w:r>
        <w:r>
          <w:fldChar w:fldCharType="separate"/>
        </w:r>
        <w:r w:rsidR="00652FE4">
          <w:rPr>
            <w:noProof/>
          </w:rPr>
          <w:t>8</w:t>
        </w:r>
        <w:r>
          <w:rPr>
            <w:noProof/>
          </w:rPr>
          <w:fldChar w:fldCharType="end"/>
        </w:r>
      </w:p>
    </w:sdtContent>
  </w:sdt>
  <w:p w:rsidR="00E61AE2" w:rsidRPr="004F630B" w:rsidRDefault="00E61AE2" w:rsidP="004F630B">
    <w:pPr>
      <w:pStyle w:val="Footer"/>
      <w:jc w:val="center"/>
    </w:pPr>
    <w:r>
      <w:rPr>
        <w:rFonts w:ascii="Times New Roman" w:hAnsi="Times New Roman" w:eastAsia="Times New Roman"/>
        <w:color w:val="5A5A5A"/>
        <w:sz w:val="17"/>
      </w:rPr>
      <w:t>IEEE/PES-style course report | May 2026</w:t>
    </w:r>
  </w:p>
  <w:p w:rsidR="001B4B4E" w:rsidRDefault="001B4B4E"/>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6C4F" w:rsidRDefault="005F6C4F" w:rsidP="007F3179">
      <w:pPr>
        <w:spacing w:after="0"/>
      </w:pPr>
      <w:r>
        <w:separator/>
      </w:r>
    </w:p>
  </w:footnote>
  <w:footnote w:type="continuationSeparator" w:id="0">
    <w:p w:rsidR="005F6C4F" w:rsidRDefault="005F6C4F" w:rsidP="007F3179">
      <w:pPr>
        <w:spacing w:after="0"/>
      </w:pPr>
      <w:r>
        <w:continuationSeparator/>
      </w:r>
    </w:p>
  </w:footnote>
  <w:footnote w:id="1">
    <w:p w:rsidR="00FB00F0" w:rsidRDefault="00FB00F0" w:rsidP="00FB00F0">
      <w:pPr>
        <w:pStyle w:val="FootnoteText"/>
      </w:pPr>
      <w:r>
        <w:rPr>
          <w:rStyle w:val="FootnoteReference"/>
        </w:rPr>
        <w:footnoteRef/>
      </w:r>
      <w:r>
        <w:t xml:space="preserve"> </w:t>
      </w:r>
      <w:r w:rsidRPr="00A76A31">
        <w:t xml:space="preserve">J. F. Fuller, E. F. Fuchs, and K. J. </w:t>
      </w:r>
      <w:proofErr w:type="spellStart"/>
      <w:r w:rsidRPr="00A76A31">
        <w:t>Roesler</w:t>
      </w:r>
      <w:proofErr w:type="spellEnd"/>
      <w:r w:rsidRPr="00A76A31">
        <w:t xml:space="preserve">, </w:t>
      </w:r>
      <w:r w:rsidRPr="00747E70">
        <w:rPr>
          <w:rFonts w:eastAsia="MS Mincho"/>
        </w:rPr>
        <w:t>“</w:t>
      </w:r>
      <w:r w:rsidRPr="00A76A31">
        <w:t>Influence of harmonics on power distribution system protection,</w:t>
      </w:r>
      <w:r w:rsidRPr="00747E70">
        <w:rPr>
          <w:rFonts w:eastAsia="MS Mincho"/>
        </w:rPr>
        <w:t>”</w:t>
      </w:r>
      <w:r w:rsidRPr="00A76A31">
        <w:t xml:space="preserve"> </w:t>
      </w:r>
      <w:r w:rsidRPr="00A76A31">
        <w:rPr>
          <w:i/>
        </w:rPr>
        <w:t>IEEE Trans. Power Delivery</w:t>
      </w:r>
      <w:r>
        <w:t>, vol. 3, pp. 549</w:t>
      </w:r>
      <w:r w:rsidRPr="004C4CE2">
        <w:t>–</w:t>
      </w:r>
      <w:r w:rsidRPr="00A76A31">
        <w:t>557, Apr. 1988.</w:t>
      </w:r>
    </w:p>
  </w:footnote>
  <w:footnote w:id="2">
    <w:p w:rsidR="00FB00F0" w:rsidRDefault="00FB00F0" w:rsidP="00FB00F0">
      <w:pPr>
        <w:pStyle w:val="FootnoteText"/>
      </w:pPr>
      <w:r>
        <w:rPr>
          <w:rStyle w:val="FootnoteReference"/>
        </w:rPr>
        <w:footnoteRef/>
      </w:r>
      <w:r>
        <w:t xml:space="preserve"> </w:t>
      </w:r>
      <w:r w:rsidRPr="00A76A31">
        <w:t xml:space="preserve">R. J. </w:t>
      </w:r>
      <w:proofErr w:type="spellStart"/>
      <w:r w:rsidRPr="00A76A31">
        <w:t>Vidmar</w:t>
      </w:r>
      <w:proofErr w:type="spellEnd"/>
      <w:r w:rsidRPr="00A76A31">
        <w:t xml:space="preserve">. (1992, Aug.). On the use of atmospheric plasmas as electromagnetic reflectors. </w:t>
      </w:r>
      <w:r w:rsidRPr="00A76A31">
        <w:rPr>
          <w:i/>
        </w:rPr>
        <w:t>IEEE Trans. Plasma Sci.</w:t>
      </w:r>
      <w:r w:rsidRPr="00A76A31">
        <w:t xml:space="preserve"> [Online]. </w:t>
      </w:r>
      <w:r w:rsidRPr="00A76A31">
        <w:rPr>
          <w:i/>
        </w:rPr>
        <w:t>21(3)</w:t>
      </w:r>
      <w:r w:rsidRPr="00A76A31">
        <w:t>, pp. 876</w:t>
      </w:r>
      <w:r w:rsidRPr="004C4CE2">
        <w:t>–</w:t>
      </w:r>
      <w:r w:rsidRPr="00A76A31">
        <w:t>880. Available: http://www.halcyon.com/pub/journals/</w:t>
      </w:r>
      <w:r>
        <w:br/>
      </w:r>
      <w:r w:rsidRPr="00A76A31">
        <w:t>21ps03-vidmar</w:t>
      </w:r>
    </w:p>
  </w:footnote>
  <w:footnote w:id="3">
    <w:p w:rsidR="00FB00F0" w:rsidRDefault="00FB00F0" w:rsidP="00FB00F0">
      <w:pPr>
        <w:pStyle w:val="FootnoteText"/>
      </w:pPr>
      <w:r>
        <w:rPr>
          <w:rStyle w:val="FootnoteReference"/>
        </w:rPr>
        <w:footnoteRef/>
      </w:r>
      <w:r>
        <w:t xml:space="preserve"> </w:t>
      </w:r>
      <w:r w:rsidRPr="00A76A31">
        <w:t xml:space="preserve">E. Clarke, </w:t>
      </w:r>
      <w:r w:rsidRPr="00A76A31">
        <w:rPr>
          <w:i/>
        </w:rPr>
        <w:t>Circuit Analysis of AC Power Systems</w:t>
      </w:r>
      <w:r w:rsidRPr="00A76A31">
        <w:t>, vol. I.</w:t>
      </w:r>
      <w:r>
        <w:t xml:space="preserve">  New York: Wiley, 1950, p. 81.</w:t>
      </w:r>
    </w:p>
  </w:footnote>
  <w:footnote w:id="4">
    <w:p w:rsidR="00FB00F0" w:rsidRDefault="00FB00F0" w:rsidP="00FB00F0">
      <w:pPr>
        <w:pStyle w:val="FootnoteText"/>
      </w:pPr>
      <w:r>
        <w:rPr>
          <w:rStyle w:val="FootnoteReference"/>
        </w:rPr>
        <w:footnoteRef/>
      </w:r>
      <w:r>
        <w:t xml:space="preserve"> </w:t>
      </w:r>
      <w:r w:rsidRPr="00A76A31">
        <w:t xml:space="preserve">G. O. Young, </w:t>
      </w:r>
      <w:r w:rsidRPr="00747E70">
        <w:rPr>
          <w:rFonts w:eastAsia="MS Mincho"/>
        </w:rPr>
        <w:t>“</w:t>
      </w:r>
      <w:r w:rsidRPr="00A76A31">
        <w:t>Synthetic structure of industrial plastics,</w:t>
      </w:r>
      <w:r w:rsidRPr="00747E70">
        <w:rPr>
          <w:rFonts w:eastAsia="MS Mincho"/>
        </w:rPr>
        <w:t>”</w:t>
      </w:r>
      <w:r w:rsidRPr="00A76A31">
        <w:t xml:space="preserve"> in </w:t>
      </w:r>
      <w:r w:rsidRPr="00A76A31">
        <w:rPr>
          <w:i/>
        </w:rPr>
        <w:t>Plastics</w:t>
      </w:r>
      <w:r w:rsidRPr="00A76A31">
        <w:t>, 2nd ed., vol. 3, J. Peters, Ed.  New York: McGraw-Hill, 1964, pp. 15</w:t>
      </w:r>
      <w:r w:rsidRPr="004C4CE2">
        <w:t>–</w:t>
      </w:r>
      <w:r w:rsidRPr="00A76A31">
        <w:t>64.</w:t>
      </w:r>
    </w:p>
  </w:footnote>
  <w:footnote w:id="5">
    <w:p w:rsidR="00FB00F0" w:rsidRDefault="00FB00F0" w:rsidP="00FB00F0">
      <w:pPr>
        <w:pStyle w:val="FootnoteText"/>
      </w:pPr>
      <w:r>
        <w:rPr>
          <w:rStyle w:val="FootnoteReference"/>
        </w:rPr>
        <w:footnoteRef/>
      </w:r>
      <w:r>
        <w:t xml:space="preserve"> </w:t>
      </w:r>
      <w:r w:rsidRPr="00A76A31">
        <w:t xml:space="preserve">J. Jones. (1991, May 10). </w:t>
      </w:r>
      <w:r w:rsidRPr="00A76A31">
        <w:rPr>
          <w:i/>
        </w:rPr>
        <w:t>Networks</w:t>
      </w:r>
      <w:r w:rsidRPr="00A76A31">
        <w:t xml:space="preserve">. (2nd </w:t>
      </w:r>
      <w:proofErr w:type="gramStart"/>
      <w:r w:rsidRPr="00A76A31">
        <w:t>ed</w:t>
      </w:r>
      <w:proofErr w:type="gramEnd"/>
      <w:r w:rsidRPr="00A76A31">
        <w:t>.) [Online]. Available: http://www.atm.com</w:t>
      </w:r>
    </w:p>
  </w:footnote>
  <w:footnote w:id="6">
    <w:p w:rsidR="0086318B" w:rsidRDefault="0086318B" w:rsidP="0086318B">
      <w:pPr>
        <w:pStyle w:val="FootnoteText"/>
      </w:pPr>
      <w:r>
        <w:rPr>
          <w:rStyle w:val="FootnoteReference"/>
        </w:rPr>
        <w:footnoteRef/>
      </w:r>
      <w:r>
        <w:t xml:space="preserve"> </w:t>
      </w:r>
      <w:r w:rsidRPr="00A76A31">
        <w:t xml:space="preserve">E. E. </w:t>
      </w:r>
      <w:proofErr w:type="spellStart"/>
      <w:r w:rsidRPr="00A76A31">
        <w:t>Reber</w:t>
      </w:r>
      <w:proofErr w:type="spellEnd"/>
      <w:r w:rsidRPr="00A76A31">
        <w:t xml:space="preserve">, R. L. Mitchell, and C. J. Carter, </w:t>
      </w:r>
      <w:r w:rsidRPr="00747E70">
        <w:rPr>
          <w:rFonts w:eastAsia="MS Mincho"/>
        </w:rPr>
        <w:t>“</w:t>
      </w:r>
      <w:r w:rsidRPr="00A76A31">
        <w:t>Oxygen absorption in the Earth's atmosphere,</w:t>
      </w:r>
      <w:r w:rsidRPr="00747E70">
        <w:rPr>
          <w:rFonts w:eastAsia="MS Mincho"/>
        </w:rPr>
        <w:t>”</w:t>
      </w:r>
      <w:r w:rsidRPr="00A76A31">
        <w:t xml:space="preserve"> Aerospace Corp., Los Angeles, CA, Tech. Rep. TR-0200 (4230-46)-3, Nov. 1968.</w:t>
      </w:r>
    </w:p>
  </w:footnote>
  <w:footnote w:id="7">
    <w:p w:rsidR="0086318B" w:rsidRDefault="0086318B" w:rsidP="0086318B">
      <w:pPr>
        <w:pStyle w:val="FootnoteText"/>
      </w:pPr>
      <w:r>
        <w:rPr>
          <w:rStyle w:val="FootnoteReference"/>
        </w:rPr>
        <w:footnoteRef/>
      </w:r>
      <w:r>
        <w:t xml:space="preserve"> </w:t>
      </w:r>
      <w:r w:rsidRPr="008206FD">
        <w:t xml:space="preserve">S. L. </w:t>
      </w:r>
      <w:proofErr w:type="spellStart"/>
      <w:r w:rsidRPr="008206FD">
        <w:t>Talleen</w:t>
      </w:r>
      <w:proofErr w:type="spellEnd"/>
      <w:r w:rsidRPr="008206FD">
        <w:t>. (1996, Apr.). The Intranet Architecture: Managing information in the new paradigm. Amdahl Corp., Sunnyvale, CA.</w:t>
      </w:r>
      <w:r>
        <w:t xml:space="preserve"> </w:t>
      </w:r>
      <w:r w:rsidRPr="008206FD">
        <w:t>[Online]. Available: http://www.amd</w:t>
      </w:r>
      <w:r>
        <w:t>ahl.com/doc/products/bsg/intra/</w:t>
      </w:r>
      <w:r>
        <w:br/>
      </w:r>
      <w:r w:rsidRPr="008206FD">
        <w:t>infra/html</w:t>
      </w:r>
    </w:p>
  </w:footnote>
  <w:footnote w:id="8">
    <w:p w:rsidR="00547484" w:rsidRDefault="00547484" w:rsidP="00547484">
      <w:pPr>
        <w:pStyle w:val="FootnoteText"/>
      </w:pPr>
      <w:r>
        <w:rPr>
          <w:rStyle w:val="FootnoteReference"/>
        </w:rPr>
        <w:footnoteRef/>
      </w:r>
      <w:r>
        <w:t xml:space="preserve"> </w:t>
      </w:r>
      <w:r w:rsidRPr="00A76A31">
        <w:t xml:space="preserve">D. </w:t>
      </w:r>
      <w:proofErr w:type="spellStart"/>
      <w:r w:rsidRPr="00A76A31">
        <w:t>Ebehard</w:t>
      </w:r>
      <w:proofErr w:type="spellEnd"/>
      <w:r w:rsidRPr="00A76A31">
        <w:t xml:space="preserve"> and E. </w:t>
      </w:r>
      <w:proofErr w:type="spellStart"/>
      <w:r w:rsidRPr="00A76A31">
        <w:t>Voges</w:t>
      </w:r>
      <w:proofErr w:type="spellEnd"/>
      <w:r w:rsidRPr="00A76A31">
        <w:t xml:space="preserve">, </w:t>
      </w:r>
      <w:r w:rsidRPr="00747E70">
        <w:rPr>
          <w:rFonts w:eastAsia="MS Mincho"/>
        </w:rPr>
        <w:t>“</w:t>
      </w:r>
      <w:r w:rsidRPr="00A76A31">
        <w:t>Digital single sideband detection for interferometric sensors,</w:t>
      </w:r>
      <w:r w:rsidRPr="00747E70">
        <w:rPr>
          <w:rFonts w:eastAsia="MS Mincho"/>
        </w:rPr>
        <w:t>”</w:t>
      </w:r>
      <w:r w:rsidRPr="00A76A31">
        <w:t xml:space="preserve"> unpublished, presented at the 2nd Int. Conf. Optical Fiber Sensors, Stuttgart, Germany, 1984.</w:t>
      </w:r>
    </w:p>
  </w:footnote>
  <w:footnote w:id="9">
    <w:p w:rsidR="00547484" w:rsidRDefault="00547484" w:rsidP="00547484">
      <w:pPr>
        <w:pStyle w:val="FootnoteText"/>
      </w:pPr>
      <w:r>
        <w:rPr>
          <w:rStyle w:val="FootnoteReference"/>
        </w:rPr>
        <w:footnoteRef/>
      </w:r>
      <w:r>
        <w:t xml:space="preserve"> </w:t>
      </w:r>
      <w:r w:rsidRPr="00A76A31">
        <w:t xml:space="preserve">Process Corp., Framingham, MA. “Intranets: Internet technologies deployed behind the firewall for corporate productivity,” unpublished. Presented at INET96 </w:t>
      </w:r>
      <w:proofErr w:type="spellStart"/>
      <w:r w:rsidRPr="00A76A31">
        <w:t>Annu</w:t>
      </w:r>
      <w:proofErr w:type="spellEnd"/>
      <w:r w:rsidRPr="00A76A31">
        <w:t>. Meeting. [Online]. Avai</w:t>
      </w:r>
      <w:r>
        <w:t>lable: http://home.process.com/</w:t>
      </w:r>
      <w:r w:rsidRPr="00A76A31">
        <w:t>Intranets/wp2.htp</w:t>
      </w:r>
    </w:p>
  </w:footnote>
  <w:footnote w:id="10">
    <w:p w:rsidR="00547484" w:rsidRDefault="00547484" w:rsidP="00547484">
      <w:pPr>
        <w:pStyle w:val="FootnoteText"/>
      </w:pPr>
      <w:r>
        <w:rPr>
          <w:rStyle w:val="FootnoteReference"/>
        </w:rPr>
        <w:footnoteRef/>
      </w:r>
      <w:r>
        <w:t xml:space="preserve"> </w:t>
      </w:r>
      <w:r w:rsidRPr="00A76A31">
        <w:rPr>
          <w:rStyle w:val="Strong"/>
          <w:b w:val="0"/>
          <w:color w:val="000000"/>
        </w:rPr>
        <w:t xml:space="preserve">G. N. Lester and J. H. Nelson, “History of Circuit Breaker Standards,” unpublished.  </w:t>
      </w:r>
      <w:r w:rsidRPr="00A76A31">
        <w:rPr>
          <w:rStyle w:val="Strong"/>
          <w:b w:val="0"/>
          <w:i/>
          <w:color w:val="000000"/>
        </w:rPr>
        <w:t xml:space="preserve">Presented at the IEEE/PES </w:t>
      </w:r>
      <w:r w:rsidRPr="00A76A31">
        <w:rPr>
          <w:i/>
        </w:rPr>
        <w:t>General Meeting</w:t>
      </w:r>
      <w:r w:rsidRPr="00A76A31">
        <w:t>, 24 July 2008. [Online]. Available IEEE/PES Switchgear Committee web site: http://www.ewh.ieee.org/soc/pes/switchgear/Presentations/2008CBtutorial/speaker1paper.pdf</w:t>
      </w:r>
    </w:p>
  </w:footnote>
  <w:footnote w:id="11">
    <w:p w:rsidR="00357608" w:rsidRDefault="00357608" w:rsidP="00357608">
      <w:pPr>
        <w:pStyle w:val="FootnoteText"/>
      </w:pPr>
      <w:r>
        <w:rPr>
          <w:rStyle w:val="FootnoteReference"/>
        </w:rPr>
        <w:footnoteRef/>
      </w:r>
      <w:r>
        <w:t xml:space="preserve"> </w:t>
      </w:r>
      <w:r w:rsidRPr="00A76A31">
        <w:t xml:space="preserve">Y. Yorozu, M. Hirano, K. Oka, and Y. </w:t>
      </w:r>
      <w:proofErr w:type="spellStart"/>
      <w:r w:rsidRPr="00A76A31">
        <w:t>Tagawa</w:t>
      </w:r>
      <w:proofErr w:type="spellEnd"/>
      <w:r w:rsidRPr="00A76A31">
        <w:t xml:space="preserve">, “Electron spectroscopy studies on magneto-optical media and plastic substrate interface,” </w:t>
      </w:r>
      <w:r w:rsidRPr="00F80B2D">
        <w:rPr>
          <w:i/>
        </w:rPr>
        <w:t xml:space="preserve">IEEE Transl. J. </w:t>
      </w:r>
      <w:proofErr w:type="spellStart"/>
      <w:r w:rsidRPr="00F80B2D">
        <w:rPr>
          <w:i/>
        </w:rPr>
        <w:t>Magn</w:t>
      </w:r>
      <w:proofErr w:type="spellEnd"/>
      <w:r w:rsidRPr="00F80B2D">
        <w:rPr>
          <w:i/>
        </w:rPr>
        <w:t>. Japan</w:t>
      </w:r>
      <w:r w:rsidRPr="00A76A31">
        <w:t>, vol. 2, pp. 740–741, Aug</w:t>
      </w:r>
      <w:r>
        <w:t xml:space="preserve">. </w:t>
      </w:r>
      <w:r w:rsidRPr="00A76A31">
        <w:t>1987 [Digests 9th Annual Conf. Magnetics Japan, p. 301, 1982].</w:t>
      </w:r>
    </w:p>
  </w:footnote>
  <w:footnote w:id="12">
    <w:p w:rsidR="00357608" w:rsidRDefault="00357608" w:rsidP="00357608">
      <w:pPr>
        <w:pStyle w:val="FootnoteText"/>
      </w:pPr>
      <w:r>
        <w:rPr>
          <w:rStyle w:val="FootnoteReference"/>
        </w:rPr>
        <w:footnoteRef/>
      </w:r>
      <w:r>
        <w:t xml:space="preserve"> </w:t>
      </w:r>
      <w:r w:rsidRPr="00A76A31">
        <w:t xml:space="preserve">E. H. Miller, </w:t>
      </w:r>
      <w:r w:rsidRPr="00747E70">
        <w:rPr>
          <w:rFonts w:eastAsia="MS Mincho"/>
        </w:rPr>
        <w:t>“</w:t>
      </w:r>
      <w:r w:rsidRPr="00A76A31">
        <w:t>A note on reflector arrays,</w:t>
      </w:r>
      <w:r w:rsidRPr="00747E70">
        <w:rPr>
          <w:rFonts w:eastAsia="MS Mincho"/>
        </w:rPr>
        <w:t>”</w:t>
      </w:r>
      <w:r w:rsidRPr="00A76A31">
        <w:t xml:space="preserve"> </w:t>
      </w:r>
      <w:r w:rsidRPr="00A76A31">
        <w:rPr>
          <w:i/>
        </w:rPr>
        <w:t xml:space="preserve">IEEE Trans. Antennas </w:t>
      </w:r>
      <w:proofErr w:type="spellStart"/>
      <w:r w:rsidRPr="00A76A31">
        <w:rPr>
          <w:i/>
        </w:rPr>
        <w:t>Propagat</w:t>
      </w:r>
      <w:proofErr w:type="spellEnd"/>
      <w:r w:rsidRPr="00A76A31">
        <w:rPr>
          <w:i/>
        </w:rPr>
        <w:t xml:space="preserve">., </w:t>
      </w:r>
      <w:r w:rsidRPr="00A76A31">
        <w:t>in press.</w:t>
      </w:r>
    </w:p>
  </w:footnote>
  <w:footnote w:id="13">
    <w:p w:rsidR="004C4A6D" w:rsidRDefault="004C4A6D">
      <w:pPr>
        <w:pStyle w:val="FootnoteText"/>
      </w:pPr>
      <w:r>
        <w:rPr>
          <w:rStyle w:val="FootnoteReference"/>
        </w:rPr>
        <w:footnoteRef/>
      </w:r>
      <w:r>
        <w:t xml:space="preserve"> </w:t>
      </w:r>
      <w:r w:rsidRPr="00A76A31">
        <w:t xml:space="preserve">J. L. </w:t>
      </w:r>
      <w:proofErr w:type="spellStart"/>
      <w:r w:rsidRPr="00A76A31">
        <w:t>Alqueres</w:t>
      </w:r>
      <w:proofErr w:type="spellEnd"/>
      <w:r w:rsidRPr="00A76A31">
        <w:t xml:space="preserve"> and J. C. </w:t>
      </w:r>
      <w:proofErr w:type="spellStart"/>
      <w:r w:rsidRPr="00A76A31">
        <w:t>Praca</w:t>
      </w:r>
      <w:proofErr w:type="spellEnd"/>
      <w:r w:rsidRPr="00A76A31">
        <w:t xml:space="preserve">, </w:t>
      </w:r>
      <w:r w:rsidRPr="00747E70">
        <w:rPr>
          <w:rFonts w:eastAsia="MS Mincho"/>
        </w:rPr>
        <w:t>“</w:t>
      </w:r>
      <w:r w:rsidRPr="00A76A31">
        <w:t>The Brazilian power system and the challenge of the Amazon transmission,</w:t>
      </w:r>
      <w:r w:rsidRPr="00747E70">
        <w:rPr>
          <w:rFonts w:eastAsia="MS Mincho"/>
        </w:rPr>
        <w:t>”</w:t>
      </w:r>
      <w:r w:rsidRPr="00A76A31">
        <w:t xml:space="preserve"> in </w:t>
      </w:r>
      <w:r w:rsidRPr="00A76A31">
        <w:rPr>
          <w:i/>
        </w:rPr>
        <w:t>Proc. 1991 IEEE Power Engineering Society Transmission and Distribution Conf.</w:t>
      </w:r>
      <w:r w:rsidRPr="00A76A31">
        <w:t>, pp. 315</w:t>
      </w:r>
      <w:r w:rsidRPr="004C4CE2">
        <w:t>–</w:t>
      </w:r>
      <w:r>
        <w:t>320.</w:t>
      </w:r>
    </w:p>
  </w:footnote>
  <w:footnote w:id="14">
    <w:p w:rsidR="004C4A6D" w:rsidRDefault="004C4A6D">
      <w:pPr>
        <w:pStyle w:val="FootnoteText"/>
      </w:pPr>
      <w:r>
        <w:rPr>
          <w:rStyle w:val="FootnoteReference"/>
        </w:rPr>
        <w:footnoteRef/>
      </w:r>
      <w:r>
        <w:t xml:space="preserve"> </w:t>
      </w:r>
      <w:r w:rsidRPr="00A76A31">
        <w:t xml:space="preserve">S. Hwang, </w:t>
      </w:r>
      <w:r w:rsidRPr="00747E70">
        <w:rPr>
          <w:rFonts w:eastAsia="MS Mincho"/>
        </w:rPr>
        <w:t>“</w:t>
      </w:r>
      <w:r w:rsidRPr="00A76A31">
        <w:t>Frequency domain system identification of helicopter rotor dynamics incorporating models with time periodic coefficients,</w:t>
      </w:r>
      <w:r w:rsidRPr="00747E70">
        <w:rPr>
          <w:rFonts w:eastAsia="MS Mincho"/>
        </w:rPr>
        <w:t>”</w:t>
      </w:r>
      <w:r w:rsidRPr="00A76A31">
        <w:t xml:space="preserve"> Ph.D. dissertation, Dept. </w:t>
      </w:r>
      <w:proofErr w:type="spellStart"/>
      <w:r w:rsidRPr="00A76A31">
        <w:t>Aerosp</w:t>
      </w:r>
      <w:proofErr w:type="spellEnd"/>
      <w:r w:rsidRPr="00A76A31">
        <w:t>. Eng., Univ. Maryland, College Park, 1997.</w:t>
      </w:r>
    </w:p>
  </w:footnote>
  <w:footnote w:id="15">
    <w:p w:rsidR="004C4A6D" w:rsidRDefault="004C4A6D">
      <w:pPr>
        <w:pStyle w:val="FootnoteText"/>
      </w:pPr>
      <w:r>
        <w:rPr>
          <w:rStyle w:val="FootnoteReference"/>
        </w:rPr>
        <w:footnoteRef/>
      </w:r>
      <w:r>
        <w:t xml:space="preserve"> </w:t>
      </w:r>
      <w:r w:rsidRPr="00A76A31">
        <w:rPr>
          <w:i/>
        </w:rPr>
        <w:t>IEEE Guide for Application of Shunt Power Capacitors</w:t>
      </w:r>
      <w:r w:rsidRPr="00A76A31">
        <w:t>, IEEE Std. 1036-2010, Sep. 2010.</w:t>
      </w:r>
    </w:p>
  </w:footnote>
  <w:footnote w:id="16">
    <w:p w:rsidR="004C4A6D" w:rsidRDefault="004C4A6D">
      <w:pPr>
        <w:pStyle w:val="FootnoteText"/>
      </w:pPr>
      <w:r>
        <w:rPr>
          <w:rStyle w:val="FootnoteReference"/>
        </w:rPr>
        <w:footnoteRef/>
      </w:r>
      <w:r>
        <w:t xml:space="preserve"> </w:t>
      </w:r>
      <w:r w:rsidRPr="00A76A31">
        <w:t xml:space="preserve">G. </w:t>
      </w:r>
      <w:proofErr w:type="spellStart"/>
      <w:r w:rsidRPr="00A76A31">
        <w:t>Brandli</w:t>
      </w:r>
      <w:proofErr w:type="spellEnd"/>
      <w:r w:rsidRPr="00A76A31">
        <w:t xml:space="preserve"> and M. Dick, </w:t>
      </w:r>
      <w:r w:rsidRPr="00747E70">
        <w:rPr>
          <w:rFonts w:eastAsia="MS Mincho"/>
        </w:rPr>
        <w:t>“</w:t>
      </w:r>
      <w:r w:rsidRPr="00A76A31">
        <w:t>Alternating current fed power supply,</w:t>
      </w:r>
      <w:r w:rsidRPr="00747E70">
        <w:rPr>
          <w:rFonts w:eastAsia="MS Mincho"/>
        </w:rPr>
        <w:t>”</w:t>
      </w:r>
      <w:r w:rsidRPr="00A76A31">
        <w:t xml:space="preserve"> U.S. Patent 4 084 217, Nov. 4, 1978.</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553" w:rsidRPr="00EE1602" w:rsidRDefault="00EE1602">
    <w:pPr>
      <w:pStyle w:val="Header"/>
      <w:rPr>
        <w:rFonts w:ascii="Arial" w:hAnsi="Arial" w:cs="Arial"/>
        <w:sz w:val="18"/>
        <w:szCs w:val="18"/>
      </w:rPr>
    </w:pPr>
    <w:r w:rsidRPr="00EE1602">
      <w:rPr>
        <w:rFonts w:ascii="Arial" w:hAnsi="Arial" w:cs="Arial"/>
        <w:sz w:val="18"/>
        <w:szCs w:val="18"/>
      </w:rPr>
      <w:t>TR-?? — Title of the Report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3179" w:rsidRDefault="007F3179">
    <w:pPr>
      <w:pStyle w:val="Header"/>
    </w:pPr>
    <w:r>
      <w:t xml:space="preserve">Draft: </w:t>
    </w:r>
    <w:r>
      <w:rPr>
        <w:snapToGrid w:val="0"/>
      </w:rPr>
      <w:t xml:space="preserve">Created on </w:t>
    </w:r>
    <w:r w:rsidR="00A00907">
      <w:rPr>
        <w:snapToGrid w:val="0"/>
      </w:rPr>
      <w:fldChar w:fldCharType="begin"/>
    </w:r>
    <w:r>
      <w:rPr>
        <w:snapToGrid w:val="0"/>
      </w:rPr>
      <w:instrText xml:space="preserve"> CREATEDATE </w:instrText>
    </w:r>
    <w:r w:rsidR="00A00907">
      <w:rPr>
        <w:snapToGrid w:val="0"/>
      </w:rPr>
      <w:fldChar w:fldCharType="separate"/>
    </w:r>
    <w:r w:rsidR="00E85E48">
      <w:rPr>
        <w:noProof/>
        <w:snapToGrid w:val="0"/>
      </w:rPr>
      <w:t>7/23/2014 2:32:00 AM</w:t>
    </w:r>
    <w:r w:rsidR="00A00907">
      <w:rPr>
        <w:snapToGrid w:val="0"/>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color w:val="5A5A5A"/>
        <w:sz w:val="17"/>
      </w:rPr>
      <w:t>PS26 Technical Report | Carbon-Aware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A6C31A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B06DC6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8ACFE9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0A6122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0500EE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90A5F3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CE0571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2189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692799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61A977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9769E9"/>
    <w:multiLevelType w:val="hybridMultilevel"/>
    <w:tmpl w:val="162E5CCC"/>
    <w:lvl w:ilvl="0" w:tplc="F3F00514">
      <w:start w:val="1"/>
      <w:numFmt w:val="lowerLetter"/>
      <w:pStyle w:val="Heading8"/>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273A22"/>
    <w:multiLevelType w:val="multilevel"/>
    <w:tmpl w:val="266E8F3E"/>
    <w:lvl w:ilvl="0">
      <w:start w:val="1"/>
      <w:numFmt w:val="upperLetter"/>
      <w:lvlText w:val="%1)"/>
      <w:lvlJc w:val="left"/>
      <w:pPr>
        <w:ind w:left="360" w:hanging="360"/>
      </w:pPr>
      <w:rPr>
        <w:rFonts w:ascii="Cambria" w:hAnsi="Cambria" w:hint="default"/>
        <w:b w:val="0"/>
        <w:i w:val="0"/>
        <w:sz w:val="24"/>
      </w:rPr>
    </w:lvl>
    <w:lvl w:ilvl="1">
      <w:start w:val="1"/>
      <w:numFmt w:val="decimal"/>
      <w:lvlText w:val="%2)"/>
      <w:lvlJc w:val="left"/>
      <w:pPr>
        <w:ind w:left="720" w:hanging="360"/>
      </w:pPr>
      <w:rPr>
        <w:rFonts w:ascii="Cambria" w:hAnsi="Cambria" w:hint="default"/>
        <w:b w:val="0"/>
        <w:i w:val="0"/>
        <w:sz w:val="24"/>
      </w:rPr>
    </w:lvl>
    <w:lvl w:ilvl="2">
      <w:start w:val="1"/>
      <w:numFmt w:val="lowerLetter"/>
      <w:lvlText w:val="%3)"/>
      <w:lvlJc w:val="left"/>
      <w:pPr>
        <w:ind w:left="1080" w:hanging="360"/>
      </w:pPr>
      <w:rPr>
        <w:rFonts w:ascii="Cambria" w:hAnsi="Cambria" w:hint="default"/>
        <w:b w:val="0"/>
        <w:i w:val="0"/>
        <w:sz w:val="22"/>
      </w:rPr>
    </w:lvl>
    <w:lvl w:ilvl="3">
      <w:start w:val="1"/>
      <w:numFmt w:val="lowerRoman"/>
      <w:lvlText w:val="(%4)"/>
      <w:lvlJc w:val="left"/>
      <w:pPr>
        <w:ind w:left="1440" w:hanging="360"/>
      </w:pPr>
      <w:rPr>
        <w:rFonts w:ascii="Cambria" w:hAnsi="Cambria" w:hint="default"/>
        <w:b w:val="0"/>
        <w:i/>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87055AF"/>
    <w:multiLevelType w:val="multilevel"/>
    <w:tmpl w:val="9E326346"/>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0D437CC3"/>
    <w:multiLevelType w:val="multilevel"/>
    <w:tmpl w:val="579A45DE"/>
    <w:lvl w:ilvl="0">
      <w:start w:val="1"/>
      <w:numFmt w:val="decimal"/>
      <w:lvlText w:val="%1)"/>
      <w:lvlJc w:val="left"/>
      <w:pPr>
        <w:ind w:left="360" w:hanging="360"/>
      </w:pPr>
      <w:rPr>
        <w:rFonts w:ascii="Cambria" w:hAnsi="Cambria" w:hint="default"/>
        <w:b w:val="0"/>
        <w:i w:val="0"/>
        <w:sz w:val="24"/>
      </w:rPr>
    </w:lvl>
    <w:lvl w:ilvl="1">
      <w:start w:val="1"/>
      <w:numFmt w:val="lowerLetter"/>
      <w:lvlText w:val="%2)"/>
      <w:lvlJc w:val="left"/>
      <w:pPr>
        <w:ind w:left="720" w:hanging="360"/>
      </w:pPr>
      <w:rPr>
        <w:rFonts w:ascii="Cambria" w:hAnsi="Cambria" w:hint="default"/>
        <w:b w:val="0"/>
        <w:i w:val="0"/>
        <w:sz w:val="24"/>
      </w:rPr>
    </w:lvl>
    <w:lvl w:ilvl="2">
      <w:start w:val="1"/>
      <w:numFmt w:val="lowerRoman"/>
      <w:lvlText w:val="%3)"/>
      <w:lvlJc w:val="left"/>
      <w:pPr>
        <w:ind w:left="1080" w:hanging="360"/>
      </w:pPr>
      <w:rPr>
        <w:rFonts w:ascii="Cambria" w:hAnsi="Cambria" w:hint="default"/>
        <w:b w:val="0"/>
        <w:i/>
        <w:sz w:val="24"/>
      </w:rPr>
    </w:lvl>
    <w:lvl w:ilvl="3">
      <w:start w:val="1"/>
      <w:numFmt w:val="decimal"/>
      <w:lvlText w:val="(%4)"/>
      <w:lvlJc w:val="left"/>
      <w:pPr>
        <w:ind w:left="1440" w:hanging="360"/>
      </w:pPr>
      <w:rPr>
        <w:rFonts w:ascii="Cambria" w:hAnsi="Cambria" w:hint="default"/>
        <w:b w:val="0"/>
        <w:i w:val="0"/>
        <w:sz w:val="22"/>
      </w:rPr>
    </w:lvl>
    <w:lvl w:ilvl="4">
      <w:start w:val="1"/>
      <w:numFmt w:val="lowerLetter"/>
      <w:lvlText w:val="(%5)"/>
      <w:lvlJc w:val="left"/>
      <w:pPr>
        <w:ind w:left="1800" w:hanging="360"/>
      </w:pPr>
      <w:rPr>
        <w:rFonts w:ascii="Cambria" w:hAnsi="Cambria" w:hint="default"/>
        <w:b w:val="0"/>
        <w:i w:val="0"/>
        <w:sz w:val="22"/>
      </w:rPr>
    </w:lvl>
    <w:lvl w:ilvl="5">
      <w:start w:val="1"/>
      <w:numFmt w:val="lowerRoman"/>
      <w:lvlText w:val="(%6)"/>
      <w:lvlJc w:val="left"/>
      <w:pPr>
        <w:ind w:left="2160" w:hanging="360"/>
      </w:pPr>
      <w:rPr>
        <w:rFonts w:ascii="Arial" w:hAnsi="Arial" w:hint="default"/>
        <w:b w:val="0"/>
        <w:i w:val="0"/>
        <w:sz w:val="20"/>
      </w:rPr>
    </w:lvl>
    <w:lvl w:ilvl="6">
      <w:start w:val="1"/>
      <w:numFmt w:val="decimal"/>
      <w:lvlText w:val="%7."/>
      <w:lvlJc w:val="left"/>
      <w:pPr>
        <w:ind w:left="2520" w:hanging="360"/>
      </w:pPr>
      <w:rPr>
        <w:rFonts w:ascii="Arial" w:hAnsi="Arial" w:hint="default"/>
        <w:b w:val="0"/>
        <w:i w:val="0"/>
        <w:sz w:val="20"/>
      </w:rPr>
    </w:lvl>
    <w:lvl w:ilvl="7">
      <w:start w:val="1"/>
      <w:numFmt w:val="lowerLetter"/>
      <w:lvlText w:val="%8."/>
      <w:lvlJc w:val="left"/>
      <w:pPr>
        <w:ind w:left="2880" w:hanging="360"/>
      </w:pPr>
      <w:rPr>
        <w:rFonts w:ascii="Arial" w:hAnsi="Arial" w:hint="default"/>
        <w:b w:val="0"/>
        <w:i w:val="0"/>
        <w:sz w:val="20"/>
      </w:rPr>
    </w:lvl>
    <w:lvl w:ilvl="8">
      <w:start w:val="1"/>
      <w:numFmt w:val="lowerRoman"/>
      <w:lvlText w:val="%9."/>
      <w:lvlJc w:val="left"/>
      <w:pPr>
        <w:ind w:left="3240" w:hanging="360"/>
      </w:pPr>
      <w:rPr>
        <w:rFonts w:ascii="Arial" w:hAnsi="Arial" w:hint="default"/>
        <w:b w:val="0"/>
        <w:i/>
        <w:sz w:val="20"/>
      </w:rPr>
    </w:lvl>
  </w:abstractNum>
  <w:abstractNum w:abstractNumId="14" w15:restartNumberingAfterBreak="0">
    <w:nsid w:val="13111CF7"/>
    <w:multiLevelType w:val="hybridMultilevel"/>
    <w:tmpl w:val="20A6D07E"/>
    <w:lvl w:ilvl="0" w:tplc="F4B6A93A">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6020386"/>
    <w:multiLevelType w:val="multilevel"/>
    <w:tmpl w:val="266E8F3E"/>
    <w:lvl w:ilvl="0">
      <w:start w:val="1"/>
      <w:numFmt w:val="upperLetter"/>
      <w:lvlText w:val="%1)"/>
      <w:lvlJc w:val="left"/>
      <w:pPr>
        <w:ind w:left="360" w:hanging="360"/>
      </w:pPr>
      <w:rPr>
        <w:rFonts w:ascii="Cambria" w:hAnsi="Cambria" w:hint="default"/>
        <w:b w:val="0"/>
        <w:i w:val="0"/>
        <w:sz w:val="24"/>
      </w:rPr>
    </w:lvl>
    <w:lvl w:ilvl="1">
      <w:start w:val="1"/>
      <w:numFmt w:val="decimal"/>
      <w:lvlText w:val="%2)"/>
      <w:lvlJc w:val="left"/>
      <w:pPr>
        <w:ind w:left="720" w:hanging="360"/>
      </w:pPr>
      <w:rPr>
        <w:rFonts w:ascii="Cambria" w:hAnsi="Cambria" w:hint="default"/>
        <w:b w:val="0"/>
        <w:i w:val="0"/>
        <w:sz w:val="24"/>
      </w:rPr>
    </w:lvl>
    <w:lvl w:ilvl="2">
      <w:start w:val="1"/>
      <w:numFmt w:val="lowerLetter"/>
      <w:lvlText w:val="%3)"/>
      <w:lvlJc w:val="left"/>
      <w:pPr>
        <w:ind w:left="1080" w:hanging="360"/>
      </w:pPr>
      <w:rPr>
        <w:rFonts w:ascii="Cambria" w:hAnsi="Cambria" w:hint="default"/>
        <w:b w:val="0"/>
        <w:i w:val="0"/>
        <w:sz w:val="22"/>
      </w:rPr>
    </w:lvl>
    <w:lvl w:ilvl="3">
      <w:start w:val="1"/>
      <w:numFmt w:val="lowerRoman"/>
      <w:lvlText w:val="(%4)"/>
      <w:lvlJc w:val="left"/>
      <w:pPr>
        <w:ind w:left="1440" w:hanging="360"/>
      </w:pPr>
      <w:rPr>
        <w:rFonts w:ascii="Cambria" w:hAnsi="Cambria" w:hint="default"/>
        <w:b w:val="0"/>
        <w:i/>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710073B"/>
    <w:multiLevelType w:val="multilevel"/>
    <w:tmpl w:val="C83E7E34"/>
    <w:lvl w:ilvl="0">
      <w:start w:val="1"/>
      <w:numFmt w:val="upperLetter"/>
      <w:pStyle w:val="HeadingA1"/>
      <w:lvlText w:val="APPENDIX %1"/>
      <w:lvlJc w:val="left"/>
      <w:pPr>
        <w:tabs>
          <w:tab w:val="num" w:pos="1920"/>
        </w:tabs>
        <w:ind w:left="720" w:hanging="720"/>
      </w:pPr>
      <w:rPr>
        <w:rFonts w:hint="default"/>
      </w:rPr>
    </w:lvl>
    <w:lvl w:ilvl="1">
      <w:start w:val="1"/>
      <w:numFmt w:val="decimal"/>
      <w:pStyle w:val="HeadingA2"/>
      <w:lvlText w:val="%1.%2"/>
      <w:lvlJc w:val="left"/>
      <w:pPr>
        <w:tabs>
          <w:tab w:val="num" w:pos="720"/>
        </w:tabs>
        <w:ind w:left="720" w:hanging="720"/>
      </w:pPr>
      <w:rPr>
        <w:rFonts w:hint="default"/>
      </w:rPr>
    </w:lvl>
    <w:lvl w:ilvl="2">
      <w:start w:val="1"/>
      <w:numFmt w:val="decimal"/>
      <w:pStyle w:val="HeadingA3"/>
      <w:lvlText w:val="%1.%2.%3"/>
      <w:lvlJc w:val="left"/>
      <w:pPr>
        <w:tabs>
          <w:tab w:val="num" w:pos="720"/>
        </w:tabs>
        <w:ind w:left="720" w:hanging="720"/>
      </w:pPr>
      <w:rPr>
        <w:rFonts w:hint="default"/>
      </w:rPr>
    </w:lvl>
    <w:lvl w:ilvl="3">
      <w:start w:val="1"/>
      <w:numFmt w:val="decimal"/>
      <w:pStyle w:val="HeadingA4"/>
      <w:lvlText w:val="%1.%2.%3.%4"/>
      <w:lvlJc w:val="left"/>
      <w:pPr>
        <w:tabs>
          <w:tab w:val="num" w:pos="960"/>
        </w:tabs>
        <w:ind w:left="960" w:hanging="96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1E4C705F"/>
    <w:multiLevelType w:val="singleLevel"/>
    <w:tmpl w:val="B2BAFF10"/>
    <w:lvl w:ilvl="0">
      <w:start w:val="1"/>
      <w:numFmt w:val="decimal"/>
      <w:pStyle w:val="Table"/>
      <w:lvlText w:val="Table %1."/>
      <w:lvlJc w:val="left"/>
      <w:pPr>
        <w:tabs>
          <w:tab w:val="num" w:pos="1080"/>
        </w:tabs>
        <w:ind w:left="360" w:hanging="360"/>
      </w:pPr>
    </w:lvl>
  </w:abstractNum>
  <w:abstractNum w:abstractNumId="18" w15:restartNumberingAfterBreak="0">
    <w:nsid w:val="284F1DE2"/>
    <w:multiLevelType w:val="multilevel"/>
    <w:tmpl w:val="C6125C42"/>
    <w:lvl w:ilvl="0">
      <w:start w:val="1"/>
      <w:numFmt w:val="lowerLetter"/>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BC0169A"/>
    <w:multiLevelType w:val="hybridMultilevel"/>
    <w:tmpl w:val="A844E68A"/>
    <w:lvl w:ilvl="0" w:tplc="FDA898A2">
      <w:start w:val="1"/>
      <w:numFmt w:val="bullet"/>
      <w:pStyle w:val="Heading9"/>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5E56DF"/>
    <w:multiLevelType w:val="multilevel"/>
    <w:tmpl w:val="94B4332A"/>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1303B37"/>
    <w:multiLevelType w:val="multilevel"/>
    <w:tmpl w:val="7BD4D150"/>
    <w:lvl w:ilvl="0">
      <w:start w:val="1"/>
      <w:numFmt w:val="decimal"/>
      <w:lvlText w:val="[%1]"/>
      <w:lvlJc w:val="left"/>
      <w:pPr>
        <w:tabs>
          <w:tab w:val="num" w:pos="432"/>
        </w:tabs>
        <w:ind w:left="432" w:hanging="432"/>
      </w:pPr>
      <w:rPr>
        <w:rFonts w:hint="default"/>
      </w:rPr>
    </w:lvl>
    <w:lvl w:ilvl="1">
      <w:start w:val="1"/>
      <w:numFmt w:val="decimal"/>
      <w:lvlText w:val="A.%1.%2"/>
      <w:lvlJc w:val="left"/>
      <w:pPr>
        <w:tabs>
          <w:tab w:val="num" w:pos="576"/>
        </w:tabs>
        <w:ind w:left="576" w:hanging="576"/>
      </w:pPr>
      <w:rPr>
        <w:rFonts w:hint="default"/>
      </w:rPr>
    </w:lvl>
    <w:lvl w:ilvl="2">
      <w:start w:val="1"/>
      <w:numFmt w:val="decimal"/>
      <w:lvlText w:val="A.%1.%2.%3"/>
      <w:lvlJc w:val="left"/>
      <w:pPr>
        <w:tabs>
          <w:tab w:val="num" w:pos="1080"/>
        </w:tabs>
        <w:ind w:left="720" w:hanging="720"/>
      </w:pPr>
      <w:rPr>
        <w:rFonts w:hint="default"/>
      </w:rPr>
    </w:lvl>
    <w:lvl w:ilvl="3">
      <w:start w:val="1"/>
      <w:numFmt w:val="decimal"/>
      <w:lvlText w:val="A.%1.%2.%3.%4"/>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3A4F1B78"/>
    <w:multiLevelType w:val="hybridMultilevel"/>
    <w:tmpl w:val="0DFE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701565"/>
    <w:multiLevelType w:val="hybridMultilevel"/>
    <w:tmpl w:val="C1AED26E"/>
    <w:lvl w:ilvl="0" w:tplc="3EA231A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5" w15:restartNumberingAfterBreak="0">
    <w:nsid w:val="4D021661"/>
    <w:multiLevelType w:val="hybridMultilevel"/>
    <w:tmpl w:val="7FEA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5C1682"/>
    <w:multiLevelType w:val="multilevel"/>
    <w:tmpl w:val="266E8F3E"/>
    <w:lvl w:ilvl="0">
      <w:start w:val="1"/>
      <w:numFmt w:val="upperLetter"/>
      <w:lvlText w:val="%1)"/>
      <w:lvlJc w:val="left"/>
      <w:pPr>
        <w:ind w:left="360" w:hanging="360"/>
      </w:pPr>
      <w:rPr>
        <w:rFonts w:ascii="Cambria" w:hAnsi="Cambria" w:hint="default"/>
        <w:b w:val="0"/>
        <w:i w:val="0"/>
        <w:sz w:val="24"/>
      </w:rPr>
    </w:lvl>
    <w:lvl w:ilvl="1">
      <w:start w:val="1"/>
      <w:numFmt w:val="decimal"/>
      <w:lvlText w:val="%2)"/>
      <w:lvlJc w:val="left"/>
      <w:pPr>
        <w:ind w:left="720" w:hanging="360"/>
      </w:pPr>
      <w:rPr>
        <w:rFonts w:ascii="Cambria" w:hAnsi="Cambria" w:hint="default"/>
        <w:b w:val="0"/>
        <w:i w:val="0"/>
        <w:sz w:val="24"/>
      </w:rPr>
    </w:lvl>
    <w:lvl w:ilvl="2">
      <w:start w:val="1"/>
      <w:numFmt w:val="lowerLetter"/>
      <w:lvlText w:val="%3)"/>
      <w:lvlJc w:val="left"/>
      <w:pPr>
        <w:ind w:left="1080" w:hanging="360"/>
      </w:pPr>
      <w:rPr>
        <w:rFonts w:ascii="Cambria" w:hAnsi="Cambria" w:hint="default"/>
        <w:b w:val="0"/>
        <w:i w:val="0"/>
        <w:sz w:val="22"/>
      </w:rPr>
    </w:lvl>
    <w:lvl w:ilvl="3">
      <w:start w:val="1"/>
      <w:numFmt w:val="lowerRoman"/>
      <w:lvlText w:val="(%4)"/>
      <w:lvlJc w:val="left"/>
      <w:pPr>
        <w:ind w:left="1440" w:hanging="360"/>
      </w:pPr>
      <w:rPr>
        <w:rFonts w:ascii="Cambria" w:hAnsi="Cambria" w:hint="default"/>
        <w:b w:val="0"/>
        <w:i/>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F9B247F"/>
    <w:multiLevelType w:val="multilevel"/>
    <w:tmpl w:val="266E8F3E"/>
    <w:lvl w:ilvl="0">
      <w:start w:val="1"/>
      <w:numFmt w:val="upperLetter"/>
      <w:lvlText w:val="%1)"/>
      <w:lvlJc w:val="left"/>
      <w:pPr>
        <w:ind w:left="360" w:hanging="360"/>
      </w:pPr>
      <w:rPr>
        <w:rFonts w:ascii="Cambria" w:hAnsi="Cambria" w:hint="default"/>
        <w:b w:val="0"/>
        <w:i w:val="0"/>
        <w:sz w:val="24"/>
      </w:rPr>
    </w:lvl>
    <w:lvl w:ilvl="1">
      <w:start w:val="1"/>
      <w:numFmt w:val="decimal"/>
      <w:lvlText w:val="%2)"/>
      <w:lvlJc w:val="left"/>
      <w:pPr>
        <w:ind w:left="720" w:hanging="360"/>
      </w:pPr>
      <w:rPr>
        <w:rFonts w:ascii="Cambria" w:hAnsi="Cambria" w:hint="default"/>
        <w:b w:val="0"/>
        <w:i w:val="0"/>
        <w:sz w:val="24"/>
      </w:rPr>
    </w:lvl>
    <w:lvl w:ilvl="2">
      <w:start w:val="1"/>
      <w:numFmt w:val="lowerLetter"/>
      <w:lvlText w:val="%3)"/>
      <w:lvlJc w:val="left"/>
      <w:pPr>
        <w:ind w:left="1080" w:hanging="360"/>
      </w:pPr>
      <w:rPr>
        <w:rFonts w:ascii="Cambria" w:hAnsi="Cambria" w:hint="default"/>
        <w:b w:val="0"/>
        <w:i w:val="0"/>
        <w:sz w:val="22"/>
      </w:rPr>
    </w:lvl>
    <w:lvl w:ilvl="3">
      <w:start w:val="1"/>
      <w:numFmt w:val="lowerRoman"/>
      <w:lvlText w:val="(%4)"/>
      <w:lvlJc w:val="left"/>
      <w:pPr>
        <w:ind w:left="1440" w:hanging="360"/>
      </w:pPr>
      <w:rPr>
        <w:rFonts w:ascii="Cambria" w:hAnsi="Cambria" w:hint="default"/>
        <w:b w:val="0"/>
        <w:i/>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C4B032A"/>
    <w:multiLevelType w:val="singleLevel"/>
    <w:tmpl w:val="7CBE2790"/>
    <w:lvl w:ilvl="0">
      <w:start w:val="1"/>
      <w:numFmt w:val="decimal"/>
      <w:pStyle w:val="Reference"/>
      <w:lvlText w:val="A-%1"/>
      <w:lvlJc w:val="left"/>
      <w:pPr>
        <w:tabs>
          <w:tab w:val="num" w:pos="432"/>
        </w:tabs>
        <w:ind w:left="432" w:hanging="432"/>
      </w:pPr>
    </w:lvl>
  </w:abstractNum>
  <w:abstractNum w:abstractNumId="29" w15:restartNumberingAfterBreak="0">
    <w:nsid w:val="60D9409C"/>
    <w:multiLevelType w:val="multilevel"/>
    <w:tmpl w:val="CEB454B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6E92356B"/>
    <w:multiLevelType w:val="multilevel"/>
    <w:tmpl w:val="266E8F3E"/>
    <w:lvl w:ilvl="0">
      <w:start w:val="1"/>
      <w:numFmt w:val="upperLetter"/>
      <w:lvlText w:val="%1)"/>
      <w:lvlJc w:val="left"/>
      <w:pPr>
        <w:ind w:left="360" w:hanging="360"/>
      </w:pPr>
      <w:rPr>
        <w:rFonts w:ascii="Cambria" w:hAnsi="Cambria" w:hint="default"/>
        <w:b w:val="0"/>
        <w:i w:val="0"/>
        <w:sz w:val="24"/>
      </w:rPr>
    </w:lvl>
    <w:lvl w:ilvl="1">
      <w:start w:val="1"/>
      <w:numFmt w:val="decimal"/>
      <w:lvlText w:val="%2)"/>
      <w:lvlJc w:val="left"/>
      <w:pPr>
        <w:ind w:left="720" w:hanging="360"/>
      </w:pPr>
      <w:rPr>
        <w:rFonts w:ascii="Cambria" w:hAnsi="Cambria" w:hint="default"/>
        <w:b w:val="0"/>
        <w:i w:val="0"/>
        <w:sz w:val="24"/>
      </w:rPr>
    </w:lvl>
    <w:lvl w:ilvl="2">
      <w:start w:val="1"/>
      <w:numFmt w:val="lowerLetter"/>
      <w:lvlText w:val="%3)"/>
      <w:lvlJc w:val="left"/>
      <w:pPr>
        <w:ind w:left="1080" w:hanging="360"/>
      </w:pPr>
      <w:rPr>
        <w:rFonts w:ascii="Cambria" w:hAnsi="Cambria" w:hint="default"/>
        <w:b w:val="0"/>
        <w:i w:val="0"/>
        <w:sz w:val="22"/>
      </w:rPr>
    </w:lvl>
    <w:lvl w:ilvl="3">
      <w:start w:val="1"/>
      <w:numFmt w:val="lowerRoman"/>
      <w:lvlText w:val="(%4)"/>
      <w:lvlJc w:val="left"/>
      <w:pPr>
        <w:ind w:left="1440" w:hanging="360"/>
      </w:pPr>
      <w:rPr>
        <w:rFonts w:ascii="Cambria" w:hAnsi="Cambria" w:hint="default"/>
        <w:b w:val="0"/>
        <w:i/>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F2B0DFB"/>
    <w:multiLevelType w:val="multilevel"/>
    <w:tmpl w:val="266E8F3E"/>
    <w:lvl w:ilvl="0">
      <w:start w:val="1"/>
      <w:numFmt w:val="upperLetter"/>
      <w:lvlText w:val="%1)"/>
      <w:lvlJc w:val="left"/>
      <w:pPr>
        <w:ind w:left="360" w:hanging="360"/>
      </w:pPr>
      <w:rPr>
        <w:rFonts w:ascii="Cambria" w:hAnsi="Cambria" w:hint="default"/>
        <w:b w:val="0"/>
        <w:i w:val="0"/>
        <w:sz w:val="24"/>
      </w:rPr>
    </w:lvl>
    <w:lvl w:ilvl="1">
      <w:start w:val="1"/>
      <w:numFmt w:val="decimal"/>
      <w:lvlText w:val="%2)"/>
      <w:lvlJc w:val="left"/>
      <w:pPr>
        <w:ind w:left="720" w:hanging="360"/>
      </w:pPr>
      <w:rPr>
        <w:rFonts w:ascii="Cambria" w:hAnsi="Cambria" w:hint="default"/>
        <w:b w:val="0"/>
        <w:i w:val="0"/>
        <w:sz w:val="24"/>
      </w:rPr>
    </w:lvl>
    <w:lvl w:ilvl="2">
      <w:start w:val="1"/>
      <w:numFmt w:val="lowerLetter"/>
      <w:lvlText w:val="%3)"/>
      <w:lvlJc w:val="left"/>
      <w:pPr>
        <w:ind w:left="1080" w:hanging="360"/>
      </w:pPr>
      <w:rPr>
        <w:rFonts w:ascii="Cambria" w:hAnsi="Cambria" w:hint="default"/>
        <w:b w:val="0"/>
        <w:i w:val="0"/>
        <w:sz w:val="22"/>
      </w:rPr>
    </w:lvl>
    <w:lvl w:ilvl="3">
      <w:start w:val="1"/>
      <w:numFmt w:val="lowerRoman"/>
      <w:lvlText w:val="(%4)"/>
      <w:lvlJc w:val="left"/>
      <w:pPr>
        <w:ind w:left="1440" w:hanging="360"/>
      </w:pPr>
      <w:rPr>
        <w:rFonts w:ascii="Cambria" w:hAnsi="Cambria" w:hint="default"/>
        <w:b w:val="0"/>
        <w:i/>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FDE70AB"/>
    <w:multiLevelType w:val="multilevel"/>
    <w:tmpl w:val="266E8F3E"/>
    <w:lvl w:ilvl="0">
      <w:start w:val="1"/>
      <w:numFmt w:val="upperLetter"/>
      <w:lvlText w:val="%1)"/>
      <w:lvlJc w:val="left"/>
      <w:pPr>
        <w:ind w:left="360" w:hanging="360"/>
      </w:pPr>
      <w:rPr>
        <w:rFonts w:ascii="Cambria" w:hAnsi="Cambria" w:hint="default"/>
        <w:b w:val="0"/>
        <w:i w:val="0"/>
        <w:sz w:val="24"/>
      </w:rPr>
    </w:lvl>
    <w:lvl w:ilvl="1">
      <w:start w:val="1"/>
      <w:numFmt w:val="decimal"/>
      <w:lvlText w:val="%2)"/>
      <w:lvlJc w:val="left"/>
      <w:pPr>
        <w:ind w:left="720" w:hanging="360"/>
      </w:pPr>
      <w:rPr>
        <w:rFonts w:ascii="Cambria" w:hAnsi="Cambria" w:hint="default"/>
        <w:b w:val="0"/>
        <w:i w:val="0"/>
        <w:sz w:val="24"/>
      </w:rPr>
    </w:lvl>
    <w:lvl w:ilvl="2">
      <w:start w:val="1"/>
      <w:numFmt w:val="lowerLetter"/>
      <w:lvlText w:val="%3)"/>
      <w:lvlJc w:val="left"/>
      <w:pPr>
        <w:ind w:left="1080" w:hanging="360"/>
      </w:pPr>
      <w:rPr>
        <w:rFonts w:ascii="Cambria" w:hAnsi="Cambria" w:hint="default"/>
        <w:b w:val="0"/>
        <w:i w:val="0"/>
        <w:sz w:val="22"/>
      </w:rPr>
    </w:lvl>
    <w:lvl w:ilvl="3">
      <w:start w:val="1"/>
      <w:numFmt w:val="lowerRoman"/>
      <w:lvlText w:val="(%4)"/>
      <w:lvlJc w:val="left"/>
      <w:pPr>
        <w:ind w:left="1440" w:hanging="360"/>
      </w:pPr>
      <w:rPr>
        <w:rFonts w:ascii="Cambria" w:hAnsi="Cambria" w:hint="default"/>
        <w:b w:val="0"/>
        <w:i/>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1260A02"/>
    <w:multiLevelType w:val="hybridMultilevel"/>
    <w:tmpl w:val="9DEAB9A8"/>
    <w:lvl w:ilvl="0" w:tplc="04090011">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9AB6200"/>
    <w:multiLevelType w:val="multilevel"/>
    <w:tmpl w:val="266E8F3E"/>
    <w:lvl w:ilvl="0">
      <w:start w:val="1"/>
      <w:numFmt w:val="upperLetter"/>
      <w:lvlText w:val="%1)"/>
      <w:lvlJc w:val="left"/>
      <w:pPr>
        <w:ind w:left="360" w:hanging="360"/>
      </w:pPr>
      <w:rPr>
        <w:rFonts w:ascii="Cambria" w:hAnsi="Cambria" w:hint="default"/>
        <w:b w:val="0"/>
        <w:i w:val="0"/>
        <w:sz w:val="24"/>
      </w:rPr>
    </w:lvl>
    <w:lvl w:ilvl="1">
      <w:start w:val="1"/>
      <w:numFmt w:val="decimal"/>
      <w:lvlText w:val="%2)"/>
      <w:lvlJc w:val="left"/>
      <w:pPr>
        <w:ind w:left="720" w:hanging="360"/>
      </w:pPr>
      <w:rPr>
        <w:rFonts w:ascii="Cambria" w:hAnsi="Cambria" w:hint="default"/>
        <w:b w:val="0"/>
        <w:i w:val="0"/>
        <w:sz w:val="24"/>
      </w:rPr>
    </w:lvl>
    <w:lvl w:ilvl="2">
      <w:start w:val="1"/>
      <w:numFmt w:val="lowerLetter"/>
      <w:lvlText w:val="%3)"/>
      <w:lvlJc w:val="left"/>
      <w:pPr>
        <w:ind w:left="1080" w:hanging="360"/>
      </w:pPr>
      <w:rPr>
        <w:rFonts w:ascii="Cambria" w:hAnsi="Cambria" w:hint="default"/>
        <w:b w:val="0"/>
        <w:i w:val="0"/>
        <w:sz w:val="22"/>
      </w:rPr>
    </w:lvl>
    <w:lvl w:ilvl="3">
      <w:start w:val="1"/>
      <w:numFmt w:val="lowerRoman"/>
      <w:lvlText w:val="(%4)"/>
      <w:lvlJc w:val="left"/>
      <w:pPr>
        <w:ind w:left="1440" w:hanging="360"/>
      </w:pPr>
      <w:rPr>
        <w:rFonts w:ascii="Cambria" w:hAnsi="Cambria" w:hint="default"/>
        <w:b w:val="0"/>
        <w:i/>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7F9A7BBB"/>
    <w:multiLevelType w:val="multilevel"/>
    <w:tmpl w:val="52EC8312"/>
    <w:lvl w:ilvl="0">
      <w:start w:val="1"/>
      <w:numFmt w:val="bullet"/>
      <w:lvlText w:val=""/>
      <w:lvlJc w:val="left"/>
      <w:pPr>
        <w:tabs>
          <w:tab w:val="num" w:pos="1080"/>
        </w:tabs>
        <w:ind w:left="1080" w:hanging="360"/>
      </w:pPr>
      <w:rPr>
        <w:rFonts w:ascii="Symbol" w:hAnsi="Symbol" w:hint="default"/>
      </w:rPr>
    </w:lvl>
    <w:lvl w:ilvl="1">
      <w:start w:val="16"/>
      <w:numFmt w:val="decimal"/>
      <w:lvlText w:val="%2."/>
      <w:lvlJc w:val="left"/>
      <w:pPr>
        <w:tabs>
          <w:tab w:val="num" w:pos="1800"/>
        </w:tabs>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7FAE13CC"/>
    <w:multiLevelType w:val="hybridMultilevel"/>
    <w:tmpl w:val="569E7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8"/>
  </w:num>
  <w:num w:numId="13">
    <w:abstractNumId w:val="21"/>
  </w:num>
  <w:num w:numId="14">
    <w:abstractNumId w:val="35"/>
  </w:num>
  <w:num w:numId="15">
    <w:abstractNumId w:val="29"/>
  </w:num>
  <w:num w:numId="16">
    <w:abstractNumId w:val="17"/>
  </w:num>
  <w:num w:numId="17">
    <w:abstractNumId w:val="24"/>
  </w:num>
  <w:num w:numId="18">
    <w:abstractNumId w:val="19"/>
  </w:num>
  <w:num w:numId="19">
    <w:abstractNumId w:val="18"/>
  </w:num>
  <w:num w:numId="20">
    <w:abstractNumId w:val="14"/>
  </w:num>
  <w:num w:numId="21">
    <w:abstractNumId w:val="33"/>
  </w:num>
  <w:num w:numId="22">
    <w:abstractNumId w:val="10"/>
  </w:num>
  <w:num w:numId="23">
    <w:abstractNumId w:val="36"/>
  </w:num>
  <w:num w:numId="24">
    <w:abstractNumId w:val="13"/>
  </w:num>
  <w:num w:numId="25">
    <w:abstractNumId w:val="30"/>
  </w:num>
  <w:num w:numId="26">
    <w:abstractNumId w:val="34"/>
  </w:num>
  <w:num w:numId="27">
    <w:abstractNumId w:val="27"/>
  </w:num>
  <w:num w:numId="28">
    <w:abstractNumId w:val="32"/>
  </w:num>
  <w:num w:numId="29">
    <w:abstractNumId w:val="11"/>
  </w:num>
  <w:num w:numId="30">
    <w:abstractNumId w:val="15"/>
  </w:num>
  <w:num w:numId="31">
    <w:abstractNumId w:val="26"/>
  </w:num>
  <w:num w:numId="32">
    <w:abstractNumId w:val="31"/>
  </w:num>
  <w:num w:numId="33">
    <w:abstractNumId w:val="10"/>
  </w:num>
  <w:num w:numId="34">
    <w:abstractNumId w:val="10"/>
  </w:num>
  <w:num w:numId="35">
    <w:abstractNumId w:val="24"/>
  </w:num>
  <w:num w:numId="36">
    <w:abstractNumId w:val="23"/>
  </w:num>
  <w:num w:numId="37">
    <w:abstractNumId w:val="12"/>
  </w:num>
  <w:num w:numId="38">
    <w:abstractNumId w:val="25"/>
  </w:num>
  <w:num w:numId="39">
    <w:abstractNumId w:val="19"/>
  </w:num>
  <w:num w:numId="40">
    <w:abstractNumId w:val="19"/>
  </w:num>
  <w:num w:numId="41">
    <w:abstractNumId w:val="22"/>
  </w:num>
  <w:num w:numId="42">
    <w:abstractNumId w:val="16"/>
  </w:num>
  <w:num w:numId="43">
    <w:abstractNumId w:val="16"/>
  </w:num>
  <w:num w:numId="44">
    <w:abstractNumId w:val="16"/>
  </w:num>
  <w:num w:numId="45">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proofState w:spelling="clean" w:grammar="clean"/>
  <w:defaultTabStop w:val="720"/>
  <w:drawingGridHorizontalSpacing w:val="120"/>
  <w:drawingGridVerticalSpacing w:val="360"/>
  <w:displayHorizontalDrawingGridEvery w:val="0"/>
  <w:displayVerticalDrawingGridEvery w:val="0"/>
  <w:characterSpacingControl w:val="doNotCompress"/>
  <w:hdrShapeDefaults>
    <o:shapedefaults v:ext="edit" spidmax="675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89D"/>
    <w:rsid w:val="00002BFF"/>
    <w:rsid w:val="00005A7D"/>
    <w:rsid w:val="00013A0D"/>
    <w:rsid w:val="00020BD9"/>
    <w:rsid w:val="00033ED1"/>
    <w:rsid w:val="00037A10"/>
    <w:rsid w:val="00046F3A"/>
    <w:rsid w:val="00050CC5"/>
    <w:rsid w:val="00050F74"/>
    <w:rsid w:val="000610A0"/>
    <w:rsid w:val="00075370"/>
    <w:rsid w:val="0007669C"/>
    <w:rsid w:val="000847D9"/>
    <w:rsid w:val="000968B2"/>
    <w:rsid w:val="000A6261"/>
    <w:rsid w:val="000A7EF4"/>
    <w:rsid w:val="000B15A5"/>
    <w:rsid w:val="000D0B3C"/>
    <w:rsid w:val="000D0DE1"/>
    <w:rsid w:val="000D55E9"/>
    <w:rsid w:val="000E3CC6"/>
    <w:rsid w:val="000F3A35"/>
    <w:rsid w:val="000F4158"/>
    <w:rsid w:val="00101A2D"/>
    <w:rsid w:val="00125B5D"/>
    <w:rsid w:val="00161E33"/>
    <w:rsid w:val="00175C5D"/>
    <w:rsid w:val="0018773B"/>
    <w:rsid w:val="00195D48"/>
    <w:rsid w:val="00196B7A"/>
    <w:rsid w:val="001A1001"/>
    <w:rsid w:val="001B4593"/>
    <w:rsid w:val="001B4B4E"/>
    <w:rsid w:val="001C7066"/>
    <w:rsid w:val="001E17C8"/>
    <w:rsid w:val="0020239C"/>
    <w:rsid w:val="0020308B"/>
    <w:rsid w:val="00203691"/>
    <w:rsid w:val="0023094F"/>
    <w:rsid w:val="00252F6C"/>
    <w:rsid w:val="0026382B"/>
    <w:rsid w:val="00273BD3"/>
    <w:rsid w:val="00290643"/>
    <w:rsid w:val="00293186"/>
    <w:rsid w:val="002971B3"/>
    <w:rsid w:val="002A15EF"/>
    <w:rsid w:val="002B7C5B"/>
    <w:rsid w:val="002C1072"/>
    <w:rsid w:val="002C3AAD"/>
    <w:rsid w:val="002C5B75"/>
    <w:rsid w:val="002C6275"/>
    <w:rsid w:val="002D12AC"/>
    <w:rsid w:val="002E5856"/>
    <w:rsid w:val="0030687C"/>
    <w:rsid w:val="00310359"/>
    <w:rsid w:val="00316750"/>
    <w:rsid w:val="00326233"/>
    <w:rsid w:val="0033607D"/>
    <w:rsid w:val="00341C06"/>
    <w:rsid w:val="003514FB"/>
    <w:rsid w:val="00353EE2"/>
    <w:rsid w:val="00357608"/>
    <w:rsid w:val="00382B7B"/>
    <w:rsid w:val="0038786C"/>
    <w:rsid w:val="003909DA"/>
    <w:rsid w:val="00394E83"/>
    <w:rsid w:val="00396A1B"/>
    <w:rsid w:val="003A0EF9"/>
    <w:rsid w:val="003A7220"/>
    <w:rsid w:val="003C4123"/>
    <w:rsid w:val="003C5350"/>
    <w:rsid w:val="003D5571"/>
    <w:rsid w:val="003D709A"/>
    <w:rsid w:val="003E16E8"/>
    <w:rsid w:val="003F480B"/>
    <w:rsid w:val="003F66A2"/>
    <w:rsid w:val="00416D99"/>
    <w:rsid w:val="00417A60"/>
    <w:rsid w:val="00417B9C"/>
    <w:rsid w:val="004205E8"/>
    <w:rsid w:val="00422CD6"/>
    <w:rsid w:val="00427DAB"/>
    <w:rsid w:val="00433673"/>
    <w:rsid w:val="00461A6D"/>
    <w:rsid w:val="004665CD"/>
    <w:rsid w:val="00475458"/>
    <w:rsid w:val="00483F64"/>
    <w:rsid w:val="00495637"/>
    <w:rsid w:val="004B4F7D"/>
    <w:rsid w:val="004B79DE"/>
    <w:rsid w:val="004C084F"/>
    <w:rsid w:val="004C24D3"/>
    <w:rsid w:val="004C4A6D"/>
    <w:rsid w:val="004C4CE2"/>
    <w:rsid w:val="004D016E"/>
    <w:rsid w:val="004E1808"/>
    <w:rsid w:val="004E73CB"/>
    <w:rsid w:val="004F116D"/>
    <w:rsid w:val="004F31CD"/>
    <w:rsid w:val="004F630B"/>
    <w:rsid w:val="0050108D"/>
    <w:rsid w:val="005053A3"/>
    <w:rsid w:val="005102A3"/>
    <w:rsid w:val="00546141"/>
    <w:rsid w:val="00547484"/>
    <w:rsid w:val="00566382"/>
    <w:rsid w:val="00566C96"/>
    <w:rsid w:val="005801EB"/>
    <w:rsid w:val="005A2175"/>
    <w:rsid w:val="005B13B7"/>
    <w:rsid w:val="005B6557"/>
    <w:rsid w:val="005F6C4F"/>
    <w:rsid w:val="00603FF3"/>
    <w:rsid w:val="006366B0"/>
    <w:rsid w:val="00636933"/>
    <w:rsid w:val="00642643"/>
    <w:rsid w:val="006428FF"/>
    <w:rsid w:val="00652FE4"/>
    <w:rsid w:val="0066215B"/>
    <w:rsid w:val="00691432"/>
    <w:rsid w:val="006B1A00"/>
    <w:rsid w:val="006B3651"/>
    <w:rsid w:val="006B420D"/>
    <w:rsid w:val="006C5331"/>
    <w:rsid w:val="006C7061"/>
    <w:rsid w:val="006D48BD"/>
    <w:rsid w:val="006D68C6"/>
    <w:rsid w:val="006E40BC"/>
    <w:rsid w:val="006E5BB4"/>
    <w:rsid w:val="006F01FD"/>
    <w:rsid w:val="006F2384"/>
    <w:rsid w:val="006F3F29"/>
    <w:rsid w:val="00702E5B"/>
    <w:rsid w:val="00707227"/>
    <w:rsid w:val="00717B79"/>
    <w:rsid w:val="00723F43"/>
    <w:rsid w:val="00733AD9"/>
    <w:rsid w:val="007379FE"/>
    <w:rsid w:val="00741C3B"/>
    <w:rsid w:val="00747E70"/>
    <w:rsid w:val="0076619A"/>
    <w:rsid w:val="00771847"/>
    <w:rsid w:val="00775CE0"/>
    <w:rsid w:val="007806DB"/>
    <w:rsid w:val="0078083F"/>
    <w:rsid w:val="00791D35"/>
    <w:rsid w:val="007A0E9F"/>
    <w:rsid w:val="007A1569"/>
    <w:rsid w:val="007A45A6"/>
    <w:rsid w:val="007A5939"/>
    <w:rsid w:val="007B785F"/>
    <w:rsid w:val="007B7C71"/>
    <w:rsid w:val="007C2CC1"/>
    <w:rsid w:val="007F3179"/>
    <w:rsid w:val="008012CA"/>
    <w:rsid w:val="00804C7D"/>
    <w:rsid w:val="00817F85"/>
    <w:rsid w:val="008206FD"/>
    <w:rsid w:val="0083146F"/>
    <w:rsid w:val="00834528"/>
    <w:rsid w:val="00836666"/>
    <w:rsid w:val="0086318B"/>
    <w:rsid w:val="00865C96"/>
    <w:rsid w:val="00866805"/>
    <w:rsid w:val="008710BC"/>
    <w:rsid w:val="008737CE"/>
    <w:rsid w:val="008840D5"/>
    <w:rsid w:val="00885831"/>
    <w:rsid w:val="0088700B"/>
    <w:rsid w:val="008A1CB9"/>
    <w:rsid w:val="008A70EA"/>
    <w:rsid w:val="008A73E9"/>
    <w:rsid w:val="008B698C"/>
    <w:rsid w:val="008C46EB"/>
    <w:rsid w:val="008C535D"/>
    <w:rsid w:val="008C62FE"/>
    <w:rsid w:val="008D2F69"/>
    <w:rsid w:val="008D3DFD"/>
    <w:rsid w:val="008E119D"/>
    <w:rsid w:val="008F56A4"/>
    <w:rsid w:val="0090284E"/>
    <w:rsid w:val="009112E6"/>
    <w:rsid w:val="0093573B"/>
    <w:rsid w:val="00936C53"/>
    <w:rsid w:val="009376BE"/>
    <w:rsid w:val="00944640"/>
    <w:rsid w:val="009632C9"/>
    <w:rsid w:val="009738A9"/>
    <w:rsid w:val="00981383"/>
    <w:rsid w:val="00985F64"/>
    <w:rsid w:val="00991E7C"/>
    <w:rsid w:val="00992CC8"/>
    <w:rsid w:val="00992E7D"/>
    <w:rsid w:val="00993436"/>
    <w:rsid w:val="009A743E"/>
    <w:rsid w:val="009B4679"/>
    <w:rsid w:val="009B53E0"/>
    <w:rsid w:val="009B5DA3"/>
    <w:rsid w:val="009C0423"/>
    <w:rsid w:val="009E1AC2"/>
    <w:rsid w:val="009E1CDD"/>
    <w:rsid w:val="009E3EE1"/>
    <w:rsid w:val="009F3EC9"/>
    <w:rsid w:val="00A00907"/>
    <w:rsid w:val="00A17118"/>
    <w:rsid w:val="00A276B9"/>
    <w:rsid w:val="00A41F8B"/>
    <w:rsid w:val="00A4465D"/>
    <w:rsid w:val="00A502F5"/>
    <w:rsid w:val="00A63EFE"/>
    <w:rsid w:val="00A6608B"/>
    <w:rsid w:val="00A7275D"/>
    <w:rsid w:val="00A764F1"/>
    <w:rsid w:val="00A76A31"/>
    <w:rsid w:val="00A77D15"/>
    <w:rsid w:val="00A854E2"/>
    <w:rsid w:val="00A85B4A"/>
    <w:rsid w:val="00A872DF"/>
    <w:rsid w:val="00A94D6A"/>
    <w:rsid w:val="00AD528D"/>
    <w:rsid w:val="00AE13E5"/>
    <w:rsid w:val="00AE3ADA"/>
    <w:rsid w:val="00B00F96"/>
    <w:rsid w:val="00B14027"/>
    <w:rsid w:val="00B16985"/>
    <w:rsid w:val="00B32490"/>
    <w:rsid w:val="00B4225F"/>
    <w:rsid w:val="00B56232"/>
    <w:rsid w:val="00B6657D"/>
    <w:rsid w:val="00B84D35"/>
    <w:rsid w:val="00B9537B"/>
    <w:rsid w:val="00B95763"/>
    <w:rsid w:val="00BE24BC"/>
    <w:rsid w:val="00C00F70"/>
    <w:rsid w:val="00C016DE"/>
    <w:rsid w:val="00C111C5"/>
    <w:rsid w:val="00C274E3"/>
    <w:rsid w:val="00C32A84"/>
    <w:rsid w:val="00C5042F"/>
    <w:rsid w:val="00C52434"/>
    <w:rsid w:val="00C563C5"/>
    <w:rsid w:val="00C90165"/>
    <w:rsid w:val="00C94000"/>
    <w:rsid w:val="00C968B2"/>
    <w:rsid w:val="00C97F59"/>
    <w:rsid w:val="00CA144A"/>
    <w:rsid w:val="00CC51DD"/>
    <w:rsid w:val="00CD3504"/>
    <w:rsid w:val="00CE5C4F"/>
    <w:rsid w:val="00D13EBF"/>
    <w:rsid w:val="00D1530A"/>
    <w:rsid w:val="00D20B99"/>
    <w:rsid w:val="00D20BFF"/>
    <w:rsid w:val="00D20C24"/>
    <w:rsid w:val="00D21553"/>
    <w:rsid w:val="00D27B2C"/>
    <w:rsid w:val="00D403A0"/>
    <w:rsid w:val="00D4187D"/>
    <w:rsid w:val="00D42BBE"/>
    <w:rsid w:val="00D454B3"/>
    <w:rsid w:val="00D567D4"/>
    <w:rsid w:val="00D5789D"/>
    <w:rsid w:val="00D57F37"/>
    <w:rsid w:val="00D74FB1"/>
    <w:rsid w:val="00D758D9"/>
    <w:rsid w:val="00DA3FD3"/>
    <w:rsid w:val="00DB02B2"/>
    <w:rsid w:val="00DB648D"/>
    <w:rsid w:val="00DC5DE9"/>
    <w:rsid w:val="00DE77A1"/>
    <w:rsid w:val="00E22210"/>
    <w:rsid w:val="00E24B47"/>
    <w:rsid w:val="00E44E62"/>
    <w:rsid w:val="00E61AE2"/>
    <w:rsid w:val="00E807FC"/>
    <w:rsid w:val="00E80F7E"/>
    <w:rsid w:val="00E81F36"/>
    <w:rsid w:val="00E8348E"/>
    <w:rsid w:val="00E85A57"/>
    <w:rsid w:val="00E85E48"/>
    <w:rsid w:val="00E96EF9"/>
    <w:rsid w:val="00EB6223"/>
    <w:rsid w:val="00EC54B4"/>
    <w:rsid w:val="00ED0D0C"/>
    <w:rsid w:val="00ED5E71"/>
    <w:rsid w:val="00EE1602"/>
    <w:rsid w:val="00EF1375"/>
    <w:rsid w:val="00EF7C69"/>
    <w:rsid w:val="00F22275"/>
    <w:rsid w:val="00F368F0"/>
    <w:rsid w:val="00F36FF6"/>
    <w:rsid w:val="00F40C03"/>
    <w:rsid w:val="00F533C2"/>
    <w:rsid w:val="00F62C08"/>
    <w:rsid w:val="00F636F6"/>
    <w:rsid w:val="00F80B2D"/>
    <w:rsid w:val="00F8114D"/>
    <w:rsid w:val="00FA180D"/>
    <w:rsid w:val="00FB00F0"/>
    <w:rsid w:val="00FC6E8C"/>
    <w:rsid w:val="00FC7C42"/>
    <w:rsid w:val="00FF4E59"/>
    <w:rsid w:val="00FF50F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5"/>
    <o:shapelayout v:ext="edit">
      <o:idmap v:ext="edit" data="1"/>
    </o:shapelayout>
  </w:shapeDefaults>
  <w:decimalSymbol w:val="."/>
  <w:listSeparator w:val=","/>
  <w14:docId w14:val="7A5EBD67"/>
  <w15:docId w15:val="{C400C5B2-E4D9-400E-8D00-CE2C9391B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Theme="minorHAnsi" w:hAnsi="Cambria" w:cs="Times New Roman"/>
        <w:sz w:val="24"/>
        <w:lang w:val="en-US" w:eastAsia="en-US" w:bidi="ar-SA"/>
      </w:rPr>
    </w:rPrDefault>
    <w:pPrDefault>
      <w:pPr>
        <w:spacing w:after="200"/>
      </w:pPr>
    </w:pPrDefault>
  </w:docDefaults>
  <w:latentStyles w:defLockedState="0" w:defUIPriority="0" w:defSemiHidden="0" w:defUnhideWhenUsed="0" w:defQFormat="0" w:count="371">
    <w:lsdException w:name="heading 1" w:qFormat="1"/>
    <w:lsdException w:name="heading 2" w:qFormat="1"/>
    <w:lsdException w:name="heading 3" w:qFormat="1"/>
    <w:lsdException w:name="heading 7" w:semiHidden="1"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2434"/>
    <w:pPr>
      <w:jc w:val="both"/>
    </w:pPr>
    <w:rPr>
      <w:rFonts w:ascii="Times New Roman" w:hAnsi="Times New Roman"/>
      <w:sz w:val="21"/>
    </w:rPr>
  </w:style>
  <w:style w:type="paragraph" w:styleId="Heading1">
    <w:name w:val="heading 1"/>
    <w:basedOn w:val="Normal"/>
    <w:next w:val="Normal"/>
    <w:link w:val="Heading1Char"/>
    <w:qFormat/>
    <w:rsid w:val="00936C53"/>
    <w:pPr>
      <w:keepNext/>
      <w:numPr>
        <w:numId w:val="37"/>
      </w:numPr>
      <w:spacing w:before="480"/>
      <w:outlineLvl w:val="0"/>
    </w:pPr>
    <w:rPr>
      <w:rFonts w:ascii="Arial" w:eastAsia="Times New Roman" w:hAnsi="Arial" w:cs="Arial"/>
      <w:b/>
      <w:sz w:val="28"/>
      <w:szCs w:val="28"/>
    </w:rPr>
  </w:style>
  <w:style w:type="paragraph" w:styleId="Heading2">
    <w:name w:val="heading 2"/>
    <w:basedOn w:val="Heading1"/>
    <w:next w:val="Normal"/>
    <w:link w:val="Heading2Char"/>
    <w:qFormat/>
    <w:rsid w:val="00A502F5"/>
    <w:pPr>
      <w:numPr>
        <w:ilvl w:val="1"/>
      </w:numPr>
      <w:spacing w:before="240"/>
      <w:outlineLvl w:val="1"/>
    </w:pPr>
    <w:rPr>
      <w:rFonts w:eastAsia="MS Mincho"/>
      <w:sz w:val="24"/>
      <w:szCs w:val="24"/>
    </w:rPr>
  </w:style>
  <w:style w:type="paragraph" w:styleId="Heading3">
    <w:name w:val="heading 3"/>
    <w:basedOn w:val="Normal"/>
    <w:next w:val="Normal"/>
    <w:link w:val="Heading3Char"/>
    <w:qFormat/>
    <w:rsid w:val="00A502F5"/>
    <w:pPr>
      <w:numPr>
        <w:ilvl w:val="2"/>
        <w:numId w:val="37"/>
      </w:numPr>
      <w:outlineLvl w:val="2"/>
    </w:pPr>
    <w:rPr>
      <w:rFonts w:ascii="Arial" w:hAnsi="Arial" w:cs="Arial"/>
      <w:b/>
    </w:rPr>
  </w:style>
  <w:style w:type="paragraph" w:styleId="Heading4">
    <w:name w:val="heading 4"/>
    <w:basedOn w:val="Normal"/>
    <w:next w:val="Normal"/>
    <w:link w:val="Heading4Char"/>
    <w:rsid w:val="007F3179"/>
    <w:pPr>
      <w:keepNext/>
      <w:spacing w:after="0"/>
      <w:outlineLvl w:val="3"/>
    </w:pPr>
    <w:rPr>
      <w:rFonts w:eastAsia="Times New Roman"/>
      <w:b/>
      <w:lang w:val="en-AU"/>
    </w:rPr>
  </w:style>
  <w:style w:type="paragraph" w:styleId="Heading5">
    <w:name w:val="heading 5"/>
    <w:basedOn w:val="Normal"/>
    <w:next w:val="Normal"/>
    <w:link w:val="Heading5Char"/>
    <w:rsid w:val="007F3179"/>
    <w:pPr>
      <w:keepNext/>
      <w:spacing w:after="0"/>
      <w:ind w:left="1260"/>
      <w:outlineLvl w:val="4"/>
    </w:pPr>
    <w:rPr>
      <w:rFonts w:eastAsia="Times New Roman"/>
      <w:b/>
      <w:sz w:val="20"/>
    </w:rPr>
  </w:style>
  <w:style w:type="paragraph" w:styleId="Heading6">
    <w:name w:val="heading 6"/>
    <w:basedOn w:val="Normal"/>
    <w:next w:val="Normal"/>
    <w:link w:val="Heading6Char"/>
    <w:rsid w:val="007F3179"/>
    <w:pPr>
      <w:keepNext/>
      <w:tabs>
        <w:tab w:val="left" w:pos="7938"/>
      </w:tabs>
      <w:spacing w:after="0"/>
      <w:ind w:left="1276"/>
      <w:outlineLvl w:val="5"/>
    </w:pPr>
    <w:rPr>
      <w:rFonts w:eastAsia="Times New Roman"/>
      <w:b/>
      <w:sz w:val="20"/>
    </w:rPr>
  </w:style>
  <w:style w:type="paragraph" w:styleId="Heading7">
    <w:name w:val="heading 7"/>
    <w:aliases w:val="Table Heading"/>
    <w:basedOn w:val="Normal"/>
    <w:next w:val="Normal"/>
    <w:link w:val="Heading7Char"/>
    <w:qFormat/>
    <w:rsid w:val="00B9537B"/>
    <w:pPr>
      <w:keepNext/>
      <w:spacing w:before="240" w:after="240"/>
      <w:jc w:val="center"/>
      <w:outlineLvl w:val="6"/>
    </w:pPr>
    <w:rPr>
      <w:rFonts w:eastAsia="Times New Roman"/>
      <w:b/>
    </w:rPr>
  </w:style>
  <w:style w:type="paragraph" w:styleId="Heading8">
    <w:name w:val="heading 8"/>
    <w:aliases w:val="Alpha List"/>
    <w:basedOn w:val="NormalIndent"/>
    <w:next w:val="Normal"/>
    <w:link w:val="Heading8Char"/>
    <w:rsid w:val="0007669C"/>
    <w:pPr>
      <w:numPr>
        <w:numId w:val="22"/>
      </w:numPr>
      <w:outlineLvl w:val="7"/>
    </w:pPr>
  </w:style>
  <w:style w:type="paragraph" w:styleId="Heading9">
    <w:name w:val="heading 9"/>
    <w:aliases w:val="Bullet List"/>
    <w:basedOn w:val="ListParagraph"/>
    <w:next w:val="Normal"/>
    <w:link w:val="Heading9Char"/>
    <w:rsid w:val="0007669C"/>
    <w:pPr>
      <w:numPr>
        <w:numId w:val="18"/>
      </w:numPr>
      <w:spacing w:after="240"/>
      <w:outlineLvl w:val="8"/>
    </w:pPr>
    <w:rPr>
      <w:rFonts w:asciiTheme="minorHAnsi" w:eastAsia="MS Mincho" w:hAnsiTheme="minorHAnsi"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portTitle">
    <w:name w:val="Report Title"/>
    <w:basedOn w:val="Normal"/>
    <w:qFormat/>
    <w:rsid w:val="006D68C6"/>
    <w:pPr>
      <w:spacing w:after="360" w:line="216" w:lineRule="auto"/>
    </w:pPr>
    <w:rPr>
      <w:rFonts w:ascii="Arial" w:hAnsi="Arial"/>
      <w:b/>
      <w:color w:val="428F35"/>
      <w:sz w:val="56"/>
    </w:rPr>
  </w:style>
  <w:style w:type="paragraph" w:customStyle="1" w:styleId="ReportPreparedby">
    <w:name w:val="Report Prepared by"/>
    <w:basedOn w:val="Normal"/>
    <w:qFormat/>
    <w:rsid w:val="006D68C6"/>
    <w:pPr>
      <w:spacing w:after="0"/>
    </w:pPr>
    <w:rPr>
      <w:rFonts w:ascii="Arial" w:hAnsi="Arial"/>
      <w:sz w:val="28"/>
    </w:rPr>
  </w:style>
  <w:style w:type="paragraph" w:customStyle="1" w:styleId="MonthYear">
    <w:name w:val="Month Year"/>
    <w:basedOn w:val="Normal"/>
    <w:qFormat/>
    <w:rsid w:val="006D68C6"/>
    <w:pPr>
      <w:spacing w:after="120"/>
    </w:pPr>
    <w:rPr>
      <w:rFonts w:ascii="Arial" w:hAnsi="Arial"/>
      <w:b/>
      <w:sz w:val="56"/>
    </w:rPr>
  </w:style>
  <w:style w:type="paragraph" w:customStyle="1" w:styleId="ReportNumber">
    <w:name w:val="Report Number"/>
    <w:basedOn w:val="Normal"/>
    <w:qFormat/>
    <w:rsid w:val="00EB6223"/>
    <w:pPr>
      <w:spacing w:after="120"/>
      <w:jc w:val="right"/>
    </w:pPr>
    <w:rPr>
      <w:rFonts w:ascii="Arial" w:hAnsi="Arial"/>
      <w:b/>
      <w:sz w:val="56"/>
    </w:rPr>
  </w:style>
  <w:style w:type="character" w:customStyle="1" w:styleId="Heading1Char">
    <w:name w:val="Heading 1 Char"/>
    <w:basedOn w:val="DefaultParagraphFont"/>
    <w:link w:val="Heading1"/>
    <w:rsid w:val="00936C53"/>
    <w:rPr>
      <w:rFonts w:ascii="Arial" w:eastAsia="Times New Roman" w:hAnsi="Arial" w:cs="Arial"/>
      <w:b/>
      <w:sz w:val="28"/>
      <w:szCs w:val="28"/>
    </w:rPr>
  </w:style>
  <w:style w:type="character" w:customStyle="1" w:styleId="Heading8Char">
    <w:name w:val="Heading 8 Char"/>
    <w:aliases w:val="Alpha List Char"/>
    <w:basedOn w:val="DefaultParagraphFont"/>
    <w:link w:val="Heading8"/>
    <w:rsid w:val="0007669C"/>
    <w:rPr>
      <w:rFonts w:ascii="Times New Roman" w:eastAsia="Times New Roman" w:hAnsi="Times New Roman"/>
      <w:sz w:val="22"/>
    </w:rPr>
  </w:style>
  <w:style w:type="paragraph" w:styleId="Footer">
    <w:name w:val="footer"/>
    <w:basedOn w:val="Normal"/>
    <w:link w:val="FooterChar"/>
    <w:uiPriority w:val="99"/>
    <w:rsid w:val="007F3179"/>
    <w:pPr>
      <w:tabs>
        <w:tab w:val="left" w:pos="720"/>
        <w:tab w:val="center" w:pos="4320"/>
        <w:tab w:val="right" w:pos="8640"/>
      </w:tabs>
      <w:spacing w:after="0"/>
    </w:pPr>
    <w:rPr>
      <w:rFonts w:eastAsia="Times New Roman"/>
      <w:sz w:val="22"/>
    </w:rPr>
  </w:style>
  <w:style w:type="character" w:customStyle="1" w:styleId="FooterChar">
    <w:name w:val="Footer Char"/>
    <w:basedOn w:val="DefaultParagraphFont"/>
    <w:link w:val="Footer"/>
    <w:uiPriority w:val="99"/>
    <w:rsid w:val="007F3179"/>
    <w:rPr>
      <w:rFonts w:ascii="Times New Roman" w:eastAsia="Times New Roman" w:hAnsi="Times New Roman" w:cs="Times New Roman"/>
      <w:sz w:val="22"/>
      <w:szCs w:val="20"/>
    </w:rPr>
  </w:style>
  <w:style w:type="character" w:styleId="PageNumber">
    <w:name w:val="page number"/>
    <w:basedOn w:val="DefaultParagraphFont"/>
    <w:rsid w:val="007F3179"/>
    <w:rPr>
      <w:sz w:val="20"/>
    </w:rPr>
  </w:style>
  <w:style w:type="paragraph" w:styleId="Header">
    <w:name w:val="header"/>
    <w:basedOn w:val="Normal"/>
    <w:link w:val="HeaderChar"/>
    <w:uiPriority w:val="99"/>
    <w:rsid w:val="007F3179"/>
    <w:pPr>
      <w:tabs>
        <w:tab w:val="left" w:pos="720"/>
        <w:tab w:val="center" w:pos="4320"/>
        <w:tab w:val="right" w:pos="8640"/>
      </w:tabs>
      <w:spacing w:after="0"/>
    </w:pPr>
    <w:rPr>
      <w:rFonts w:eastAsia="Times New Roman"/>
      <w:sz w:val="22"/>
    </w:rPr>
  </w:style>
  <w:style w:type="character" w:customStyle="1" w:styleId="HeaderChar">
    <w:name w:val="Header Char"/>
    <w:basedOn w:val="DefaultParagraphFont"/>
    <w:link w:val="Header"/>
    <w:uiPriority w:val="99"/>
    <w:rsid w:val="007F3179"/>
    <w:rPr>
      <w:rFonts w:ascii="Times New Roman" w:eastAsia="Times New Roman" w:hAnsi="Times New Roman" w:cs="Times New Roman"/>
      <w:sz w:val="22"/>
      <w:szCs w:val="20"/>
    </w:rPr>
  </w:style>
  <w:style w:type="paragraph" w:styleId="BodyTextIndent">
    <w:name w:val="Body Text Indent"/>
    <w:basedOn w:val="Normal"/>
    <w:link w:val="BodyTextIndentChar"/>
    <w:rsid w:val="007F3179"/>
    <w:pPr>
      <w:spacing w:before="240" w:after="240"/>
      <w:ind w:left="1080"/>
    </w:pPr>
    <w:rPr>
      <w:rFonts w:ascii="Arial" w:eastAsia="Times New Roman" w:hAnsi="Arial"/>
      <w:sz w:val="20"/>
      <w:lang w:val="en-AU"/>
    </w:rPr>
  </w:style>
  <w:style w:type="character" w:customStyle="1" w:styleId="BodyTextIndentChar">
    <w:name w:val="Body Text Indent Char"/>
    <w:basedOn w:val="DefaultParagraphFont"/>
    <w:link w:val="BodyTextIndent"/>
    <w:rsid w:val="007F3179"/>
    <w:rPr>
      <w:rFonts w:ascii="Arial" w:eastAsia="Times New Roman" w:hAnsi="Arial" w:cs="Times New Roman"/>
      <w:sz w:val="20"/>
      <w:szCs w:val="20"/>
      <w:lang w:val="en-AU"/>
    </w:rPr>
  </w:style>
  <w:style w:type="paragraph" w:styleId="TOC1">
    <w:name w:val="toc 1"/>
    <w:basedOn w:val="Normal"/>
    <w:next w:val="Normal"/>
    <w:autoRedefine/>
    <w:uiPriority w:val="39"/>
    <w:rsid w:val="00866805"/>
    <w:pPr>
      <w:tabs>
        <w:tab w:val="left" w:pos="360"/>
        <w:tab w:val="left" w:pos="1560"/>
        <w:tab w:val="right" w:leader="dot" w:pos="8640"/>
      </w:tabs>
      <w:spacing w:before="120" w:after="120"/>
    </w:pPr>
    <w:rPr>
      <w:rFonts w:ascii="Arial" w:eastAsia="Times New Roman" w:hAnsi="Arial" w:cs="Arial"/>
      <w:noProof/>
      <w:sz w:val="22"/>
      <w:szCs w:val="22"/>
    </w:rPr>
  </w:style>
  <w:style w:type="paragraph" w:styleId="TOC3">
    <w:name w:val="toc 3"/>
    <w:basedOn w:val="Normal"/>
    <w:next w:val="Normal"/>
    <w:autoRedefine/>
    <w:uiPriority w:val="39"/>
    <w:rsid w:val="006F01FD"/>
    <w:pPr>
      <w:tabs>
        <w:tab w:val="left" w:pos="1320"/>
        <w:tab w:val="right" w:leader="dot" w:pos="8630"/>
      </w:tabs>
      <w:spacing w:before="120" w:after="120"/>
      <w:ind w:left="600"/>
    </w:pPr>
    <w:rPr>
      <w:rFonts w:ascii="Arial" w:eastAsia="Times New Roman" w:hAnsi="Arial"/>
      <w:sz w:val="22"/>
    </w:rPr>
  </w:style>
  <w:style w:type="character" w:styleId="FootnoteReference">
    <w:name w:val="footnote reference"/>
    <w:basedOn w:val="DefaultParagraphFont"/>
    <w:rsid w:val="007F3179"/>
    <w:rPr>
      <w:vertAlign w:val="superscript"/>
    </w:rPr>
  </w:style>
  <w:style w:type="paragraph" w:styleId="FootnoteText">
    <w:name w:val="footnote text"/>
    <w:basedOn w:val="Normal"/>
    <w:link w:val="FootnoteTextChar"/>
    <w:rsid w:val="007F3179"/>
    <w:pPr>
      <w:tabs>
        <w:tab w:val="left" w:pos="720"/>
      </w:tabs>
      <w:spacing w:after="0"/>
    </w:pPr>
    <w:rPr>
      <w:rFonts w:eastAsia="Times New Roman"/>
      <w:sz w:val="20"/>
    </w:rPr>
  </w:style>
  <w:style w:type="character" w:customStyle="1" w:styleId="FootnoteTextChar">
    <w:name w:val="Footnote Text Char"/>
    <w:basedOn w:val="DefaultParagraphFont"/>
    <w:link w:val="FootnoteText"/>
    <w:uiPriority w:val="99"/>
    <w:rsid w:val="007F3179"/>
    <w:rPr>
      <w:rFonts w:ascii="Times New Roman" w:eastAsia="Times New Roman" w:hAnsi="Times New Roman" w:cs="Times New Roman"/>
      <w:sz w:val="20"/>
      <w:szCs w:val="20"/>
    </w:rPr>
  </w:style>
  <w:style w:type="character" w:styleId="Hyperlink">
    <w:name w:val="Hyperlink"/>
    <w:basedOn w:val="DefaultParagraphFont"/>
    <w:uiPriority w:val="99"/>
    <w:rsid w:val="007F3179"/>
    <w:rPr>
      <w:color w:val="0000FF"/>
      <w:u w:val="single"/>
    </w:rPr>
  </w:style>
  <w:style w:type="character" w:customStyle="1" w:styleId="InitialStyle">
    <w:name w:val="InitialStyle"/>
    <w:rsid w:val="007F3179"/>
    <w:rPr>
      <w:rFonts w:ascii="Arial" w:hAnsi="Arial" w:cs="Arial"/>
    </w:rPr>
  </w:style>
  <w:style w:type="paragraph" w:styleId="Caption">
    <w:name w:val="caption"/>
    <w:aliases w:val="Figure Caption"/>
    <w:basedOn w:val="Normal"/>
    <w:next w:val="Normal"/>
    <w:qFormat/>
    <w:rsid w:val="00B9537B"/>
    <w:pPr>
      <w:tabs>
        <w:tab w:val="left" w:pos="720"/>
      </w:tabs>
      <w:spacing w:before="240" w:after="240"/>
      <w:jc w:val="center"/>
    </w:pPr>
    <w:rPr>
      <w:rFonts w:eastAsia="MS Mincho"/>
      <w:b/>
    </w:rPr>
  </w:style>
  <w:style w:type="paragraph" w:customStyle="1" w:styleId="body">
    <w:name w:val="body"/>
    <w:basedOn w:val="Normal"/>
    <w:link w:val="bodyChar"/>
    <w:rsid w:val="007F3179"/>
    <w:pPr>
      <w:tabs>
        <w:tab w:val="left" w:pos="1418"/>
        <w:tab w:val="left" w:pos="2835"/>
        <w:tab w:val="left" w:pos="4253"/>
      </w:tabs>
      <w:spacing w:after="288"/>
      <w:ind w:left="720"/>
    </w:pPr>
    <w:rPr>
      <w:rFonts w:eastAsia="Times New Roman"/>
      <w:lang w:val="en-GB"/>
    </w:rPr>
  </w:style>
  <w:style w:type="character" w:customStyle="1" w:styleId="bodyChar">
    <w:name w:val="body Char"/>
    <w:basedOn w:val="DefaultParagraphFont"/>
    <w:link w:val="body"/>
    <w:locked/>
    <w:rsid w:val="007F3179"/>
    <w:rPr>
      <w:rFonts w:ascii="Times New Roman" w:eastAsia="Times New Roman" w:hAnsi="Times New Roman" w:cs="Times New Roman"/>
      <w:szCs w:val="20"/>
      <w:lang w:val="en-GB"/>
    </w:rPr>
  </w:style>
  <w:style w:type="character" w:customStyle="1" w:styleId="Heading2Char">
    <w:name w:val="Heading 2 Char"/>
    <w:basedOn w:val="DefaultParagraphFont"/>
    <w:link w:val="Heading2"/>
    <w:rsid w:val="00A502F5"/>
    <w:rPr>
      <w:rFonts w:ascii="Arial" w:eastAsia="MS Mincho" w:hAnsi="Arial" w:cs="Arial"/>
      <w:b/>
      <w:szCs w:val="24"/>
    </w:rPr>
  </w:style>
  <w:style w:type="character" w:customStyle="1" w:styleId="Heading3Char">
    <w:name w:val="Heading 3 Char"/>
    <w:basedOn w:val="DefaultParagraphFont"/>
    <w:link w:val="Heading3"/>
    <w:rsid w:val="00A502F5"/>
    <w:rPr>
      <w:rFonts w:ascii="Arial" w:hAnsi="Arial" w:cs="Arial"/>
      <w:b/>
    </w:rPr>
  </w:style>
  <w:style w:type="character" w:customStyle="1" w:styleId="Heading4Char">
    <w:name w:val="Heading 4 Char"/>
    <w:basedOn w:val="DefaultParagraphFont"/>
    <w:link w:val="Heading4"/>
    <w:rsid w:val="007F3179"/>
    <w:rPr>
      <w:rFonts w:ascii="Times New Roman" w:eastAsia="Times New Roman" w:hAnsi="Times New Roman" w:cs="Times New Roman"/>
      <w:b/>
      <w:szCs w:val="20"/>
      <w:lang w:val="en-AU"/>
    </w:rPr>
  </w:style>
  <w:style w:type="character" w:customStyle="1" w:styleId="Heading5Char">
    <w:name w:val="Heading 5 Char"/>
    <w:basedOn w:val="DefaultParagraphFont"/>
    <w:link w:val="Heading5"/>
    <w:rsid w:val="007F3179"/>
    <w:rPr>
      <w:rFonts w:ascii="Times New Roman" w:eastAsia="Times New Roman" w:hAnsi="Times New Roman" w:cs="Times New Roman"/>
      <w:b/>
      <w:sz w:val="20"/>
      <w:szCs w:val="20"/>
    </w:rPr>
  </w:style>
  <w:style w:type="character" w:customStyle="1" w:styleId="Heading6Char">
    <w:name w:val="Heading 6 Char"/>
    <w:basedOn w:val="DefaultParagraphFont"/>
    <w:link w:val="Heading6"/>
    <w:rsid w:val="007F3179"/>
    <w:rPr>
      <w:rFonts w:ascii="Times New Roman" w:eastAsia="Times New Roman" w:hAnsi="Times New Roman" w:cs="Times New Roman"/>
      <w:b/>
      <w:sz w:val="20"/>
      <w:szCs w:val="20"/>
    </w:rPr>
  </w:style>
  <w:style w:type="character" w:customStyle="1" w:styleId="Heading7Char">
    <w:name w:val="Heading 7 Char"/>
    <w:aliases w:val="Table Heading Char"/>
    <w:basedOn w:val="DefaultParagraphFont"/>
    <w:link w:val="Heading7"/>
    <w:rsid w:val="00B9537B"/>
    <w:rPr>
      <w:rFonts w:ascii="Times New Roman" w:eastAsia="Times New Roman" w:hAnsi="Times New Roman"/>
      <w:b/>
    </w:rPr>
  </w:style>
  <w:style w:type="character" w:customStyle="1" w:styleId="Heading9Char">
    <w:name w:val="Heading 9 Char"/>
    <w:aliases w:val="Bullet List Char"/>
    <w:basedOn w:val="DefaultParagraphFont"/>
    <w:link w:val="Heading9"/>
    <w:rsid w:val="0007669C"/>
    <w:rPr>
      <w:rFonts w:asciiTheme="minorHAnsi" w:eastAsia="MS Mincho" w:hAnsiTheme="minorHAnsi" w:cs="Arial"/>
      <w:szCs w:val="24"/>
    </w:rPr>
  </w:style>
  <w:style w:type="paragraph" w:styleId="BodyText">
    <w:name w:val="Body Text"/>
    <w:basedOn w:val="Normal"/>
    <w:link w:val="BodyTextChar"/>
    <w:rsid w:val="007F3179"/>
    <w:pPr>
      <w:spacing w:after="0" w:line="480" w:lineRule="auto"/>
      <w:jc w:val="center"/>
    </w:pPr>
    <w:rPr>
      <w:rFonts w:ascii="Times New Roman" w:eastAsia="Times New Roman" w:hAnsi="Times New Roman"/>
      <w:b/>
      <w:sz w:val="21"/>
      <w:lang w:val="pt-BR"/>
    </w:rPr>
  </w:style>
  <w:style w:type="character" w:customStyle="1" w:styleId="BodyTextChar">
    <w:name w:val="Body Text Char"/>
    <w:basedOn w:val="DefaultParagraphFont"/>
    <w:link w:val="BodyText"/>
    <w:rsid w:val="007F3179"/>
    <w:rPr>
      <w:rFonts w:ascii="Arial" w:eastAsia="Times New Roman" w:hAnsi="Arial" w:cs="Times New Roman"/>
      <w:b/>
      <w:sz w:val="44"/>
      <w:szCs w:val="20"/>
      <w:lang w:val="pt-BR"/>
    </w:rPr>
  </w:style>
  <w:style w:type="paragraph" w:customStyle="1" w:styleId="Body0">
    <w:name w:val="Body"/>
    <w:basedOn w:val="Normal"/>
    <w:rsid w:val="007F3179"/>
    <w:pPr>
      <w:tabs>
        <w:tab w:val="left" w:pos="720"/>
      </w:tabs>
      <w:spacing w:after="0"/>
    </w:pPr>
    <w:rPr>
      <w:rFonts w:eastAsia="Times New Roman"/>
      <w:color w:val="000000"/>
      <w:sz w:val="22"/>
    </w:rPr>
  </w:style>
  <w:style w:type="paragraph" w:styleId="BodyTextIndent2">
    <w:name w:val="Body Text Indent 2"/>
    <w:basedOn w:val="Normal"/>
    <w:link w:val="BodyTextIndent2Char"/>
    <w:rsid w:val="007F3179"/>
    <w:pPr>
      <w:spacing w:after="0"/>
      <w:ind w:left="1080" w:hanging="1080"/>
    </w:pPr>
    <w:rPr>
      <w:rFonts w:eastAsia="Times New Roman"/>
      <w:b/>
      <w:lang w:val="en-AU"/>
    </w:rPr>
  </w:style>
  <w:style w:type="character" w:customStyle="1" w:styleId="BodyTextIndent2Char">
    <w:name w:val="Body Text Indent 2 Char"/>
    <w:basedOn w:val="DefaultParagraphFont"/>
    <w:link w:val="BodyTextIndent2"/>
    <w:rsid w:val="007F3179"/>
    <w:rPr>
      <w:rFonts w:ascii="Times New Roman" w:eastAsia="Times New Roman" w:hAnsi="Times New Roman" w:cs="Times New Roman"/>
      <w:b/>
      <w:szCs w:val="20"/>
      <w:lang w:val="en-AU"/>
    </w:rPr>
  </w:style>
  <w:style w:type="paragraph" w:styleId="BodyTextIndent3">
    <w:name w:val="Body Text Indent 3"/>
    <w:basedOn w:val="Normal"/>
    <w:link w:val="BodyTextIndent3Char"/>
    <w:rsid w:val="007F3179"/>
    <w:pPr>
      <w:spacing w:after="0"/>
      <w:ind w:left="1440" w:hanging="360"/>
    </w:pPr>
    <w:rPr>
      <w:rFonts w:eastAsia="Times New Roman"/>
      <w:b/>
      <w:lang w:val="en-AU"/>
    </w:rPr>
  </w:style>
  <w:style w:type="character" w:customStyle="1" w:styleId="BodyTextIndent3Char">
    <w:name w:val="Body Text Indent 3 Char"/>
    <w:basedOn w:val="DefaultParagraphFont"/>
    <w:link w:val="BodyTextIndent3"/>
    <w:rsid w:val="007F3179"/>
    <w:rPr>
      <w:rFonts w:ascii="Times New Roman" w:eastAsia="Times New Roman" w:hAnsi="Times New Roman" w:cs="Times New Roman"/>
      <w:b/>
      <w:szCs w:val="20"/>
      <w:lang w:val="en-AU"/>
    </w:rPr>
  </w:style>
  <w:style w:type="paragraph" w:styleId="PlainText">
    <w:name w:val="Plain Text"/>
    <w:basedOn w:val="Normal"/>
    <w:link w:val="PlainTextChar"/>
    <w:rsid w:val="007F3179"/>
    <w:pPr>
      <w:widowControl w:val="0"/>
      <w:spacing w:after="0"/>
    </w:pPr>
    <w:rPr>
      <w:rFonts w:ascii="Courier New" w:eastAsia="Times New Roman" w:hAnsi="Courier New"/>
      <w:sz w:val="20"/>
    </w:rPr>
  </w:style>
  <w:style w:type="character" w:customStyle="1" w:styleId="PlainTextChar">
    <w:name w:val="Plain Text Char"/>
    <w:basedOn w:val="DefaultParagraphFont"/>
    <w:link w:val="PlainText"/>
    <w:rsid w:val="007F3179"/>
    <w:rPr>
      <w:rFonts w:ascii="Courier New" w:eastAsia="Times New Roman" w:hAnsi="Courier New" w:cs="Times New Roman"/>
      <w:sz w:val="20"/>
      <w:szCs w:val="20"/>
    </w:rPr>
  </w:style>
  <w:style w:type="paragraph" w:styleId="BodyText2">
    <w:name w:val="Body Text 2"/>
    <w:basedOn w:val="Normal"/>
    <w:link w:val="BodyText2Char"/>
    <w:rsid w:val="007F3179"/>
    <w:pPr>
      <w:spacing w:after="0"/>
    </w:pPr>
    <w:rPr>
      <w:rFonts w:eastAsia="Times New Roman"/>
      <w:sz w:val="20"/>
    </w:rPr>
  </w:style>
  <w:style w:type="character" w:customStyle="1" w:styleId="BodyText2Char">
    <w:name w:val="Body Text 2 Char"/>
    <w:basedOn w:val="DefaultParagraphFont"/>
    <w:link w:val="BodyText2"/>
    <w:rsid w:val="007F3179"/>
    <w:rPr>
      <w:rFonts w:ascii="Times New Roman" w:eastAsia="Times New Roman" w:hAnsi="Times New Roman" w:cs="Times New Roman"/>
      <w:sz w:val="20"/>
      <w:szCs w:val="20"/>
    </w:rPr>
  </w:style>
  <w:style w:type="paragraph" w:styleId="BodyText3">
    <w:name w:val="Body Text 3"/>
    <w:basedOn w:val="Normal"/>
    <w:link w:val="BodyText3Char"/>
    <w:rsid w:val="007F3179"/>
    <w:pPr>
      <w:spacing w:after="0"/>
    </w:pPr>
    <w:rPr>
      <w:rFonts w:eastAsia="Times New Roman"/>
      <w:sz w:val="22"/>
    </w:rPr>
  </w:style>
  <w:style w:type="character" w:customStyle="1" w:styleId="BodyText3Char">
    <w:name w:val="Body Text 3 Char"/>
    <w:basedOn w:val="DefaultParagraphFont"/>
    <w:link w:val="BodyText3"/>
    <w:rsid w:val="007F3179"/>
    <w:rPr>
      <w:rFonts w:ascii="Times New Roman" w:eastAsia="Times New Roman" w:hAnsi="Times New Roman" w:cs="Times New Roman"/>
      <w:sz w:val="22"/>
      <w:szCs w:val="20"/>
    </w:rPr>
  </w:style>
  <w:style w:type="paragraph" w:styleId="BlockText">
    <w:name w:val="Block Text"/>
    <w:basedOn w:val="Normal"/>
    <w:rsid w:val="007F3179"/>
    <w:pPr>
      <w:tabs>
        <w:tab w:val="left" w:pos="2552"/>
        <w:tab w:val="left" w:pos="7938"/>
      </w:tabs>
      <w:spacing w:after="0"/>
      <w:ind w:left="2552" w:right="660" w:hanging="851"/>
    </w:pPr>
    <w:rPr>
      <w:rFonts w:eastAsia="Times New Roman"/>
      <w:sz w:val="20"/>
    </w:rPr>
  </w:style>
  <w:style w:type="paragraph" w:styleId="DocumentMap">
    <w:name w:val="Document Map"/>
    <w:basedOn w:val="Normal"/>
    <w:link w:val="DocumentMapChar"/>
    <w:rsid w:val="007F3179"/>
    <w:pPr>
      <w:shd w:val="clear" w:color="auto" w:fill="000080"/>
      <w:spacing w:after="0"/>
    </w:pPr>
    <w:rPr>
      <w:rFonts w:ascii="Tahoma" w:eastAsia="Times New Roman" w:hAnsi="Tahoma"/>
      <w:sz w:val="20"/>
    </w:rPr>
  </w:style>
  <w:style w:type="character" w:customStyle="1" w:styleId="DocumentMapChar">
    <w:name w:val="Document Map Char"/>
    <w:basedOn w:val="DefaultParagraphFont"/>
    <w:link w:val="DocumentMap"/>
    <w:rsid w:val="007F3179"/>
    <w:rPr>
      <w:rFonts w:ascii="Tahoma" w:eastAsia="Times New Roman" w:hAnsi="Tahoma" w:cs="Times New Roman"/>
      <w:sz w:val="20"/>
      <w:szCs w:val="20"/>
      <w:shd w:val="clear" w:color="auto" w:fill="000080"/>
    </w:rPr>
  </w:style>
  <w:style w:type="paragraph" w:styleId="TOC2">
    <w:name w:val="toc 2"/>
    <w:basedOn w:val="Normal"/>
    <w:next w:val="Normal"/>
    <w:autoRedefine/>
    <w:uiPriority w:val="39"/>
    <w:rsid w:val="0038786C"/>
    <w:pPr>
      <w:tabs>
        <w:tab w:val="left" w:pos="900"/>
        <w:tab w:val="right" w:leader="dot" w:pos="8640"/>
      </w:tabs>
      <w:spacing w:before="120" w:after="120"/>
      <w:ind w:left="360"/>
    </w:pPr>
    <w:rPr>
      <w:rFonts w:ascii="Arial" w:eastAsia="Times New Roman" w:hAnsi="Arial"/>
      <w:noProof/>
      <w:sz w:val="22"/>
    </w:rPr>
  </w:style>
  <w:style w:type="paragraph" w:customStyle="1" w:styleId="Referncias">
    <w:name w:val="Referências"/>
    <w:basedOn w:val="Normal"/>
    <w:rsid w:val="007F3179"/>
    <w:pPr>
      <w:keepLines/>
      <w:tabs>
        <w:tab w:val="left" w:pos="720"/>
        <w:tab w:val="right" w:pos="2835"/>
        <w:tab w:val="left" w:pos="3119"/>
      </w:tabs>
      <w:spacing w:after="120"/>
      <w:ind w:left="3119" w:hanging="1701"/>
    </w:pPr>
    <w:rPr>
      <w:rFonts w:eastAsia="Times New Roman"/>
      <w:sz w:val="22"/>
      <w:lang w:val="pt-BR"/>
    </w:rPr>
  </w:style>
  <w:style w:type="paragraph" w:customStyle="1" w:styleId="NormalSingleSpace">
    <w:name w:val="Normal Single Space"/>
    <w:basedOn w:val="Normal"/>
    <w:rsid w:val="007F3179"/>
    <w:pPr>
      <w:tabs>
        <w:tab w:val="left" w:pos="720"/>
      </w:tabs>
      <w:spacing w:after="0"/>
    </w:pPr>
    <w:rPr>
      <w:rFonts w:eastAsia="Times New Roman"/>
      <w:sz w:val="22"/>
    </w:rPr>
  </w:style>
  <w:style w:type="paragraph" w:customStyle="1" w:styleId="reference0">
    <w:name w:val="reference"/>
    <w:aliases w:val="r"/>
    <w:basedOn w:val="Normal"/>
    <w:rsid w:val="007F3179"/>
    <w:pPr>
      <w:tabs>
        <w:tab w:val="left" w:pos="720"/>
      </w:tabs>
      <w:spacing w:after="100"/>
      <w:ind w:left="540" w:hanging="540"/>
    </w:pPr>
    <w:rPr>
      <w:rFonts w:ascii="Times" w:eastAsia="Times New Roman" w:hAnsi="Times"/>
      <w:sz w:val="20"/>
    </w:rPr>
  </w:style>
  <w:style w:type="paragraph" w:customStyle="1" w:styleId="HangIndent">
    <w:name w:val="HangIndent"/>
    <w:basedOn w:val="Normal"/>
    <w:rsid w:val="007F3179"/>
    <w:pPr>
      <w:tabs>
        <w:tab w:val="left" w:pos="720"/>
      </w:tabs>
      <w:spacing w:after="0"/>
      <w:ind w:left="720" w:hanging="720"/>
    </w:pPr>
    <w:rPr>
      <w:rFonts w:eastAsia="Times New Roman"/>
      <w:sz w:val="22"/>
    </w:rPr>
  </w:style>
  <w:style w:type="paragraph" w:customStyle="1" w:styleId="Reference">
    <w:name w:val="Reference"/>
    <w:basedOn w:val="HangIndent"/>
    <w:rsid w:val="007F3179"/>
    <w:pPr>
      <w:numPr>
        <w:numId w:val="12"/>
      </w:numPr>
      <w:spacing w:after="40"/>
    </w:pPr>
    <w:rPr>
      <w:sz w:val="20"/>
    </w:rPr>
  </w:style>
  <w:style w:type="paragraph" w:styleId="ListBullet">
    <w:name w:val="List Bullet"/>
    <w:basedOn w:val="Normal"/>
    <w:autoRedefine/>
    <w:rsid w:val="007F3179"/>
    <w:pPr>
      <w:numPr>
        <w:numId w:val="2"/>
      </w:numPr>
      <w:tabs>
        <w:tab w:val="left" w:pos="720"/>
      </w:tabs>
      <w:spacing w:after="0"/>
    </w:pPr>
    <w:rPr>
      <w:rFonts w:eastAsia="Times New Roman"/>
      <w:sz w:val="22"/>
    </w:rPr>
  </w:style>
  <w:style w:type="paragraph" w:styleId="ListBullet2">
    <w:name w:val="List Bullet 2"/>
    <w:basedOn w:val="Normal"/>
    <w:autoRedefine/>
    <w:rsid w:val="007F3179"/>
    <w:pPr>
      <w:numPr>
        <w:numId w:val="3"/>
      </w:numPr>
      <w:spacing w:after="0"/>
    </w:pPr>
    <w:rPr>
      <w:rFonts w:eastAsia="Times New Roman"/>
      <w:sz w:val="22"/>
    </w:rPr>
  </w:style>
  <w:style w:type="paragraph" w:styleId="ListBullet3">
    <w:name w:val="List Bullet 3"/>
    <w:basedOn w:val="Normal"/>
    <w:autoRedefine/>
    <w:rsid w:val="007F3179"/>
    <w:pPr>
      <w:numPr>
        <w:numId w:val="4"/>
      </w:numPr>
      <w:tabs>
        <w:tab w:val="left" w:pos="720"/>
      </w:tabs>
      <w:spacing w:after="0"/>
    </w:pPr>
    <w:rPr>
      <w:rFonts w:eastAsia="Times New Roman"/>
      <w:sz w:val="22"/>
    </w:rPr>
  </w:style>
  <w:style w:type="paragraph" w:styleId="ListBullet4">
    <w:name w:val="List Bullet 4"/>
    <w:basedOn w:val="Normal"/>
    <w:autoRedefine/>
    <w:rsid w:val="007F3179"/>
    <w:pPr>
      <w:numPr>
        <w:numId w:val="5"/>
      </w:numPr>
      <w:tabs>
        <w:tab w:val="left" w:pos="720"/>
      </w:tabs>
      <w:spacing w:after="0"/>
    </w:pPr>
    <w:rPr>
      <w:rFonts w:eastAsia="Times New Roman"/>
      <w:sz w:val="22"/>
    </w:rPr>
  </w:style>
  <w:style w:type="paragraph" w:styleId="ListBullet5">
    <w:name w:val="List Bullet 5"/>
    <w:basedOn w:val="Normal"/>
    <w:autoRedefine/>
    <w:rsid w:val="007F3179"/>
    <w:pPr>
      <w:numPr>
        <w:numId w:val="6"/>
      </w:numPr>
      <w:tabs>
        <w:tab w:val="left" w:pos="720"/>
      </w:tabs>
      <w:spacing w:after="0"/>
    </w:pPr>
    <w:rPr>
      <w:rFonts w:eastAsia="Times New Roman"/>
      <w:sz w:val="22"/>
    </w:rPr>
  </w:style>
  <w:style w:type="paragraph" w:styleId="ListNumber">
    <w:name w:val="List Number"/>
    <w:basedOn w:val="Normal"/>
    <w:rsid w:val="007F3179"/>
    <w:pPr>
      <w:numPr>
        <w:numId w:val="7"/>
      </w:numPr>
      <w:tabs>
        <w:tab w:val="left" w:pos="720"/>
      </w:tabs>
      <w:spacing w:after="0"/>
    </w:pPr>
    <w:rPr>
      <w:rFonts w:eastAsia="Times New Roman"/>
      <w:sz w:val="22"/>
    </w:rPr>
  </w:style>
  <w:style w:type="paragraph" w:styleId="ListNumber2">
    <w:name w:val="List Number 2"/>
    <w:basedOn w:val="Normal"/>
    <w:rsid w:val="007F3179"/>
    <w:pPr>
      <w:numPr>
        <w:numId w:val="8"/>
      </w:numPr>
      <w:spacing w:after="0"/>
    </w:pPr>
    <w:rPr>
      <w:rFonts w:eastAsia="Times New Roman"/>
      <w:sz w:val="22"/>
    </w:rPr>
  </w:style>
  <w:style w:type="paragraph" w:styleId="ListNumber3">
    <w:name w:val="List Number 3"/>
    <w:basedOn w:val="Normal"/>
    <w:rsid w:val="007F3179"/>
    <w:pPr>
      <w:numPr>
        <w:numId w:val="9"/>
      </w:numPr>
      <w:tabs>
        <w:tab w:val="left" w:pos="720"/>
      </w:tabs>
      <w:spacing w:after="0"/>
    </w:pPr>
    <w:rPr>
      <w:rFonts w:eastAsia="Times New Roman"/>
      <w:sz w:val="22"/>
    </w:rPr>
  </w:style>
  <w:style w:type="paragraph" w:styleId="ListNumber4">
    <w:name w:val="List Number 4"/>
    <w:basedOn w:val="Normal"/>
    <w:rsid w:val="007F3179"/>
    <w:pPr>
      <w:numPr>
        <w:numId w:val="10"/>
      </w:numPr>
      <w:tabs>
        <w:tab w:val="left" w:pos="720"/>
      </w:tabs>
      <w:spacing w:after="0"/>
    </w:pPr>
    <w:rPr>
      <w:rFonts w:eastAsia="Times New Roman"/>
      <w:sz w:val="22"/>
    </w:rPr>
  </w:style>
  <w:style w:type="paragraph" w:styleId="ListNumber5">
    <w:name w:val="List Number 5"/>
    <w:basedOn w:val="Normal"/>
    <w:rsid w:val="007F3179"/>
    <w:pPr>
      <w:numPr>
        <w:numId w:val="11"/>
      </w:numPr>
      <w:tabs>
        <w:tab w:val="left" w:pos="720"/>
      </w:tabs>
      <w:spacing w:after="0"/>
    </w:pPr>
    <w:rPr>
      <w:rFonts w:eastAsia="Times New Roman"/>
      <w:sz w:val="22"/>
    </w:rPr>
  </w:style>
  <w:style w:type="character" w:styleId="FollowedHyperlink">
    <w:name w:val="FollowedHyperlink"/>
    <w:basedOn w:val="DefaultParagraphFont"/>
    <w:rsid w:val="007F3179"/>
    <w:rPr>
      <w:color w:val="800080"/>
      <w:u w:val="single"/>
    </w:rPr>
  </w:style>
  <w:style w:type="paragraph" w:customStyle="1" w:styleId="DefaultText">
    <w:name w:val="Default Text"/>
    <w:basedOn w:val="Normal"/>
    <w:rsid w:val="007F3179"/>
    <w:pPr>
      <w:widowControl w:val="0"/>
      <w:autoSpaceDE w:val="0"/>
      <w:autoSpaceDN w:val="0"/>
      <w:adjustRightInd w:val="0"/>
      <w:spacing w:after="0"/>
    </w:pPr>
    <w:rPr>
      <w:rFonts w:eastAsia="Times New Roman"/>
    </w:rPr>
  </w:style>
  <w:style w:type="paragraph" w:customStyle="1" w:styleId="CellLittReferenceNumber">
    <w:name w:val="Cell_Litt_Reference_Number"/>
    <w:basedOn w:val="BodyText"/>
    <w:rsid w:val="007F3179"/>
    <w:pPr>
      <w:spacing w:before="40" w:line="240" w:lineRule="auto"/>
      <w:ind w:left="57"/>
      <w:jc w:val="left"/>
    </w:pPr>
    <w:rPr>
      <w:rFonts w:ascii="Times New Roman" w:hAnsi="Times New Roman"/>
      <w:sz w:val="28"/>
      <w:lang w:val="en-GB"/>
    </w:rPr>
  </w:style>
  <w:style w:type="paragraph" w:styleId="BalloonText">
    <w:name w:val="Balloon Text"/>
    <w:basedOn w:val="Normal"/>
    <w:link w:val="BalloonTextChar"/>
    <w:rsid w:val="007F3179"/>
    <w:pPr>
      <w:spacing w:after="0"/>
    </w:pPr>
    <w:rPr>
      <w:rFonts w:ascii="Tahoma" w:eastAsia="Times New Roman" w:hAnsi="Tahoma" w:cs="Tahoma"/>
      <w:sz w:val="16"/>
      <w:szCs w:val="16"/>
    </w:rPr>
  </w:style>
  <w:style w:type="character" w:customStyle="1" w:styleId="BalloonTextChar">
    <w:name w:val="Balloon Text Char"/>
    <w:basedOn w:val="DefaultParagraphFont"/>
    <w:link w:val="BalloonText"/>
    <w:rsid w:val="007F3179"/>
    <w:rPr>
      <w:rFonts w:ascii="Tahoma" w:eastAsia="Times New Roman" w:hAnsi="Tahoma" w:cs="Tahoma"/>
      <w:sz w:val="16"/>
      <w:szCs w:val="16"/>
    </w:rPr>
  </w:style>
  <w:style w:type="paragraph" w:styleId="List2">
    <w:name w:val="List 2"/>
    <w:basedOn w:val="Normal"/>
    <w:rsid w:val="007F3179"/>
    <w:pPr>
      <w:tabs>
        <w:tab w:val="left" w:pos="720"/>
      </w:tabs>
      <w:spacing w:after="0"/>
      <w:ind w:left="720" w:hanging="360"/>
    </w:pPr>
    <w:rPr>
      <w:rFonts w:eastAsia="Times New Roman"/>
      <w:sz w:val="22"/>
    </w:rPr>
  </w:style>
  <w:style w:type="table" w:styleId="TableGrid">
    <w:name w:val="Table Grid"/>
    <w:basedOn w:val="TableNormal"/>
    <w:rsid w:val="007F3179"/>
    <w:pPr>
      <w:tabs>
        <w:tab w:val="left" w:pos="720"/>
      </w:tabs>
      <w:spacing w:after="0"/>
      <w:jc w:val="both"/>
    </w:pPr>
    <w:rPr>
      <w:rFonts w:ascii="Times New Roman" w:eastAsia="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7">
    <w:name w:val="index 7"/>
    <w:basedOn w:val="Normal"/>
    <w:next w:val="Normal"/>
    <w:autoRedefine/>
    <w:rsid w:val="007F3179"/>
    <w:pPr>
      <w:spacing w:after="0"/>
      <w:ind w:left="1540" w:hanging="220"/>
    </w:pPr>
    <w:rPr>
      <w:rFonts w:eastAsia="Times New Roman"/>
      <w:sz w:val="22"/>
    </w:rPr>
  </w:style>
  <w:style w:type="paragraph" w:styleId="List">
    <w:name w:val="List"/>
    <w:basedOn w:val="Normal"/>
    <w:rsid w:val="007F3179"/>
    <w:pPr>
      <w:tabs>
        <w:tab w:val="left" w:pos="720"/>
      </w:tabs>
      <w:spacing w:after="0"/>
      <w:ind w:left="360" w:hanging="360"/>
    </w:pPr>
    <w:rPr>
      <w:rFonts w:eastAsia="Times New Roman"/>
      <w:sz w:val="22"/>
    </w:rPr>
  </w:style>
  <w:style w:type="paragraph" w:styleId="List3">
    <w:name w:val="List 3"/>
    <w:basedOn w:val="Normal"/>
    <w:rsid w:val="007F3179"/>
    <w:pPr>
      <w:tabs>
        <w:tab w:val="left" w:pos="720"/>
      </w:tabs>
      <w:spacing w:after="0"/>
      <w:ind w:left="1080" w:hanging="360"/>
    </w:pPr>
    <w:rPr>
      <w:rFonts w:eastAsia="Times New Roman"/>
      <w:sz w:val="22"/>
    </w:rPr>
  </w:style>
  <w:style w:type="paragraph" w:styleId="List4">
    <w:name w:val="List 4"/>
    <w:basedOn w:val="Normal"/>
    <w:rsid w:val="007F3179"/>
    <w:pPr>
      <w:tabs>
        <w:tab w:val="left" w:pos="720"/>
      </w:tabs>
      <w:spacing w:after="0"/>
      <w:ind w:left="1440" w:hanging="360"/>
    </w:pPr>
    <w:rPr>
      <w:rFonts w:eastAsia="Times New Roman"/>
      <w:sz w:val="22"/>
    </w:rPr>
  </w:style>
  <w:style w:type="paragraph" w:styleId="List5">
    <w:name w:val="List 5"/>
    <w:basedOn w:val="Normal"/>
    <w:rsid w:val="007F3179"/>
    <w:pPr>
      <w:tabs>
        <w:tab w:val="left" w:pos="720"/>
      </w:tabs>
      <w:spacing w:after="0"/>
      <w:ind w:left="1800" w:hanging="360"/>
    </w:pPr>
    <w:rPr>
      <w:rFonts w:eastAsia="Times New Roman"/>
      <w:sz w:val="22"/>
    </w:rPr>
  </w:style>
  <w:style w:type="paragraph" w:styleId="ListContinue">
    <w:name w:val="List Continue"/>
    <w:basedOn w:val="Normal"/>
    <w:rsid w:val="007F3179"/>
    <w:pPr>
      <w:tabs>
        <w:tab w:val="left" w:pos="720"/>
      </w:tabs>
      <w:spacing w:after="120"/>
      <w:ind w:left="360"/>
    </w:pPr>
    <w:rPr>
      <w:rFonts w:eastAsia="Times New Roman"/>
      <w:sz w:val="22"/>
    </w:rPr>
  </w:style>
  <w:style w:type="paragraph" w:styleId="ListContinue2">
    <w:name w:val="List Continue 2"/>
    <w:basedOn w:val="Normal"/>
    <w:rsid w:val="007F3179"/>
    <w:pPr>
      <w:tabs>
        <w:tab w:val="left" w:pos="720"/>
      </w:tabs>
      <w:spacing w:after="120"/>
      <w:ind w:left="720"/>
    </w:pPr>
    <w:rPr>
      <w:rFonts w:eastAsia="Times New Roman"/>
      <w:sz w:val="22"/>
    </w:rPr>
  </w:style>
  <w:style w:type="paragraph" w:styleId="ListContinue3">
    <w:name w:val="List Continue 3"/>
    <w:basedOn w:val="Normal"/>
    <w:rsid w:val="007F3179"/>
    <w:pPr>
      <w:tabs>
        <w:tab w:val="left" w:pos="720"/>
      </w:tabs>
      <w:spacing w:after="120"/>
      <w:ind w:left="1080"/>
    </w:pPr>
    <w:rPr>
      <w:rFonts w:eastAsia="Times New Roman"/>
      <w:sz w:val="22"/>
    </w:rPr>
  </w:style>
  <w:style w:type="paragraph" w:styleId="ListContinue4">
    <w:name w:val="List Continue 4"/>
    <w:basedOn w:val="Normal"/>
    <w:rsid w:val="007F3179"/>
    <w:pPr>
      <w:tabs>
        <w:tab w:val="left" w:pos="720"/>
      </w:tabs>
      <w:spacing w:after="120"/>
      <w:ind w:left="1440"/>
    </w:pPr>
    <w:rPr>
      <w:rFonts w:eastAsia="Times New Roman"/>
      <w:sz w:val="22"/>
    </w:rPr>
  </w:style>
  <w:style w:type="paragraph" w:styleId="ListContinue5">
    <w:name w:val="List Continue 5"/>
    <w:basedOn w:val="Normal"/>
    <w:rsid w:val="007F3179"/>
    <w:pPr>
      <w:tabs>
        <w:tab w:val="left" w:pos="720"/>
      </w:tabs>
      <w:spacing w:after="120"/>
      <w:ind w:left="1800"/>
    </w:pPr>
    <w:rPr>
      <w:rFonts w:eastAsia="Times New Roman"/>
      <w:sz w:val="22"/>
    </w:rPr>
  </w:style>
  <w:style w:type="paragraph" w:styleId="MessageHeader">
    <w:name w:val="Message Header"/>
    <w:basedOn w:val="Normal"/>
    <w:link w:val="MessageHeaderChar"/>
    <w:rsid w:val="007F3179"/>
    <w:pPr>
      <w:pBdr>
        <w:top w:val="single" w:sz="6" w:space="1" w:color="auto"/>
        <w:left w:val="single" w:sz="6" w:space="1" w:color="auto"/>
        <w:bottom w:val="single" w:sz="6" w:space="1" w:color="auto"/>
        <w:right w:val="single" w:sz="6" w:space="1" w:color="auto"/>
      </w:pBdr>
      <w:shd w:val="pct20" w:color="auto" w:fill="auto"/>
      <w:tabs>
        <w:tab w:val="left" w:pos="720"/>
      </w:tabs>
      <w:spacing w:after="0"/>
      <w:ind w:left="1080" w:hanging="1080"/>
    </w:pPr>
    <w:rPr>
      <w:rFonts w:ascii="Arial" w:eastAsia="Times New Roman" w:hAnsi="Arial"/>
    </w:rPr>
  </w:style>
  <w:style w:type="character" w:customStyle="1" w:styleId="MessageHeaderChar">
    <w:name w:val="Message Header Char"/>
    <w:basedOn w:val="DefaultParagraphFont"/>
    <w:link w:val="MessageHeader"/>
    <w:rsid w:val="007F3179"/>
    <w:rPr>
      <w:rFonts w:ascii="Arial" w:eastAsia="Times New Roman" w:hAnsi="Arial" w:cs="Times New Roman"/>
      <w:szCs w:val="20"/>
      <w:shd w:val="pct20" w:color="auto" w:fill="auto"/>
    </w:rPr>
  </w:style>
  <w:style w:type="paragraph" w:styleId="NormalIndent">
    <w:name w:val="Normal Indent"/>
    <w:basedOn w:val="Normal"/>
    <w:rsid w:val="007F3179"/>
    <w:pPr>
      <w:tabs>
        <w:tab w:val="left" w:pos="720"/>
      </w:tabs>
      <w:spacing w:after="0"/>
      <w:ind w:left="720"/>
    </w:pPr>
    <w:rPr>
      <w:rFonts w:eastAsia="Times New Roman"/>
      <w:sz w:val="22"/>
    </w:rPr>
  </w:style>
  <w:style w:type="paragraph" w:styleId="NoteHeading">
    <w:name w:val="Note Heading"/>
    <w:basedOn w:val="Normal"/>
    <w:next w:val="Normal"/>
    <w:link w:val="NoteHeadingChar"/>
    <w:rsid w:val="007F3179"/>
    <w:pPr>
      <w:tabs>
        <w:tab w:val="left" w:pos="720"/>
      </w:tabs>
      <w:spacing w:after="0"/>
    </w:pPr>
    <w:rPr>
      <w:rFonts w:eastAsia="Times New Roman"/>
      <w:sz w:val="22"/>
    </w:rPr>
  </w:style>
  <w:style w:type="character" w:customStyle="1" w:styleId="NoteHeadingChar">
    <w:name w:val="Note Heading Char"/>
    <w:basedOn w:val="DefaultParagraphFont"/>
    <w:link w:val="NoteHeading"/>
    <w:rsid w:val="007F3179"/>
    <w:rPr>
      <w:rFonts w:ascii="Times New Roman" w:eastAsia="Times New Roman" w:hAnsi="Times New Roman" w:cs="Times New Roman"/>
      <w:sz w:val="22"/>
      <w:szCs w:val="20"/>
    </w:rPr>
  </w:style>
  <w:style w:type="paragraph" w:styleId="Salutation">
    <w:name w:val="Salutation"/>
    <w:basedOn w:val="Normal"/>
    <w:next w:val="Normal"/>
    <w:link w:val="SalutationChar"/>
    <w:rsid w:val="007F3179"/>
    <w:pPr>
      <w:tabs>
        <w:tab w:val="left" w:pos="720"/>
      </w:tabs>
      <w:spacing w:after="0"/>
    </w:pPr>
    <w:rPr>
      <w:rFonts w:eastAsia="Times New Roman"/>
      <w:sz w:val="22"/>
    </w:rPr>
  </w:style>
  <w:style w:type="character" w:customStyle="1" w:styleId="SalutationChar">
    <w:name w:val="Salutation Char"/>
    <w:basedOn w:val="DefaultParagraphFont"/>
    <w:link w:val="Salutation"/>
    <w:rsid w:val="007F3179"/>
    <w:rPr>
      <w:rFonts w:ascii="Times New Roman" w:eastAsia="Times New Roman" w:hAnsi="Times New Roman" w:cs="Times New Roman"/>
      <w:sz w:val="22"/>
      <w:szCs w:val="20"/>
    </w:rPr>
  </w:style>
  <w:style w:type="paragraph" w:styleId="Signature">
    <w:name w:val="Signature"/>
    <w:basedOn w:val="Normal"/>
    <w:link w:val="SignatureChar"/>
    <w:rsid w:val="007F3179"/>
    <w:pPr>
      <w:tabs>
        <w:tab w:val="left" w:pos="720"/>
      </w:tabs>
      <w:spacing w:after="0"/>
      <w:ind w:left="4320"/>
    </w:pPr>
    <w:rPr>
      <w:rFonts w:eastAsia="Times New Roman"/>
      <w:sz w:val="22"/>
    </w:rPr>
  </w:style>
  <w:style w:type="character" w:customStyle="1" w:styleId="SignatureChar">
    <w:name w:val="Signature Char"/>
    <w:basedOn w:val="DefaultParagraphFont"/>
    <w:link w:val="Signature"/>
    <w:rsid w:val="007F3179"/>
    <w:rPr>
      <w:rFonts w:ascii="Times New Roman" w:eastAsia="Times New Roman" w:hAnsi="Times New Roman" w:cs="Times New Roman"/>
      <w:sz w:val="22"/>
      <w:szCs w:val="20"/>
    </w:rPr>
  </w:style>
  <w:style w:type="paragraph" w:styleId="Subtitle">
    <w:name w:val="Subtitle"/>
    <w:basedOn w:val="Normal"/>
    <w:link w:val="SubtitleChar"/>
    <w:rsid w:val="007F3179"/>
    <w:pPr>
      <w:tabs>
        <w:tab w:val="left" w:pos="720"/>
      </w:tabs>
      <w:spacing w:after="60"/>
      <w:jc w:val="center"/>
      <w:outlineLvl w:val="1"/>
    </w:pPr>
    <w:rPr>
      <w:rFonts w:ascii="Arial" w:eastAsia="Times New Roman" w:hAnsi="Arial"/>
    </w:rPr>
  </w:style>
  <w:style w:type="character" w:customStyle="1" w:styleId="SubtitleChar">
    <w:name w:val="Subtitle Char"/>
    <w:basedOn w:val="DefaultParagraphFont"/>
    <w:link w:val="Subtitle"/>
    <w:rsid w:val="007F3179"/>
    <w:rPr>
      <w:rFonts w:ascii="Arial" w:eastAsia="Times New Roman" w:hAnsi="Arial" w:cs="Times New Roman"/>
      <w:szCs w:val="20"/>
    </w:rPr>
  </w:style>
  <w:style w:type="paragraph" w:styleId="Title">
    <w:name w:val="Title"/>
    <w:basedOn w:val="Normal"/>
    <w:link w:val="TitleChar"/>
    <w:rsid w:val="007F3179"/>
    <w:pPr>
      <w:tabs>
        <w:tab w:val="left" w:pos="720"/>
      </w:tabs>
      <w:spacing w:before="240" w:after="60"/>
      <w:jc w:val="center"/>
      <w:outlineLvl w:val="0"/>
    </w:pPr>
    <w:rPr>
      <w:rFonts w:ascii="Arial" w:eastAsia="Times New Roman" w:hAnsi="Arial"/>
      <w:b/>
      <w:kern w:val="28"/>
      <w:sz w:val="32"/>
    </w:rPr>
  </w:style>
  <w:style w:type="character" w:customStyle="1" w:styleId="TitleChar">
    <w:name w:val="Title Char"/>
    <w:basedOn w:val="DefaultParagraphFont"/>
    <w:link w:val="Title"/>
    <w:rsid w:val="007F3179"/>
    <w:rPr>
      <w:rFonts w:ascii="Arial" w:eastAsia="Times New Roman" w:hAnsi="Arial" w:cs="Times New Roman"/>
      <w:b/>
      <w:kern w:val="28"/>
      <w:sz w:val="32"/>
      <w:szCs w:val="20"/>
    </w:rPr>
  </w:style>
  <w:style w:type="character" w:styleId="CommentReference">
    <w:name w:val="annotation reference"/>
    <w:basedOn w:val="DefaultParagraphFont"/>
    <w:rsid w:val="007F3179"/>
    <w:rPr>
      <w:sz w:val="16"/>
      <w:szCs w:val="16"/>
    </w:rPr>
  </w:style>
  <w:style w:type="paragraph" w:styleId="CommentText">
    <w:name w:val="annotation text"/>
    <w:basedOn w:val="Normal"/>
    <w:link w:val="CommentTextChar"/>
    <w:rsid w:val="007F3179"/>
    <w:pPr>
      <w:spacing w:after="0"/>
    </w:pPr>
    <w:rPr>
      <w:rFonts w:eastAsia="Times New Roman"/>
      <w:sz w:val="20"/>
    </w:rPr>
  </w:style>
  <w:style w:type="character" w:customStyle="1" w:styleId="CommentTextChar">
    <w:name w:val="Comment Text Char"/>
    <w:basedOn w:val="DefaultParagraphFont"/>
    <w:link w:val="CommentText"/>
    <w:rsid w:val="007F317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7F3179"/>
    <w:rPr>
      <w:b/>
      <w:bCs/>
    </w:rPr>
  </w:style>
  <w:style w:type="character" w:customStyle="1" w:styleId="CommentSubjectChar">
    <w:name w:val="Comment Subject Char"/>
    <w:basedOn w:val="CommentTextChar"/>
    <w:link w:val="CommentSubject"/>
    <w:rsid w:val="007F3179"/>
    <w:rPr>
      <w:rFonts w:ascii="Times New Roman" w:eastAsia="Times New Roman" w:hAnsi="Times New Roman" w:cs="Times New Roman"/>
      <w:b/>
      <w:bCs/>
      <w:sz w:val="20"/>
      <w:szCs w:val="20"/>
    </w:rPr>
  </w:style>
  <w:style w:type="paragraph" w:customStyle="1" w:styleId="Table">
    <w:name w:val="Table"/>
    <w:basedOn w:val="Normal"/>
    <w:rsid w:val="007F3179"/>
    <w:pPr>
      <w:numPr>
        <w:numId w:val="16"/>
      </w:numPr>
      <w:tabs>
        <w:tab w:val="clear" w:pos="1080"/>
        <w:tab w:val="num" w:pos="1440"/>
      </w:tabs>
      <w:spacing w:after="0"/>
      <w:ind w:left="1080"/>
    </w:pPr>
    <w:rPr>
      <w:rFonts w:ascii="Arial" w:eastAsia="Times New Roman" w:hAnsi="Arial"/>
    </w:rPr>
  </w:style>
  <w:style w:type="paragraph" w:customStyle="1" w:styleId="Text">
    <w:name w:val="Text"/>
    <w:basedOn w:val="Normal"/>
    <w:rsid w:val="007F3179"/>
    <w:pPr>
      <w:widowControl w:val="0"/>
      <w:spacing w:after="0" w:line="252" w:lineRule="auto"/>
      <w:ind w:firstLine="240"/>
    </w:pPr>
    <w:rPr>
      <w:rFonts w:eastAsia="Times New Roman"/>
      <w:sz w:val="20"/>
    </w:rPr>
  </w:style>
  <w:style w:type="paragraph" w:customStyle="1" w:styleId="References">
    <w:name w:val="References"/>
    <w:basedOn w:val="ListNumber"/>
    <w:rsid w:val="007F3179"/>
    <w:pPr>
      <w:numPr>
        <w:numId w:val="17"/>
      </w:numPr>
      <w:tabs>
        <w:tab w:val="clear" w:pos="720"/>
      </w:tabs>
    </w:pPr>
    <w:rPr>
      <w:sz w:val="16"/>
    </w:rPr>
  </w:style>
  <w:style w:type="paragraph" w:styleId="ListParagraph">
    <w:name w:val="List Paragraph"/>
    <w:basedOn w:val="Normal"/>
    <w:uiPriority w:val="34"/>
    <w:rsid w:val="007F3179"/>
    <w:pPr>
      <w:spacing w:after="0"/>
      <w:ind w:left="720"/>
      <w:contextualSpacing/>
    </w:pPr>
    <w:rPr>
      <w:rFonts w:eastAsia="Times New Roman"/>
      <w:sz w:val="20"/>
    </w:rPr>
  </w:style>
  <w:style w:type="paragraph" w:styleId="TOCHeading">
    <w:name w:val="TOC Heading"/>
    <w:basedOn w:val="Heading1"/>
    <w:next w:val="Normal"/>
    <w:uiPriority w:val="39"/>
    <w:unhideWhenUsed/>
    <w:rsid w:val="00D20C24"/>
    <w:pPr>
      <w:keepLines/>
      <w:spacing w:line="276" w:lineRule="auto"/>
      <w:jc w:val="left"/>
      <w:outlineLvl w:val="9"/>
    </w:pPr>
    <w:rPr>
      <w:rFonts w:asciiTheme="majorHAnsi" w:eastAsiaTheme="majorEastAsia" w:hAnsiTheme="majorHAnsi" w:cstheme="majorBidi"/>
      <w:bCs/>
      <w:color w:val="365F91" w:themeColor="accent1" w:themeShade="BF"/>
    </w:rPr>
  </w:style>
  <w:style w:type="paragraph" w:customStyle="1" w:styleId="equation">
    <w:name w:val="equation"/>
    <w:basedOn w:val="Normal"/>
    <w:rsid w:val="00075370"/>
    <w:pPr>
      <w:tabs>
        <w:tab w:val="center" w:pos="2520"/>
        <w:tab w:val="right" w:pos="5040"/>
      </w:tabs>
      <w:spacing w:before="240" w:after="240" w:line="216" w:lineRule="auto"/>
      <w:jc w:val="center"/>
    </w:pPr>
    <w:rPr>
      <w:rFonts w:ascii="Symbol" w:eastAsia="Times New Roman" w:hAnsi="Symbol" w:cs="Symbol"/>
      <w:sz w:val="20"/>
    </w:rPr>
  </w:style>
  <w:style w:type="paragraph" w:customStyle="1" w:styleId="tablecolhead">
    <w:name w:val="table col head"/>
    <w:basedOn w:val="Normal"/>
    <w:rsid w:val="00075370"/>
    <w:pPr>
      <w:spacing w:after="0"/>
      <w:jc w:val="center"/>
    </w:pPr>
    <w:rPr>
      <w:rFonts w:eastAsia="Times New Roman"/>
      <w:b/>
      <w:bCs/>
      <w:sz w:val="16"/>
      <w:szCs w:val="16"/>
    </w:rPr>
  </w:style>
  <w:style w:type="paragraph" w:customStyle="1" w:styleId="tablecolsubhead">
    <w:name w:val="table col subhead"/>
    <w:basedOn w:val="tablecolhead"/>
    <w:rsid w:val="00075370"/>
    <w:rPr>
      <w:i/>
      <w:iCs/>
      <w:sz w:val="15"/>
      <w:szCs w:val="15"/>
    </w:rPr>
  </w:style>
  <w:style w:type="paragraph" w:customStyle="1" w:styleId="tablecopy">
    <w:name w:val="table copy"/>
    <w:rsid w:val="00075370"/>
    <w:pPr>
      <w:spacing w:after="0"/>
      <w:jc w:val="both"/>
    </w:pPr>
    <w:rPr>
      <w:rFonts w:ascii="Times New Roman" w:eastAsia="Times New Roman" w:hAnsi="Times New Roman"/>
      <w:noProof/>
      <w:sz w:val="16"/>
      <w:szCs w:val="16"/>
    </w:rPr>
  </w:style>
  <w:style w:type="character" w:styleId="Strong">
    <w:name w:val="Strong"/>
    <w:rsid w:val="00075370"/>
    <w:rPr>
      <w:b/>
      <w:bCs/>
    </w:rPr>
  </w:style>
  <w:style w:type="paragraph" w:customStyle="1" w:styleId="Copyright">
    <w:name w:val="Copyright"/>
    <w:basedOn w:val="Normal"/>
    <w:qFormat/>
    <w:rsid w:val="000A6261"/>
    <w:pPr>
      <w:spacing w:after="0"/>
    </w:pPr>
    <w:rPr>
      <w:rFonts w:ascii="Arial" w:hAnsi="Arial"/>
      <w:b/>
      <w:color w:val="FFFFFF" w:themeColor="background1"/>
      <w:sz w:val="28"/>
    </w:rPr>
  </w:style>
  <w:style w:type="paragraph" w:customStyle="1" w:styleId="CIGREtext">
    <w:name w:val="CIGRE_text"/>
    <w:basedOn w:val="Normal"/>
    <w:rsid w:val="00AE13E5"/>
    <w:pPr>
      <w:tabs>
        <w:tab w:val="left" w:pos="720"/>
      </w:tabs>
      <w:spacing w:after="180"/>
    </w:pPr>
    <w:rPr>
      <w:rFonts w:eastAsia="Times New Roman"/>
      <w:sz w:val="22"/>
    </w:rPr>
  </w:style>
  <w:style w:type="paragraph" w:customStyle="1" w:styleId="CIGREChapterTitle">
    <w:name w:val="CIGRE_Chapter_Title"/>
    <w:basedOn w:val="Normal"/>
    <w:rsid w:val="00AE13E5"/>
    <w:pPr>
      <w:tabs>
        <w:tab w:val="num" w:pos="720"/>
      </w:tabs>
      <w:spacing w:after="120"/>
      <w:ind w:left="720" w:hanging="720"/>
    </w:pPr>
    <w:rPr>
      <w:rFonts w:ascii="Arial" w:eastAsia="Times New Roman" w:hAnsi="Arial"/>
      <w:b/>
      <w:sz w:val="32"/>
    </w:rPr>
  </w:style>
  <w:style w:type="paragraph" w:customStyle="1" w:styleId="CIGREHeading2">
    <w:name w:val="CIGRE_Heading_2"/>
    <w:basedOn w:val="Heading2"/>
    <w:rsid w:val="00AE13E5"/>
    <w:pPr>
      <w:numPr>
        <w:ilvl w:val="0"/>
        <w:numId w:val="0"/>
      </w:numPr>
      <w:tabs>
        <w:tab w:val="num" w:pos="720"/>
      </w:tabs>
      <w:spacing w:before="0" w:after="120"/>
      <w:ind w:left="720" w:hanging="720"/>
    </w:pPr>
    <w:rPr>
      <w:rFonts w:eastAsia="Times New Roman" w:cs="Times New Roman"/>
      <w:szCs w:val="20"/>
    </w:rPr>
  </w:style>
  <w:style w:type="paragraph" w:customStyle="1" w:styleId="CIGREHeading3">
    <w:name w:val="CIGRE_Heading_3"/>
    <w:basedOn w:val="Normal"/>
    <w:rsid w:val="00AE13E5"/>
    <w:pPr>
      <w:tabs>
        <w:tab w:val="num" w:pos="720"/>
      </w:tabs>
      <w:spacing w:after="120"/>
      <w:ind w:left="720" w:hanging="720"/>
    </w:pPr>
    <w:rPr>
      <w:rFonts w:ascii="Arial" w:eastAsia="Times New Roman" w:hAnsi="Arial"/>
      <w:b/>
      <w:sz w:val="22"/>
      <w:szCs w:val="22"/>
    </w:rPr>
  </w:style>
  <w:style w:type="paragraph" w:customStyle="1" w:styleId="CIGREHeading4">
    <w:name w:val="CIGRE_Heading_4"/>
    <w:rsid w:val="00AE13E5"/>
    <w:pPr>
      <w:tabs>
        <w:tab w:val="left" w:pos="720"/>
      </w:tabs>
      <w:spacing w:after="120"/>
      <w:ind w:left="720" w:hanging="720"/>
    </w:pPr>
    <w:rPr>
      <w:rFonts w:ascii="Times New Roman" w:eastAsia="Times New Roman" w:hAnsi="Times New Roman"/>
      <w:i/>
      <w:sz w:val="22"/>
      <w:szCs w:val="22"/>
    </w:rPr>
  </w:style>
  <w:style w:type="paragraph" w:customStyle="1" w:styleId="HeadingA1">
    <w:name w:val="Heading A1"/>
    <w:basedOn w:val="Heading1"/>
    <w:next w:val="Normal"/>
    <w:qFormat/>
    <w:rsid w:val="004E1808"/>
    <w:pPr>
      <w:pageBreakBefore/>
      <w:numPr>
        <w:numId w:val="45"/>
      </w:numPr>
    </w:pPr>
    <w:rPr>
      <w:szCs w:val="24"/>
    </w:rPr>
  </w:style>
  <w:style w:type="paragraph" w:customStyle="1" w:styleId="HeadingA2">
    <w:name w:val="Heading A2"/>
    <w:basedOn w:val="Heading2"/>
    <w:next w:val="Normal"/>
    <w:qFormat/>
    <w:rsid w:val="004E1808"/>
    <w:pPr>
      <w:numPr>
        <w:numId w:val="45"/>
      </w:numPr>
    </w:pPr>
  </w:style>
  <w:style w:type="paragraph" w:customStyle="1" w:styleId="HeadingA3">
    <w:name w:val="Heading A3"/>
    <w:basedOn w:val="Heading3"/>
    <w:next w:val="Normal"/>
    <w:qFormat/>
    <w:rsid w:val="004E1808"/>
    <w:pPr>
      <w:numPr>
        <w:numId w:val="45"/>
      </w:numPr>
    </w:pPr>
  </w:style>
  <w:style w:type="paragraph" w:customStyle="1" w:styleId="HeadingA4">
    <w:name w:val="Heading A4"/>
    <w:basedOn w:val="Heading3"/>
    <w:next w:val="Normal"/>
    <w:qFormat/>
    <w:rsid w:val="004E1808"/>
    <w:pPr>
      <w:numPr>
        <w:ilvl w:val="3"/>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3443536-F8C4-4E87-8F83-D1402F9F8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2172</Words>
  <Characters>12385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Tennessee Valley Authority</Company>
  <LinksUpToDate>false</LinksUpToDate>
  <CharactersWithSpaces>14528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 of</dc:creator>
  <cp:lastModifiedBy>Pepin, Shana M.</cp:lastModifiedBy>
  <cp:revision>3</cp:revision>
  <cp:lastPrinted>2015-11-19T00:47:00Z</cp:lastPrinted>
  <dcterms:created xsi:type="dcterms:W3CDTF">2019-02-01T20:45:00Z</dcterms:created>
  <dcterms:modified xsi:type="dcterms:W3CDTF">2019-02-01T20:49:00Z</dcterms:modified>
</cp:coreProperties>
</file>