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i w:val="0"/>
          <w:color w:val="0F374E"/>
          <w:sz w:val="40"/>
        </w:rPr>
        <w:t>How the Carbon-Aware AI Model Selection Project Was Built</w:t>
      </w:r>
    </w:p>
    <w:p>
      <w:pPr>
        <w:spacing w:after="120" w:line="259" w:lineRule="auto"/>
        <w:jc w:val="center"/>
      </w:pPr>
      <w:r>
        <w:rPr>
          <w:rFonts w:ascii="Aptos" w:hAnsi="Aptos" w:eastAsia="Aptos"/>
          <w:b/>
          <w:i w:val="0"/>
          <w:color w:val="465660"/>
          <w:sz w:val="25"/>
        </w:rPr>
        <w:t>A reproducibility and methodology companion for the PS26 project</w:t>
      </w:r>
    </w:p>
    <w:p>
      <w:pPr>
        <w:spacing w:after="120" w:line="259" w:lineRule="auto"/>
        <w:jc w:val="center"/>
      </w:pPr>
      <w:r>
        <w:rPr>
          <w:rFonts w:ascii="Aptos" w:hAnsi="Aptos" w:eastAsia="Aptos"/>
          <w:b w:val="0"/>
          <w:i w:val="0"/>
          <w:color w:val="1E2A37"/>
          <w:sz w:val="21"/>
        </w:rPr>
        <w:t>This document explains the complete workflow used to create the data assets, notebooks, figures, tables, workflow diagram, posters, and IEEE/PES-style technical report.</w:t>
      </w:r>
    </w:p>
    <w:p>
      <w:pPr>
        <w:jc w:val="center"/>
      </w:pPr>
      <w:r>
        <w:drawing>
          <wp:inline xmlns:a="http://schemas.openxmlformats.org/drawingml/2006/main" xmlns:pic="http://schemas.openxmlformats.org/drawingml/2006/picture">
            <wp:extent cx="6035040" cy="2617387"/>
            <wp:docPr id="1" name="Picture 1" title="Fig" descr="Fig. 1. Structured workflow used to build and audit the project assets."/>
            <wp:cNvGraphicFramePr>
              <a:graphicFrameLocks noChangeAspect="1"/>
            </wp:cNvGraphicFramePr>
            <a:graphic>
              <a:graphicData uri="http://schemas.openxmlformats.org/drawingml/2006/picture">
                <pic:pic>
                  <pic:nvPicPr>
                    <pic:cNvPr id="0" name="workflow_structured_ai_esg_style.png"/>
                    <pic:cNvPicPr/>
                  </pic:nvPicPr>
                  <pic:blipFill>
                    <a:blip r:embed="rId11"/>
                    <a:stretch>
                      <a:fillRect/>
                    </a:stretch>
                  </pic:blipFill>
                  <pic:spPr>
                    <a:xfrm>
                      <a:off x="0" y="0"/>
                      <a:ext cx="6035040" cy="2617387"/>
                    </a:xfrm>
                    <a:prstGeom prst="rect"/>
                  </pic:spPr>
                </pic:pic>
              </a:graphicData>
            </a:graphic>
          </wp:inline>
        </w:drawing>
      </w:r>
    </w:p>
    <w:p>
      <w:pPr>
        <w:spacing w:after="120" w:line="259" w:lineRule="auto"/>
        <w:jc w:val="center"/>
      </w:pPr>
      <w:r>
        <w:rPr>
          <w:rFonts w:ascii="Aptos" w:hAnsi="Aptos" w:eastAsia="Aptos"/>
          <w:b/>
          <w:i w:val="0"/>
          <w:color w:val="1E2A37"/>
          <w:sz w:val="17"/>
        </w:rPr>
        <w:t>Fig. 1. Structured workflow used to build and audit the project assets.</w:t>
      </w:r>
    </w:p>
    <w:p>
      <w:pPr>
        <w:spacing w:before="240" w:after="100"/>
      </w:pPr>
      <w:r>
        <w:rPr>
          <w:rFonts w:ascii="Aptos" w:hAnsi="Aptos" w:eastAsia="Aptos"/>
          <w:b/>
          <w:i w:val="0"/>
          <w:color w:val="0F374E"/>
          <w:sz w:val="30"/>
        </w:rPr>
        <w:t>1. Project Objective</w:t>
      </w:r>
    </w:p>
    <w:p>
      <w:pPr>
        <w:spacing w:after="120" w:line="259" w:lineRule="auto"/>
      </w:pPr>
      <w:r>
        <w:rPr>
          <w:rFonts w:ascii="Aptos" w:hAnsi="Aptos" w:eastAsia="Aptos"/>
          <w:b w:val="0"/>
          <w:i w:val="0"/>
          <w:color w:val="1E2A37"/>
          <w:sz w:val="21"/>
        </w:rPr>
        <w:t>The project studies model selection for German power-system analytics as a responsible AI problem. Instead of ranking machine-learning models only by predictive accuracy, the analysis compares accuracy, F1-score, ROC-AUC, runtime, serialized model size, and a transparent carbon proxy. The final empirical task predicts whether German electricity load 24 hours ahead enters the highest quintile of observed demand.</w:t>
      </w:r>
    </w:p>
    <w:p>
      <w:pPr>
        <w:spacing w:before="240" w:after="100"/>
      </w:pPr>
      <w:r>
        <w:rPr>
          <w:rFonts w:ascii="Aptos" w:hAnsi="Aptos" w:eastAsia="Aptos"/>
          <w:b/>
          <w:i w:val="0"/>
          <w:color w:val="0F374E"/>
          <w:sz w:val="30"/>
        </w:rPr>
        <w:t>2. Data Source and Access Link</w:t>
      </w:r>
    </w:p>
    <w:p>
      <w:pPr>
        <w:spacing w:after="120" w:line="259" w:lineRule="auto"/>
      </w:pPr>
      <w:r>
        <w:rPr>
          <w:rFonts w:ascii="Aptos" w:hAnsi="Aptos" w:eastAsia="Aptos"/>
          <w:b w:val="0"/>
          <w:i w:val="0"/>
          <w:color w:val="1E2A37"/>
          <w:sz w:val="21"/>
        </w:rPr>
        <w:t>The raw dataset is Open Power System Data (OPSD) Time Series, version 2020-10-06. It contains load, wind and solar generation, prices, and capacities in hourly resolution, with variables aggregated by country, bidding zone, or control area. The project uses Germany-specific load, forecast, wind, solar, and TSO-zone variables.</w:t>
      </w:r>
    </w:p>
    <w:p>
      <w:pPr>
        <w:spacing w:after="120" w:line="259" w:lineRule="auto"/>
        <w:jc w:val="center"/>
      </w:pPr>
      <w:r>
        <w:rPr>
          <w:rFonts w:ascii="Aptos" w:hAnsi="Aptos" w:eastAsia="Aptos"/>
          <w:b/>
          <w:i w:val="0"/>
          <w:color w:val="0F374E"/>
          <w:sz w:val="20"/>
        </w:rPr>
        <w:t>TABLE 1. Data source link and local project files.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DCEAF7"/>
            <w:vAlign w:val="center"/>
          </w:tcPr>
          <w:p>
            <w:pPr>
              <w:jc w:val="center"/>
            </w:pPr>
            <w:r/>
            <w:r>
              <w:rPr>
                <w:rFonts w:ascii="Aptos" w:hAnsi="Aptos" w:eastAsia="Aptos"/>
                <w:b/>
                <w:i w:val="0"/>
                <w:color w:val="192734"/>
                <w:sz w:val="17"/>
              </w:rPr>
              <w:t>Item</w:t>
            </w:r>
          </w:p>
        </w:tc>
        <w:tc>
          <w:tcPr>
            <w:tcW w:type="dxa" w:w="5040"/>
            <w:shd w:fill="DCEAF7"/>
            <w:vAlign w:val="center"/>
          </w:tcPr>
          <w:p>
            <w:pPr>
              <w:jc w:val="center"/>
            </w:pPr>
            <w:r/>
            <w:r>
              <w:rPr>
                <w:rFonts w:ascii="Aptos" w:hAnsi="Aptos" w:eastAsia="Aptos"/>
                <w:b/>
                <w:i w:val="0"/>
                <w:color w:val="192734"/>
                <w:sz w:val="17"/>
              </w:rPr>
              <w:t>Value</w:t>
            </w:r>
          </w:p>
        </w:tc>
      </w:tr>
      <w:tr>
        <w:tc>
          <w:tcPr>
            <w:tcW w:type="dxa" w:w="5040"/>
            <w:vAlign w:val="center"/>
          </w:tcPr>
          <w:p>
            <w:r/>
            <w:r>
              <w:rPr>
                <w:rFonts w:ascii="Aptos" w:hAnsi="Aptos" w:eastAsia="Aptos"/>
                <w:b w:val="0"/>
                <w:i w:val="0"/>
                <w:color w:val="192734"/>
                <w:sz w:val="16"/>
              </w:rPr>
              <w:t>Direct CSV link</w:t>
            </w:r>
          </w:p>
        </w:tc>
        <w:tc>
          <w:tcPr>
            <w:tcW w:type="dxa" w:w="5040"/>
            <w:vAlign w:val="center"/>
          </w:tcPr>
          <w:p>
            <w:pPr>
              <w:jc w:val="center"/>
            </w:pPr>
            <w:r/>
            <w:r>
              <w:rPr>
                <w:rFonts w:ascii="Aptos" w:hAnsi="Aptos" w:eastAsia="Aptos"/>
                <w:b w:val="0"/>
                <w:i w:val="0"/>
                <w:color w:val="192734"/>
                <w:sz w:val="16"/>
              </w:rPr>
              <w:t>https://data.open-power-system-data.org/time_series/2020-10-06/time_series_60min_singleindex.csv</w:t>
            </w:r>
          </w:p>
        </w:tc>
      </w:tr>
      <w:tr>
        <w:tc>
          <w:tcPr>
            <w:tcW w:type="dxa" w:w="5040"/>
            <w:vAlign w:val="center"/>
          </w:tcPr>
          <w:p>
            <w:r/>
            <w:r>
              <w:rPr>
                <w:rFonts w:ascii="Aptos" w:hAnsi="Aptos" w:eastAsia="Aptos"/>
                <w:b w:val="0"/>
                <w:i w:val="0"/>
                <w:color w:val="192734"/>
                <w:sz w:val="16"/>
              </w:rPr>
              <w:t>Metadata link</w:t>
            </w:r>
          </w:p>
        </w:tc>
        <w:tc>
          <w:tcPr>
            <w:tcW w:type="dxa" w:w="5040"/>
            <w:vAlign w:val="center"/>
          </w:tcPr>
          <w:p>
            <w:pPr>
              <w:jc w:val="center"/>
            </w:pPr>
            <w:r/>
            <w:r>
              <w:rPr>
                <w:rFonts w:ascii="Aptos" w:hAnsi="Aptos" w:eastAsia="Aptos"/>
                <w:b w:val="0"/>
                <w:i w:val="0"/>
                <w:color w:val="192734"/>
                <w:sz w:val="16"/>
              </w:rPr>
              <w:t>https://data.open-power-system-data.org/time_series/2020-10-06/datapackage.json</w:t>
            </w:r>
          </w:p>
        </w:tc>
      </w:tr>
      <w:tr>
        <w:tc>
          <w:tcPr>
            <w:tcW w:type="dxa" w:w="5040"/>
            <w:vAlign w:val="center"/>
          </w:tcPr>
          <w:p>
            <w:r/>
            <w:r>
              <w:rPr>
                <w:rFonts w:ascii="Aptos" w:hAnsi="Aptos" w:eastAsia="Aptos"/>
                <w:b w:val="0"/>
                <w:i w:val="0"/>
                <w:color w:val="192734"/>
                <w:sz w:val="16"/>
              </w:rPr>
              <w:t>Local raw file</w:t>
            </w:r>
          </w:p>
        </w:tc>
        <w:tc>
          <w:tcPr>
            <w:tcW w:type="dxa" w:w="5040"/>
            <w:vAlign w:val="center"/>
          </w:tcPr>
          <w:p>
            <w:pPr>
              <w:jc w:val="center"/>
            </w:pPr>
            <w:r/>
            <w:r>
              <w:rPr>
                <w:rFonts w:ascii="Aptos" w:hAnsi="Aptos" w:eastAsia="Aptos"/>
                <w:b w:val="0"/>
                <w:i w:val="0"/>
                <w:color w:val="192734"/>
                <w:sz w:val="16"/>
              </w:rPr>
              <w:t>data.csv</w:t>
            </w:r>
          </w:p>
        </w:tc>
      </w:tr>
      <w:tr>
        <w:tc>
          <w:tcPr>
            <w:tcW w:type="dxa" w:w="5040"/>
            <w:vAlign w:val="center"/>
          </w:tcPr>
          <w:p>
            <w:r/>
            <w:r>
              <w:rPr>
                <w:rFonts w:ascii="Aptos" w:hAnsi="Aptos" w:eastAsia="Aptos"/>
                <w:b w:val="0"/>
                <w:i w:val="0"/>
                <w:color w:val="192734"/>
                <w:sz w:val="16"/>
              </w:rPr>
              <w:t>Local processed file</w:t>
            </w:r>
          </w:p>
        </w:tc>
        <w:tc>
          <w:tcPr>
            <w:tcW w:type="dxa" w:w="5040"/>
            <w:vAlign w:val="center"/>
          </w:tcPr>
          <w:p>
            <w:pPr>
              <w:jc w:val="center"/>
            </w:pPr>
            <w:r/>
            <w:r>
              <w:rPr>
                <w:rFonts w:ascii="Aptos" w:hAnsi="Aptos" w:eastAsia="Aptos"/>
                <w:b w:val="0"/>
                <w:i w:val="0"/>
                <w:color w:val="192734"/>
                <w:sz w:val="16"/>
              </w:rPr>
              <w:t>preprocessed_content.csv</w:t>
            </w:r>
          </w:p>
        </w:tc>
      </w:tr>
      <w:tr>
        <w:tc>
          <w:tcPr>
            <w:tcW w:type="dxa" w:w="5040"/>
            <w:vAlign w:val="center"/>
          </w:tcPr>
          <w:p>
            <w:r/>
            <w:r>
              <w:rPr>
                <w:rFonts w:ascii="Aptos" w:hAnsi="Aptos" w:eastAsia="Aptos"/>
                <w:b w:val="0"/>
                <w:i w:val="0"/>
                <w:color w:val="192734"/>
                <w:sz w:val="16"/>
              </w:rPr>
              <w:t>Processed observations</w:t>
            </w:r>
          </w:p>
        </w:tc>
        <w:tc>
          <w:tcPr>
            <w:tcW w:type="dxa" w:w="5040"/>
            <w:vAlign w:val="center"/>
          </w:tcPr>
          <w:p>
            <w:pPr>
              <w:jc w:val="center"/>
            </w:pPr>
            <w:r/>
            <w:r>
              <w:rPr>
                <w:rFonts w:ascii="Aptos" w:hAnsi="Aptos" w:eastAsia="Aptos"/>
                <w:b w:val="0"/>
                <w:i w:val="0"/>
                <w:color w:val="192734"/>
                <w:sz w:val="16"/>
              </w:rPr>
              <w:t>50,209 rows</w:t>
            </w:r>
          </w:p>
        </w:tc>
      </w:tr>
      <w:tr>
        <w:tc>
          <w:tcPr>
            <w:tcW w:type="dxa" w:w="5040"/>
            <w:vAlign w:val="center"/>
          </w:tcPr>
          <w:p>
            <w:r/>
            <w:r>
              <w:rPr>
                <w:rFonts w:ascii="Aptos" w:hAnsi="Aptos" w:eastAsia="Aptos"/>
                <w:b w:val="0"/>
                <w:i w:val="0"/>
                <w:color w:val="192734"/>
                <w:sz w:val="16"/>
              </w:rPr>
              <w:t>Engineered features</w:t>
            </w:r>
          </w:p>
        </w:tc>
        <w:tc>
          <w:tcPr>
            <w:tcW w:type="dxa" w:w="5040"/>
            <w:vAlign w:val="center"/>
          </w:tcPr>
          <w:p>
            <w:pPr>
              <w:jc w:val="center"/>
            </w:pPr>
            <w:r/>
            <w:r>
              <w:rPr>
                <w:rFonts w:ascii="Aptos" w:hAnsi="Aptos" w:eastAsia="Aptos"/>
                <w:b w:val="0"/>
                <w:i w:val="0"/>
                <w:color w:val="192734"/>
                <w:sz w:val="16"/>
              </w:rPr>
              <w:t>29 features</w:t>
            </w:r>
          </w:p>
        </w:tc>
      </w:tr>
    </w:tbl>
    <w:p>
      <w:pPr>
        <w:spacing w:after="120" w:line="259" w:lineRule="auto"/>
      </w:pPr>
    </w:p>
    <w:p>
      <w:pPr>
        <w:spacing w:before="240" w:after="100"/>
      </w:pPr>
      <w:r>
        <w:rPr>
          <w:rFonts w:ascii="Aptos" w:hAnsi="Aptos" w:eastAsia="Aptos"/>
          <w:b/>
          <w:i w:val="0"/>
          <w:color w:val="0F374E"/>
          <w:sz w:val="30"/>
        </w:rPr>
        <w:t>3. Research Design</w:t>
      </w:r>
    </w:p>
    <w:p>
      <w:pPr>
        <w:spacing w:after="120" w:line="259" w:lineRule="auto"/>
      </w:pPr>
      <w:r>
        <w:rPr>
          <w:rFonts w:ascii="Aptos" w:hAnsi="Aptos" w:eastAsia="Aptos"/>
          <w:b w:val="0"/>
          <w:i w:val="0"/>
          <w:color w:val="1E2A37"/>
          <w:sz w:val="21"/>
        </w:rPr>
        <w:t>Five research questions were defined to match the course prompt and the IEEE-style technical-report framing: model trade-offs, feature value, seasonal robustness, interpretability, and carbon-aware training windows. Each research question has a separate notebook, a publication-ready PDF figure, and a CSV table.</w:t>
      </w:r>
    </w:p>
    <w:p>
      <w:pPr>
        <w:spacing w:after="120" w:line="259" w:lineRule="auto"/>
        <w:jc w:val="center"/>
      </w:pPr>
      <w:r>
        <w:rPr>
          <w:rFonts w:ascii="Aptos" w:hAnsi="Aptos" w:eastAsia="Aptos"/>
          <w:b/>
          <w:i w:val="0"/>
          <w:color w:val="0F374E"/>
          <w:sz w:val="20"/>
        </w:rPr>
        <w:t>TABLE 2. Research questions and generated artifacts.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DCEAF7"/>
            <w:vAlign w:val="center"/>
          </w:tcPr>
          <w:p>
            <w:pPr>
              <w:jc w:val="center"/>
            </w:pPr>
            <w:r/>
            <w:r>
              <w:rPr>
                <w:rFonts w:ascii="Aptos" w:hAnsi="Aptos" w:eastAsia="Aptos"/>
                <w:b/>
                <w:i w:val="0"/>
                <w:color w:val="192734"/>
                <w:sz w:val="17"/>
              </w:rPr>
              <w:t>ID</w:t>
            </w:r>
          </w:p>
        </w:tc>
        <w:tc>
          <w:tcPr>
            <w:tcW w:type="dxa" w:w="2520"/>
            <w:shd w:fill="DCEAF7"/>
            <w:vAlign w:val="center"/>
          </w:tcPr>
          <w:p>
            <w:pPr>
              <w:jc w:val="center"/>
            </w:pPr>
            <w:r/>
            <w:r>
              <w:rPr>
                <w:rFonts w:ascii="Aptos" w:hAnsi="Aptos" w:eastAsia="Aptos"/>
                <w:b/>
                <w:i w:val="0"/>
                <w:color w:val="192734"/>
                <w:sz w:val="17"/>
              </w:rPr>
              <w:t>Research question</w:t>
            </w:r>
          </w:p>
        </w:tc>
        <w:tc>
          <w:tcPr>
            <w:tcW w:type="dxa" w:w="2520"/>
            <w:shd w:fill="DCEAF7"/>
            <w:vAlign w:val="center"/>
          </w:tcPr>
          <w:p>
            <w:pPr>
              <w:jc w:val="center"/>
            </w:pPr>
            <w:r/>
            <w:r>
              <w:rPr>
                <w:rFonts w:ascii="Aptos" w:hAnsi="Aptos" w:eastAsia="Aptos"/>
                <w:b/>
                <w:i w:val="0"/>
                <w:color w:val="192734"/>
                <w:sz w:val="17"/>
              </w:rPr>
              <w:t>Figure</w:t>
            </w:r>
          </w:p>
        </w:tc>
        <w:tc>
          <w:tcPr>
            <w:tcW w:type="dxa" w:w="2520"/>
            <w:shd w:fill="DCEAF7"/>
            <w:vAlign w:val="center"/>
          </w:tcPr>
          <w:p>
            <w:pPr>
              <w:jc w:val="center"/>
            </w:pPr>
            <w:r/>
            <w:r>
              <w:rPr>
                <w:rFonts w:ascii="Aptos" w:hAnsi="Aptos" w:eastAsia="Aptos"/>
                <w:b/>
                <w:i w:val="0"/>
                <w:color w:val="192734"/>
                <w:sz w:val="17"/>
              </w:rPr>
              <w:t>Table</w:t>
            </w:r>
          </w:p>
        </w:tc>
      </w:tr>
      <w:tr>
        <w:tc>
          <w:tcPr>
            <w:tcW w:type="dxa" w:w="2520"/>
            <w:vAlign w:val="center"/>
          </w:tcPr>
          <w:p>
            <w:r/>
            <w:r>
              <w:rPr>
                <w:rFonts w:ascii="Aptos" w:hAnsi="Aptos" w:eastAsia="Aptos"/>
                <w:b w:val="0"/>
                <w:i w:val="0"/>
                <w:color w:val="192734"/>
                <w:sz w:val="16"/>
              </w:rPr>
              <w:t>RQ1</w:t>
            </w:r>
          </w:p>
        </w:tc>
        <w:tc>
          <w:tcPr>
            <w:tcW w:type="dxa" w:w="2520"/>
            <w:vAlign w:val="center"/>
          </w:tcPr>
          <w:p>
            <w:pPr>
              <w:jc w:val="center"/>
            </w:pPr>
            <w:r/>
            <w:r>
              <w:rPr>
                <w:rFonts w:ascii="Aptos" w:hAnsi="Aptos" w:eastAsia="Aptos"/>
                <w:b w:val="0"/>
                <w:i w:val="0"/>
                <w:color w:val="192734"/>
                <w:sz w:val="16"/>
              </w:rPr>
              <w:t>Which model family gives the strongest Pareto trade-off between predictive accuracy and estimated computational carbon for German next-day high-load-event classification?</w:t>
            </w:r>
          </w:p>
        </w:tc>
        <w:tc>
          <w:tcPr>
            <w:tcW w:type="dxa" w:w="2520"/>
            <w:vAlign w:val="center"/>
          </w:tcPr>
          <w:p>
            <w:pPr>
              <w:jc w:val="center"/>
            </w:pPr>
            <w:r/>
            <w:r>
              <w:rPr>
                <w:rFonts w:ascii="Aptos" w:hAnsi="Aptos" w:eastAsia="Aptos"/>
                <w:b w:val="0"/>
                <w:i w:val="0"/>
                <w:color w:val="192734"/>
                <w:sz w:val="16"/>
              </w:rPr>
              <w:t>rq1_accuracy_carbon_pareto.pdf</w:t>
            </w:r>
          </w:p>
        </w:tc>
        <w:tc>
          <w:tcPr>
            <w:tcW w:type="dxa" w:w="2520"/>
            <w:vAlign w:val="center"/>
          </w:tcPr>
          <w:p>
            <w:pPr>
              <w:jc w:val="center"/>
            </w:pPr>
            <w:r/>
            <w:r>
              <w:rPr>
                <w:rFonts w:ascii="Aptos" w:hAnsi="Aptos" w:eastAsia="Aptos"/>
                <w:b w:val="0"/>
                <w:i w:val="0"/>
                <w:color w:val="192734"/>
                <w:sz w:val="16"/>
              </w:rPr>
              <w:t>rq1_model_tradeoff_metrics.csv</w:t>
            </w:r>
          </w:p>
        </w:tc>
      </w:tr>
      <w:tr>
        <w:tc>
          <w:tcPr>
            <w:tcW w:type="dxa" w:w="2520"/>
            <w:vAlign w:val="center"/>
          </w:tcPr>
          <w:p>
            <w:r/>
            <w:r>
              <w:rPr>
                <w:rFonts w:ascii="Aptos" w:hAnsi="Aptos" w:eastAsia="Aptos"/>
                <w:b w:val="0"/>
                <w:i w:val="0"/>
                <w:color w:val="192734"/>
                <w:sz w:val="16"/>
              </w:rPr>
              <w:t>RQ2</w:t>
            </w:r>
          </w:p>
        </w:tc>
        <w:tc>
          <w:tcPr>
            <w:tcW w:type="dxa" w:w="2520"/>
            <w:vAlign w:val="center"/>
          </w:tcPr>
          <w:p>
            <w:pPr>
              <w:jc w:val="center"/>
            </w:pPr>
            <w:r/>
            <w:r>
              <w:rPr>
                <w:rFonts w:ascii="Aptos" w:hAnsi="Aptos" w:eastAsia="Aptos"/>
                <w:b w:val="0"/>
                <w:i w:val="0"/>
                <w:color w:val="192734"/>
                <w:sz w:val="16"/>
              </w:rPr>
              <w:t>How much do load history, renewable generation, TSO-zone state, and day-ahead forecast features improve performance relative to a calendar-only baseline?</w:t>
            </w:r>
          </w:p>
        </w:tc>
        <w:tc>
          <w:tcPr>
            <w:tcW w:type="dxa" w:w="2520"/>
            <w:vAlign w:val="center"/>
          </w:tcPr>
          <w:p>
            <w:pPr>
              <w:jc w:val="center"/>
            </w:pPr>
            <w:r/>
            <w:r>
              <w:rPr>
                <w:rFonts w:ascii="Aptos" w:hAnsi="Aptos" w:eastAsia="Aptos"/>
                <w:b w:val="0"/>
                <w:i w:val="0"/>
                <w:color w:val="192734"/>
                <w:sz w:val="16"/>
              </w:rPr>
              <w:t>rq2_feature_ablation.pdf</w:t>
            </w:r>
          </w:p>
        </w:tc>
        <w:tc>
          <w:tcPr>
            <w:tcW w:type="dxa" w:w="2520"/>
            <w:vAlign w:val="center"/>
          </w:tcPr>
          <w:p>
            <w:pPr>
              <w:jc w:val="center"/>
            </w:pPr>
            <w:r/>
            <w:r>
              <w:rPr>
                <w:rFonts w:ascii="Aptos" w:hAnsi="Aptos" w:eastAsia="Aptos"/>
                <w:b w:val="0"/>
                <w:i w:val="0"/>
                <w:color w:val="192734"/>
                <w:sz w:val="16"/>
              </w:rPr>
              <w:t>rq2_feature_ablation_metrics.csv</w:t>
            </w:r>
          </w:p>
        </w:tc>
      </w:tr>
      <w:tr>
        <w:tc>
          <w:tcPr>
            <w:tcW w:type="dxa" w:w="2520"/>
            <w:vAlign w:val="center"/>
          </w:tcPr>
          <w:p>
            <w:r/>
            <w:r>
              <w:rPr>
                <w:rFonts w:ascii="Aptos" w:hAnsi="Aptos" w:eastAsia="Aptos"/>
                <w:b w:val="0"/>
                <w:i w:val="0"/>
                <w:color w:val="192734"/>
                <w:sz w:val="16"/>
              </w:rPr>
              <w:t>RQ3</w:t>
            </w:r>
          </w:p>
        </w:tc>
        <w:tc>
          <w:tcPr>
            <w:tcW w:type="dxa" w:w="2520"/>
            <w:vAlign w:val="center"/>
          </w:tcPr>
          <w:p>
            <w:pPr>
              <w:jc w:val="center"/>
            </w:pPr>
            <w:r/>
            <w:r>
              <w:rPr>
                <w:rFonts w:ascii="Aptos" w:hAnsi="Aptos" w:eastAsia="Aptos"/>
                <w:b w:val="0"/>
                <w:i w:val="0"/>
                <w:color w:val="192734"/>
                <w:sz w:val="16"/>
              </w:rPr>
              <w:t>Are the model rankings stable across German winter, spring, summer, and autumn operating regimes?</w:t>
            </w:r>
          </w:p>
        </w:tc>
        <w:tc>
          <w:tcPr>
            <w:tcW w:type="dxa" w:w="2520"/>
            <w:vAlign w:val="center"/>
          </w:tcPr>
          <w:p>
            <w:pPr>
              <w:jc w:val="center"/>
            </w:pPr>
            <w:r/>
            <w:r>
              <w:rPr>
                <w:rFonts w:ascii="Aptos" w:hAnsi="Aptos" w:eastAsia="Aptos"/>
                <w:b w:val="0"/>
                <w:i w:val="0"/>
                <w:color w:val="192734"/>
                <w:sz w:val="16"/>
              </w:rPr>
              <w:t>rq3_seasonal_f1_heatmap.pdf</w:t>
            </w:r>
          </w:p>
        </w:tc>
        <w:tc>
          <w:tcPr>
            <w:tcW w:type="dxa" w:w="2520"/>
            <w:vAlign w:val="center"/>
          </w:tcPr>
          <w:p>
            <w:pPr>
              <w:jc w:val="center"/>
            </w:pPr>
            <w:r/>
            <w:r>
              <w:rPr>
                <w:rFonts w:ascii="Aptos" w:hAnsi="Aptos" w:eastAsia="Aptos"/>
                <w:b w:val="0"/>
                <w:i w:val="0"/>
                <w:color w:val="192734"/>
                <w:sz w:val="16"/>
              </w:rPr>
              <w:t>rq3_seasonal_generalization.csv</w:t>
            </w:r>
          </w:p>
        </w:tc>
      </w:tr>
      <w:tr>
        <w:tc>
          <w:tcPr>
            <w:tcW w:type="dxa" w:w="2520"/>
            <w:vAlign w:val="center"/>
          </w:tcPr>
          <w:p>
            <w:r/>
            <w:r>
              <w:rPr>
                <w:rFonts w:ascii="Aptos" w:hAnsi="Aptos" w:eastAsia="Aptos"/>
                <w:b w:val="0"/>
                <w:i w:val="0"/>
                <w:color w:val="192734"/>
                <w:sz w:val="16"/>
              </w:rPr>
              <w:t>RQ4</w:t>
            </w:r>
          </w:p>
        </w:tc>
        <w:tc>
          <w:tcPr>
            <w:tcW w:type="dxa" w:w="2520"/>
            <w:vAlign w:val="center"/>
          </w:tcPr>
          <w:p>
            <w:pPr>
              <w:jc w:val="center"/>
            </w:pPr>
            <w:r/>
            <w:r>
              <w:rPr>
                <w:rFonts w:ascii="Aptos" w:hAnsi="Aptos" w:eastAsia="Aptos"/>
                <w:b w:val="0"/>
                <w:i w:val="0"/>
                <w:color w:val="192734"/>
                <w:sz w:val="16"/>
              </w:rPr>
              <w:t>Can an interpretable low-complexity model explain the dominant drivers of high-load risk without a large loss in predictive utility?</w:t>
            </w:r>
          </w:p>
        </w:tc>
        <w:tc>
          <w:tcPr>
            <w:tcW w:type="dxa" w:w="2520"/>
            <w:vAlign w:val="center"/>
          </w:tcPr>
          <w:p>
            <w:pPr>
              <w:jc w:val="center"/>
            </w:pPr>
            <w:r/>
            <w:r>
              <w:rPr>
                <w:rFonts w:ascii="Aptos" w:hAnsi="Aptos" w:eastAsia="Aptos"/>
                <w:b w:val="0"/>
                <w:i w:val="0"/>
                <w:color w:val="192734"/>
                <w:sz w:val="16"/>
              </w:rPr>
              <w:t>rq4_interpretability_efficiency.pdf</w:t>
            </w:r>
          </w:p>
        </w:tc>
        <w:tc>
          <w:tcPr>
            <w:tcW w:type="dxa" w:w="2520"/>
            <w:vAlign w:val="center"/>
          </w:tcPr>
          <w:p>
            <w:pPr>
              <w:jc w:val="center"/>
            </w:pPr>
            <w:r/>
            <w:r>
              <w:rPr>
                <w:rFonts w:ascii="Aptos" w:hAnsi="Aptos" w:eastAsia="Aptos"/>
                <w:b w:val="0"/>
                <w:i w:val="0"/>
                <w:color w:val="192734"/>
                <w:sz w:val="16"/>
              </w:rPr>
              <w:t>rq4_top_interpretable_features.csv</w:t>
            </w:r>
          </w:p>
        </w:tc>
      </w:tr>
      <w:tr>
        <w:tc>
          <w:tcPr>
            <w:tcW w:type="dxa" w:w="2520"/>
            <w:vAlign w:val="center"/>
          </w:tcPr>
          <w:p>
            <w:r/>
            <w:r>
              <w:rPr>
                <w:rFonts w:ascii="Aptos" w:hAnsi="Aptos" w:eastAsia="Aptos"/>
                <w:b w:val="0"/>
                <w:i w:val="0"/>
                <w:color w:val="192734"/>
                <w:sz w:val="16"/>
              </w:rPr>
              <w:t>RQ5</w:t>
            </w:r>
          </w:p>
        </w:tc>
        <w:tc>
          <w:tcPr>
            <w:tcW w:type="dxa" w:w="2520"/>
            <w:vAlign w:val="center"/>
          </w:tcPr>
          <w:p>
            <w:pPr>
              <w:jc w:val="center"/>
            </w:pPr>
            <w:r/>
            <w:r>
              <w:rPr>
                <w:rFonts w:ascii="Aptos" w:hAnsi="Aptos" w:eastAsia="Aptos"/>
                <w:b w:val="0"/>
                <w:i w:val="0"/>
                <w:color w:val="192734"/>
                <w:sz w:val="16"/>
              </w:rPr>
              <w:t>How much carbon-proxy reduction is available if model training is scheduled into low-residual-load windows rather than arbitrary or high-residual-load hours?</w:t>
            </w:r>
          </w:p>
        </w:tc>
        <w:tc>
          <w:tcPr>
            <w:tcW w:type="dxa" w:w="2520"/>
            <w:vAlign w:val="center"/>
          </w:tcPr>
          <w:p>
            <w:pPr>
              <w:jc w:val="center"/>
            </w:pPr>
            <w:r/>
            <w:r>
              <w:rPr>
                <w:rFonts w:ascii="Aptos" w:hAnsi="Aptos" w:eastAsia="Aptos"/>
                <w:b w:val="0"/>
                <w:i w:val="0"/>
                <w:color w:val="192734"/>
                <w:sz w:val="16"/>
              </w:rPr>
              <w:t>rq5_carbon_aware_training_windows.pdf</w:t>
            </w:r>
          </w:p>
        </w:tc>
        <w:tc>
          <w:tcPr>
            <w:tcW w:type="dxa" w:w="2520"/>
            <w:vAlign w:val="center"/>
          </w:tcPr>
          <w:p>
            <w:pPr>
              <w:jc w:val="center"/>
            </w:pPr>
            <w:r/>
            <w:r>
              <w:rPr>
                <w:rFonts w:ascii="Aptos" w:hAnsi="Aptos" w:eastAsia="Aptos"/>
                <w:b w:val="0"/>
                <w:i w:val="0"/>
                <w:color w:val="192734"/>
                <w:sz w:val="16"/>
              </w:rPr>
              <w:t>rq5_training_window_scenarios.csv</w:t>
            </w:r>
          </w:p>
        </w:tc>
      </w:tr>
    </w:tbl>
    <w:p>
      <w:pPr>
        <w:spacing w:after="120" w:line="259" w:lineRule="auto"/>
      </w:pPr>
    </w:p>
    <w:p>
      <w:pPr>
        <w:spacing w:before="240" w:after="100"/>
      </w:pPr>
      <w:r>
        <w:rPr>
          <w:rFonts w:ascii="Aptos" w:hAnsi="Aptos" w:eastAsia="Aptos"/>
          <w:b/>
          <w:i w:val="0"/>
          <w:color w:val="0F374E"/>
          <w:sz w:val="30"/>
        </w:rPr>
        <w:t>4. Data Preparation</w:t>
      </w:r>
    </w:p>
    <w:p>
      <w:pPr>
        <w:spacing w:after="120" w:line="259" w:lineRule="auto"/>
      </w:pPr>
      <w:r>
        <w:rPr>
          <w:rFonts w:ascii="Aptos" w:hAnsi="Aptos" w:eastAsia="Aptos"/>
          <w:b w:val="0"/>
          <w:i w:val="0"/>
          <w:color w:val="1E2A37"/>
          <w:sz w:val="21"/>
        </w:rPr>
        <w:t>The preprocessing script reads the raw OPSD CSV, selects Germany-relevant variables, interpolates sparse gaps, sorts observations by UTC timestamp, and constructs a chronological modeling table. The target is `target_high_load_next_24h`, equal to 1 when German load 24 hours ahead is at or above the 80th percentile of next-day load.</w:t>
      </w:r>
    </w:p>
    <w:p>
      <w:pPr>
        <w:spacing w:after="120" w:line="259" w:lineRule="auto"/>
        <w:jc w:val="center"/>
      </w:pPr>
      <w:r>
        <w:rPr>
          <w:rFonts w:ascii="Aptos" w:hAnsi="Aptos" w:eastAsia="Aptos"/>
          <w:b/>
          <w:i w:val="0"/>
          <w:color w:val="0F374E"/>
          <w:sz w:val="20"/>
        </w:rPr>
        <w:t>TABLE 3. Main engineered feature families.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DCEAF7"/>
            <w:vAlign w:val="center"/>
          </w:tcPr>
          <w:p>
            <w:pPr>
              <w:jc w:val="center"/>
            </w:pPr>
            <w:r/>
            <w:r>
              <w:rPr>
                <w:rFonts w:ascii="Aptos" w:hAnsi="Aptos" w:eastAsia="Aptos"/>
                <w:b/>
                <w:i w:val="0"/>
                <w:color w:val="192734"/>
                <w:sz w:val="17"/>
              </w:rPr>
              <w:t>Feature family</w:t>
            </w:r>
          </w:p>
        </w:tc>
        <w:tc>
          <w:tcPr>
            <w:tcW w:type="dxa" w:w="5040"/>
            <w:shd w:fill="DCEAF7"/>
            <w:vAlign w:val="center"/>
          </w:tcPr>
          <w:p>
            <w:pPr>
              <w:jc w:val="center"/>
            </w:pPr>
            <w:r/>
            <w:r>
              <w:rPr>
                <w:rFonts w:ascii="Aptos" w:hAnsi="Aptos" w:eastAsia="Aptos"/>
                <w:b/>
                <w:i w:val="0"/>
                <w:color w:val="192734"/>
                <w:sz w:val="17"/>
              </w:rPr>
              <w:t>Variables</w:t>
            </w:r>
          </w:p>
        </w:tc>
      </w:tr>
      <w:tr>
        <w:tc>
          <w:tcPr>
            <w:tcW w:type="dxa" w:w="5040"/>
            <w:vAlign w:val="center"/>
          </w:tcPr>
          <w:p>
            <w:r/>
            <w:r>
              <w:rPr>
                <w:rFonts w:ascii="Aptos" w:hAnsi="Aptos" w:eastAsia="Aptos"/>
                <w:b w:val="0"/>
                <w:i w:val="0"/>
                <w:color w:val="192734"/>
                <w:sz w:val="16"/>
              </w:rPr>
              <w:t>Calendar</w:t>
            </w:r>
          </w:p>
        </w:tc>
        <w:tc>
          <w:tcPr>
            <w:tcW w:type="dxa" w:w="5040"/>
            <w:vAlign w:val="center"/>
          </w:tcPr>
          <w:p>
            <w:pPr>
              <w:jc w:val="center"/>
            </w:pPr>
            <w:r/>
            <w:r>
              <w:rPr>
                <w:rFonts w:ascii="Aptos" w:hAnsi="Aptos" w:eastAsia="Aptos"/>
                <w:b w:val="0"/>
                <w:i w:val="0"/>
                <w:color w:val="192734"/>
                <w:sz w:val="16"/>
              </w:rPr>
              <w:t>hour, day-of-week, day-of-year cyclic encodings; weekend flag</w:t>
            </w:r>
          </w:p>
        </w:tc>
      </w:tr>
      <w:tr>
        <w:tc>
          <w:tcPr>
            <w:tcW w:type="dxa" w:w="5040"/>
            <w:vAlign w:val="center"/>
          </w:tcPr>
          <w:p>
            <w:r/>
            <w:r>
              <w:rPr>
                <w:rFonts w:ascii="Aptos" w:hAnsi="Aptos" w:eastAsia="Aptos"/>
                <w:b w:val="0"/>
                <w:i w:val="0"/>
                <w:color w:val="192734"/>
                <w:sz w:val="16"/>
              </w:rPr>
              <w:t>Load history</w:t>
            </w:r>
          </w:p>
        </w:tc>
        <w:tc>
          <w:tcPr>
            <w:tcW w:type="dxa" w:w="5040"/>
            <w:vAlign w:val="center"/>
          </w:tcPr>
          <w:p>
            <w:pPr>
              <w:jc w:val="center"/>
            </w:pPr>
            <w:r/>
            <w:r>
              <w:rPr>
                <w:rFonts w:ascii="Aptos" w:hAnsi="Aptos" w:eastAsia="Aptos"/>
                <w:b w:val="0"/>
                <w:i w:val="0"/>
                <w:color w:val="192734"/>
                <w:sz w:val="16"/>
              </w:rPr>
              <w:t>current load; 1 h, 24 h, and 168 h lags; rolling means and volatility</w:t>
            </w:r>
          </w:p>
        </w:tc>
      </w:tr>
      <w:tr>
        <w:tc>
          <w:tcPr>
            <w:tcW w:type="dxa" w:w="5040"/>
            <w:vAlign w:val="center"/>
          </w:tcPr>
          <w:p>
            <w:r/>
            <w:r>
              <w:rPr>
                <w:rFonts w:ascii="Aptos" w:hAnsi="Aptos" w:eastAsia="Aptos"/>
                <w:b w:val="0"/>
                <w:i w:val="0"/>
                <w:color w:val="192734"/>
                <w:sz w:val="16"/>
              </w:rPr>
              <w:t>Renewables</w:t>
            </w:r>
          </w:p>
        </w:tc>
        <w:tc>
          <w:tcPr>
            <w:tcW w:type="dxa" w:w="5040"/>
            <w:vAlign w:val="center"/>
          </w:tcPr>
          <w:p>
            <w:pPr>
              <w:jc w:val="center"/>
            </w:pPr>
            <w:r/>
            <w:r>
              <w:rPr>
                <w:rFonts w:ascii="Aptos" w:hAnsi="Aptos" w:eastAsia="Aptos"/>
                <w:b w:val="0"/>
                <w:i w:val="0"/>
                <w:color w:val="192734"/>
                <w:sz w:val="16"/>
              </w:rPr>
              <w:t>solar, wind, renewable share, residual load, residual-load share</w:t>
            </w:r>
          </w:p>
        </w:tc>
      </w:tr>
      <w:tr>
        <w:tc>
          <w:tcPr>
            <w:tcW w:type="dxa" w:w="5040"/>
            <w:vAlign w:val="center"/>
          </w:tcPr>
          <w:p>
            <w:r/>
            <w:r>
              <w:rPr>
                <w:rFonts w:ascii="Aptos" w:hAnsi="Aptos" w:eastAsia="Aptos"/>
                <w:b w:val="0"/>
                <w:i w:val="0"/>
                <w:color w:val="192734"/>
                <w:sz w:val="16"/>
              </w:rPr>
              <w:t>Regional/TSO</w:t>
            </w:r>
          </w:p>
        </w:tc>
        <w:tc>
          <w:tcPr>
            <w:tcW w:type="dxa" w:w="5040"/>
            <w:vAlign w:val="center"/>
          </w:tcPr>
          <w:p>
            <w:pPr>
              <w:jc w:val="center"/>
            </w:pPr>
            <w:r/>
            <w:r>
              <w:rPr>
                <w:rFonts w:ascii="Aptos" w:hAnsi="Aptos" w:eastAsia="Aptos"/>
                <w:b w:val="0"/>
                <w:i w:val="0"/>
                <w:color w:val="192734"/>
                <w:sz w:val="16"/>
              </w:rPr>
              <w:t>50Hertz, Amprion, TenneT, TransnetBW, and zone imbalance</w:t>
            </w:r>
          </w:p>
        </w:tc>
      </w:tr>
      <w:tr>
        <w:tc>
          <w:tcPr>
            <w:tcW w:type="dxa" w:w="5040"/>
            <w:vAlign w:val="center"/>
          </w:tcPr>
          <w:p>
            <w:r/>
            <w:r>
              <w:rPr>
                <w:rFonts w:ascii="Aptos" w:hAnsi="Aptos" w:eastAsia="Aptos"/>
                <w:b w:val="0"/>
                <w:i w:val="0"/>
                <w:color w:val="192734"/>
                <w:sz w:val="16"/>
              </w:rPr>
              <w:t>Forecast</w:t>
            </w:r>
          </w:p>
        </w:tc>
        <w:tc>
          <w:tcPr>
            <w:tcW w:type="dxa" w:w="5040"/>
            <w:vAlign w:val="center"/>
          </w:tcPr>
          <w:p>
            <w:pPr>
              <w:jc w:val="center"/>
            </w:pPr>
            <w:r/>
            <w:r>
              <w:rPr>
                <w:rFonts w:ascii="Aptos" w:hAnsi="Aptos" w:eastAsia="Aptos"/>
                <w:b w:val="0"/>
                <w:i w:val="0"/>
                <w:color w:val="192734"/>
                <w:sz w:val="16"/>
              </w:rPr>
              <w:t>German load forecast from OPSD/ENTSO-E transparency source</w:t>
            </w:r>
          </w:p>
        </w:tc>
      </w:tr>
    </w:tbl>
    <w:p>
      <w:pPr>
        <w:spacing w:after="120" w:line="259" w:lineRule="auto"/>
      </w:pPr>
    </w:p>
    <w:p>
      <w:pPr>
        <w:spacing w:before="240" w:after="100"/>
      </w:pPr>
      <w:r>
        <w:rPr>
          <w:rFonts w:ascii="Aptos" w:hAnsi="Aptos" w:eastAsia="Aptos"/>
          <w:b/>
          <w:i w:val="0"/>
          <w:color w:val="0F374E"/>
          <w:sz w:val="30"/>
        </w:rPr>
        <w:t>5. Modeling and Evaluation</w:t>
      </w:r>
    </w:p>
    <w:p>
      <w:pPr>
        <w:spacing w:after="120" w:line="259" w:lineRule="auto"/>
      </w:pPr>
      <w:r>
        <w:rPr>
          <w:rFonts w:ascii="Aptos" w:hAnsi="Aptos" w:eastAsia="Aptos"/>
          <w:b w:val="0"/>
          <w:i w:val="0"/>
          <w:color w:val="1E2A37"/>
          <w:sz w:val="21"/>
        </w:rPr>
        <w:t>The model suite compares logistic regression, linear SVM, random forest, histogram gradient boosting, and a shallow neural network. The split is chronological: 2015-2018 observations are used for training, while 2019-2020 observations are used for testing. The boosted-tree comparator uses scikit-learn histogram gradient boosting so the package remains reproducible without an external XGBoost dependency.</w:t>
      </w:r>
    </w:p>
    <w:p>
      <w:pPr>
        <w:spacing w:after="120" w:line="259" w:lineRule="auto"/>
        <w:jc w:val="center"/>
      </w:pPr>
      <w:r>
        <w:rPr>
          <w:rFonts w:ascii="Aptos" w:hAnsi="Aptos" w:eastAsia="Aptos"/>
          <w:b/>
          <w:i w:val="0"/>
          <w:color w:val="0F374E"/>
          <w:sz w:val="20"/>
        </w:rPr>
        <w:t>TABLE 4. Key model results.</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DCEAF7"/>
            <w:vAlign w:val="center"/>
          </w:tcPr>
          <w:p>
            <w:pPr>
              <w:jc w:val="center"/>
            </w:pPr>
            <w:r/>
            <w:r>
              <w:rPr>
                <w:rFonts w:ascii="Aptos" w:hAnsi="Aptos" w:eastAsia="Aptos"/>
                <w:b/>
                <w:i w:val="0"/>
                <w:color w:val="192734"/>
                <w:sz w:val="17"/>
              </w:rPr>
              <w:t>Model</w:t>
            </w:r>
          </w:p>
        </w:tc>
        <w:tc>
          <w:tcPr>
            <w:tcW w:type="dxa" w:w="2016"/>
            <w:shd w:fill="DCEAF7"/>
            <w:vAlign w:val="center"/>
          </w:tcPr>
          <w:p>
            <w:pPr>
              <w:jc w:val="center"/>
            </w:pPr>
            <w:r/>
            <w:r>
              <w:rPr>
                <w:rFonts w:ascii="Aptos" w:hAnsi="Aptos" w:eastAsia="Aptos"/>
                <w:b/>
                <w:i w:val="0"/>
                <w:color w:val="192734"/>
                <w:sz w:val="17"/>
              </w:rPr>
              <w:t>F1</w:t>
            </w:r>
          </w:p>
        </w:tc>
        <w:tc>
          <w:tcPr>
            <w:tcW w:type="dxa" w:w="2016"/>
            <w:shd w:fill="DCEAF7"/>
            <w:vAlign w:val="center"/>
          </w:tcPr>
          <w:p>
            <w:pPr>
              <w:jc w:val="center"/>
            </w:pPr>
            <w:r/>
            <w:r>
              <w:rPr>
                <w:rFonts w:ascii="Aptos" w:hAnsi="Aptos" w:eastAsia="Aptos"/>
                <w:b/>
                <w:i w:val="0"/>
                <w:color w:val="192734"/>
                <w:sz w:val="17"/>
              </w:rPr>
              <w:t>ROC-AUC</w:t>
            </w:r>
          </w:p>
        </w:tc>
        <w:tc>
          <w:tcPr>
            <w:tcW w:type="dxa" w:w="2016"/>
            <w:shd w:fill="DCEAF7"/>
            <w:vAlign w:val="center"/>
          </w:tcPr>
          <w:p>
            <w:pPr>
              <w:jc w:val="center"/>
            </w:pPr>
            <w:r/>
            <w:r>
              <w:rPr>
                <w:rFonts w:ascii="Aptos" w:hAnsi="Aptos" w:eastAsia="Aptos"/>
                <w:b/>
                <w:i w:val="0"/>
                <w:color w:val="192734"/>
                <w:sz w:val="17"/>
              </w:rPr>
              <w:t>Carbon proxy (mg CO2e)</w:t>
            </w:r>
          </w:p>
        </w:tc>
        <w:tc>
          <w:tcPr>
            <w:tcW w:type="dxa" w:w="2016"/>
            <w:shd w:fill="DCEAF7"/>
            <w:vAlign w:val="center"/>
          </w:tcPr>
          <w:p>
            <w:pPr>
              <w:jc w:val="center"/>
            </w:pPr>
            <w:r/>
            <w:r>
              <w:rPr>
                <w:rFonts w:ascii="Aptos" w:hAnsi="Aptos" w:eastAsia="Aptos"/>
                <w:b/>
                <w:i w:val="0"/>
                <w:color w:val="192734"/>
                <w:sz w:val="17"/>
              </w:rPr>
              <w:t>Pareto</w:t>
            </w:r>
          </w:p>
        </w:tc>
      </w:tr>
      <w:tr>
        <w:tc>
          <w:tcPr>
            <w:tcW w:type="dxa" w:w="2016"/>
            <w:vAlign w:val="center"/>
          </w:tcPr>
          <w:p>
            <w:r/>
            <w:r>
              <w:rPr>
                <w:rFonts w:ascii="Aptos" w:hAnsi="Aptos" w:eastAsia="Aptos"/>
                <w:b w:val="0"/>
                <w:i w:val="0"/>
                <w:color w:val="192734"/>
                <w:sz w:val="16"/>
              </w:rPr>
              <w:t>Histogram Gradient Boosting</w:t>
            </w:r>
          </w:p>
        </w:tc>
        <w:tc>
          <w:tcPr>
            <w:tcW w:type="dxa" w:w="2016"/>
            <w:vAlign w:val="center"/>
          </w:tcPr>
          <w:p>
            <w:pPr>
              <w:jc w:val="center"/>
            </w:pPr>
            <w:r/>
            <w:r>
              <w:rPr>
                <w:rFonts w:ascii="Aptos" w:hAnsi="Aptos" w:eastAsia="Aptos"/>
                <w:b w:val="0"/>
                <w:i w:val="0"/>
                <w:color w:val="192734"/>
                <w:sz w:val="16"/>
              </w:rPr>
              <w:t>0.899</w:t>
            </w:r>
          </w:p>
        </w:tc>
        <w:tc>
          <w:tcPr>
            <w:tcW w:type="dxa" w:w="2016"/>
            <w:vAlign w:val="center"/>
          </w:tcPr>
          <w:p>
            <w:pPr>
              <w:jc w:val="center"/>
            </w:pPr>
            <w:r/>
            <w:r>
              <w:rPr>
                <w:rFonts w:ascii="Aptos" w:hAnsi="Aptos" w:eastAsia="Aptos"/>
                <w:b w:val="0"/>
                <w:i w:val="0"/>
                <w:color w:val="192734"/>
                <w:sz w:val="16"/>
              </w:rPr>
              <w:t>0.993</w:t>
            </w:r>
          </w:p>
        </w:tc>
        <w:tc>
          <w:tcPr>
            <w:tcW w:type="dxa" w:w="2016"/>
            <w:vAlign w:val="center"/>
          </w:tcPr>
          <w:p>
            <w:pPr>
              <w:jc w:val="center"/>
            </w:pPr>
            <w:r/>
            <w:r>
              <w:rPr>
                <w:rFonts w:ascii="Aptos" w:hAnsi="Aptos" w:eastAsia="Aptos"/>
                <w:b w:val="0"/>
                <w:i w:val="0"/>
                <w:color w:val="192734"/>
                <w:sz w:val="16"/>
              </w:rPr>
              <w:t>6.592</w:t>
            </w:r>
          </w:p>
        </w:tc>
        <w:tc>
          <w:tcPr>
            <w:tcW w:type="dxa" w:w="2016"/>
            <w:vAlign w:val="center"/>
          </w:tcPr>
          <w:p>
            <w:pPr>
              <w:jc w:val="center"/>
            </w:pPr>
            <w:r/>
            <w:r>
              <w:rPr>
                <w:rFonts w:ascii="Aptos" w:hAnsi="Aptos" w:eastAsia="Aptos"/>
                <w:b w:val="0"/>
                <w:i w:val="0"/>
                <w:color w:val="192734"/>
                <w:sz w:val="16"/>
              </w:rPr>
              <w:t>True</w:t>
            </w:r>
          </w:p>
        </w:tc>
      </w:tr>
      <w:tr>
        <w:tc>
          <w:tcPr>
            <w:tcW w:type="dxa" w:w="2016"/>
            <w:vAlign w:val="center"/>
          </w:tcPr>
          <w:p>
            <w:r/>
            <w:r>
              <w:rPr>
                <w:rFonts w:ascii="Aptos" w:hAnsi="Aptos" w:eastAsia="Aptos"/>
                <w:b w:val="0"/>
                <w:i w:val="0"/>
                <w:color w:val="192734"/>
                <w:sz w:val="16"/>
              </w:rPr>
              <w:t>Neural Network</w:t>
            </w:r>
          </w:p>
        </w:tc>
        <w:tc>
          <w:tcPr>
            <w:tcW w:type="dxa" w:w="2016"/>
            <w:vAlign w:val="center"/>
          </w:tcPr>
          <w:p>
            <w:pPr>
              <w:jc w:val="center"/>
            </w:pPr>
            <w:r/>
            <w:r>
              <w:rPr>
                <w:rFonts w:ascii="Aptos" w:hAnsi="Aptos" w:eastAsia="Aptos"/>
                <w:b w:val="0"/>
                <w:i w:val="0"/>
                <w:color w:val="192734"/>
                <w:sz w:val="16"/>
              </w:rPr>
              <w:t>0.897</w:t>
            </w:r>
          </w:p>
        </w:tc>
        <w:tc>
          <w:tcPr>
            <w:tcW w:type="dxa" w:w="2016"/>
            <w:vAlign w:val="center"/>
          </w:tcPr>
          <w:p>
            <w:pPr>
              <w:jc w:val="center"/>
            </w:pPr>
            <w:r/>
            <w:r>
              <w:rPr>
                <w:rFonts w:ascii="Aptos" w:hAnsi="Aptos" w:eastAsia="Aptos"/>
                <w:b w:val="0"/>
                <w:i w:val="0"/>
                <w:color w:val="192734"/>
                <w:sz w:val="16"/>
              </w:rPr>
              <w:t>0.993</w:t>
            </w:r>
          </w:p>
        </w:tc>
        <w:tc>
          <w:tcPr>
            <w:tcW w:type="dxa" w:w="2016"/>
            <w:vAlign w:val="center"/>
          </w:tcPr>
          <w:p>
            <w:pPr>
              <w:jc w:val="center"/>
            </w:pPr>
            <w:r/>
            <w:r>
              <w:rPr>
                <w:rFonts w:ascii="Aptos" w:hAnsi="Aptos" w:eastAsia="Aptos"/>
                <w:b w:val="0"/>
                <w:i w:val="0"/>
                <w:color w:val="192734"/>
                <w:sz w:val="16"/>
              </w:rPr>
              <w:t>28.441</w:t>
            </w:r>
          </w:p>
        </w:tc>
        <w:tc>
          <w:tcPr>
            <w:tcW w:type="dxa" w:w="2016"/>
            <w:vAlign w:val="center"/>
          </w:tcPr>
          <w:p>
            <w:pPr>
              <w:jc w:val="center"/>
            </w:pPr>
            <w:r/>
            <w:r>
              <w:rPr>
                <w:rFonts w:ascii="Aptos" w:hAnsi="Aptos" w:eastAsia="Aptos"/>
                <w:b w:val="0"/>
                <w:i w:val="0"/>
                <w:color w:val="192734"/>
                <w:sz w:val="16"/>
              </w:rPr>
              <w:t>False</w:t>
            </w:r>
          </w:p>
        </w:tc>
      </w:tr>
      <w:tr>
        <w:tc>
          <w:tcPr>
            <w:tcW w:type="dxa" w:w="2016"/>
            <w:vAlign w:val="center"/>
          </w:tcPr>
          <w:p>
            <w:r/>
            <w:r>
              <w:rPr>
                <w:rFonts w:ascii="Aptos" w:hAnsi="Aptos" w:eastAsia="Aptos"/>
                <w:b w:val="0"/>
                <w:i w:val="0"/>
                <w:color w:val="192734"/>
                <w:sz w:val="16"/>
              </w:rPr>
              <w:t>Random Forest</w:t>
            </w:r>
          </w:p>
        </w:tc>
        <w:tc>
          <w:tcPr>
            <w:tcW w:type="dxa" w:w="2016"/>
            <w:vAlign w:val="center"/>
          </w:tcPr>
          <w:p>
            <w:pPr>
              <w:jc w:val="center"/>
            </w:pPr>
            <w:r/>
            <w:r>
              <w:rPr>
                <w:rFonts w:ascii="Aptos" w:hAnsi="Aptos" w:eastAsia="Aptos"/>
                <w:b w:val="0"/>
                <w:i w:val="0"/>
                <w:color w:val="192734"/>
                <w:sz w:val="16"/>
              </w:rPr>
              <w:t>0.89</w:t>
            </w:r>
          </w:p>
        </w:tc>
        <w:tc>
          <w:tcPr>
            <w:tcW w:type="dxa" w:w="2016"/>
            <w:vAlign w:val="center"/>
          </w:tcPr>
          <w:p>
            <w:pPr>
              <w:jc w:val="center"/>
            </w:pPr>
            <w:r/>
            <w:r>
              <w:rPr>
                <w:rFonts w:ascii="Aptos" w:hAnsi="Aptos" w:eastAsia="Aptos"/>
                <w:b w:val="0"/>
                <w:i w:val="0"/>
                <w:color w:val="192734"/>
                <w:sz w:val="16"/>
              </w:rPr>
              <w:t>0.993</w:t>
            </w:r>
          </w:p>
        </w:tc>
        <w:tc>
          <w:tcPr>
            <w:tcW w:type="dxa" w:w="2016"/>
            <w:vAlign w:val="center"/>
          </w:tcPr>
          <w:p>
            <w:pPr>
              <w:jc w:val="center"/>
            </w:pPr>
            <w:r/>
            <w:r>
              <w:rPr>
                <w:rFonts w:ascii="Aptos" w:hAnsi="Aptos" w:eastAsia="Aptos"/>
                <w:b w:val="0"/>
                <w:i w:val="0"/>
                <w:color w:val="192734"/>
                <w:sz w:val="16"/>
              </w:rPr>
              <w:t>11.006</w:t>
            </w:r>
          </w:p>
        </w:tc>
        <w:tc>
          <w:tcPr>
            <w:tcW w:type="dxa" w:w="2016"/>
            <w:vAlign w:val="center"/>
          </w:tcPr>
          <w:p>
            <w:pPr>
              <w:jc w:val="center"/>
            </w:pPr>
            <w:r/>
            <w:r>
              <w:rPr>
                <w:rFonts w:ascii="Aptos" w:hAnsi="Aptos" w:eastAsia="Aptos"/>
                <w:b w:val="0"/>
                <w:i w:val="0"/>
                <w:color w:val="192734"/>
                <w:sz w:val="16"/>
              </w:rPr>
              <w:t>False</w:t>
            </w:r>
          </w:p>
        </w:tc>
      </w:tr>
      <w:tr>
        <w:tc>
          <w:tcPr>
            <w:tcW w:type="dxa" w:w="2016"/>
            <w:vAlign w:val="center"/>
          </w:tcPr>
          <w:p>
            <w:r/>
            <w:r>
              <w:rPr>
                <w:rFonts w:ascii="Aptos" w:hAnsi="Aptos" w:eastAsia="Aptos"/>
                <w:b w:val="0"/>
                <w:i w:val="0"/>
                <w:color w:val="192734"/>
                <w:sz w:val="16"/>
              </w:rPr>
              <w:t>Logistic Regression</w:t>
            </w:r>
          </w:p>
        </w:tc>
        <w:tc>
          <w:tcPr>
            <w:tcW w:type="dxa" w:w="2016"/>
            <w:vAlign w:val="center"/>
          </w:tcPr>
          <w:p>
            <w:pPr>
              <w:jc w:val="center"/>
            </w:pPr>
            <w:r/>
            <w:r>
              <w:rPr>
                <w:rFonts w:ascii="Aptos" w:hAnsi="Aptos" w:eastAsia="Aptos"/>
                <w:b w:val="0"/>
                <w:i w:val="0"/>
                <w:color w:val="192734"/>
                <w:sz w:val="16"/>
              </w:rPr>
              <w:t>0.728</w:t>
            </w:r>
          </w:p>
        </w:tc>
        <w:tc>
          <w:tcPr>
            <w:tcW w:type="dxa" w:w="2016"/>
            <w:vAlign w:val="center"/>
          </w:tcPr>
          <w:p>
            <w:pPr>
              <w:jc w:val="center"/>
            </w:pPr>
            <w:r/>
            <w:r>
              <w:rPr>
                <w:rFonts w:ascii="Aptos" w:hAnsi="Aptos" w:eastAsia="Aptos"/>
                <w:b w:val="0"/>
                <w:i w:val="0"/>
                <w:color w:val="192734"/>
                <w:sz w:val="16"/>
              </w:rPr>
              <w:t>0.968</w:t>
            </w:r>
          </w:p>
        </w:tc>
        <w:tc>
          <w:tcPr>
            <w:tcW w:type="dxa" w:w="2016"/>
            <w:vAlign w:val="center"/>
          </w:tcPr>
          <w:p>
            <w:pPr>
              <w:jc w:val="center"/>
            </w:pPr>
            <w:r/>
            <w:r>
              <w:rPr>
                <w:rFonts w:ascii="Aptos" w:hAnsi="Aptos" w:eastAsia="Aptos"/>
                <w:b w:val="0"/>
                <w:i w:val="0"/>
                <w:color w:val="192734"/>
                <w:sz w:val="16"/>
              </w:rPr>
              <w:t>5.057</w:t>
            </w:r>
          </w:p>
        </w:tc>
        <w:tc>
          <w:tcPr>
            <w:tcW w:type="dxa" w:w="2016"/>
            <w:vAlign w:val="center"/>
          </w:tcPr>
          <w:p>
            <w:pPr>
              <w:jc w:val="center"/>
            </w:pPr>
            <w:r/>
            <w:r>
              <w:rPr>
                <w:rFonts w:ascii="Aptos" w:hAnsi="Aptos" w:eastAsia="Aptos"/>
                <w:b w:val="0"/>
                <w:i w:val="0"/>
                <w:color w:val="192734"/>
                <w:sz w:val="16"/>
              </w:rPr>
              <w:t>True</w:t>
            </w:r>
          </w:p>
        </w:tc>
      </w:tr>
      <w:tr>
        <w:tc>
          <w:tcPr>
            <w:tcW w:type="dxa" w:w="2016"/>
            <w:vAlign w:val="center"/>
          </w:tcPr>
          <w:p>
            <w:r/>
            <w:r>
              <w:rPr>
                <w:rFonts w:ascii="Aptos" w:hAnsi="Aptos" w:eastAsia="Aptos"/>
                <w:b w:val="0"/>
                <w:i w:val="0"/>
                <w:color w:val="192734"/>
                <w:sz w:val="16"/>
              </w:rPr>
              <w:t>Linear SVM</w:t>
            </w:r>
          </w:p>
        </w:tc>
        <w:tc>
          <w:tcPr>
            <w:tcW w:type="dxa" w:w="2016"/>
            <w:vAlign w:val="center"/>
          </w:tcPr>
          <w:p>
            <w:pPr>
              <w:jc w:val="center"/>
            </w:pPr>
            <w:r/>
            <w:r>
              <w:rPr>
                <w:rFonts w:ascii="Aptos" w:hAnsi="Aptos" w:eastAsia="Aptos"/>
                <w:b w:val="0"/>
                <w:i w:val="0"/>
                <w:color w:val="192734"/>
                <w:sz w:val="16"/>
              </w:rPr>
              <w:t>0.723</w:t>
            </w:r>
          </w:p>
        </w:tc>
        <w:tc>
          <w:tcPr>
            <w:tcW w:type="dxa" w:w="2016"/>
            <w:vAlign w:val="center"/>
          </w:tcPr>
          <w:p>
            <w:pPr>
              <w:jc w:val="center"/>
            </w:pPr>
            <w:r/>
            <w:r>
              <w:rPr>
                <w:rFonts w:ascii="Aptos" w:hAnsi="Aptos" w:eastAsia="Aptos"/>
                <w:b w:val="0"/>
                <w:i w:val="0"/>
                <w:color w:val="192734"/>
                <w:sz w:val="16"/>
              </w:rPr>
              <w:t>0.968</w:t>
            </w:r>
          </w:p>
        </w:tc>
        <w:tc>
          <w:tcPr>
            <w:tcW w:type="dxa" w:w="2016"/>
            <w:vAlign w:val="center"/>
          </w:tcPr>
          <w:p>
            <w:pPr>
              <w:jc w:val="center"/>
            </w:pPr>
            <w:r/>
            <w:r>
              <w:rPr>
                <w:rFonts w:ascii="Aptos" w:hAnsi="Aptos" w:eastAsia="Aptos"/>
                <w:b w:val="0"/>
                <w:i w:val="0"/>
                <w:color w:val="192734"/>
                <w:sz w:val="16"/>
              </w:rPr>
              <w:t>0.914</w:t>
            </w:r>
          </w:p>
        </w:tc>
        <w:tc>
          <w:tcPr>
            <w:tcW w:type="dxa" w:w="2016"/>
            <w:vAlign w:val="center"/>
          </w:tcPr>
          <w:p>
            <w:pPr>
              <w:jc w:val="center"/>
            </w:pPr>
            <w:r/>
            <w:r>
              <w:rPr>
                <w:rFonts w:ascii="Aptos" w:hAnsi="Aptos" w:eastAsia="Aptos"/>
                <w:b w:val="0"/>
                <w:i w:val="0"/>
                <w:color w:val="192734"/>
                <w:sz w:val="16"/>
              </w:rPr>
              <w:t>True</w:t>
            </w:r>
          </w:p>
        </w:tc>
      </w:tr>
    </w:tbl>
    <w:p>
      <w:pPr>
        <w:spacing w:after="120" w:line="259" w:lineRule="auto"/>
      </w:pPr>
    </w:p>
    <w:p>
      <w:pPr>
        <w:jc w:val="center"/>
      </w:pPr>
      <w:r>
        <w:drawing>
          <wp:inline xmlns:a="http://schemas.openxmlformats.org/drawingml/2006/main" xmlns:pic="http://schemas.openxmlformats.org/drawingml/2006/picture">
            <wp:extent cx="5303520" cy="3065418"/>
            <wp:docPr id="2" name="Picture 2" title="Fig" descr="Fig. 2. Accuracy-carbon Pareto result used in the report and posters."/>
            <wp:cNvGraphicFramePr>
              <a:graphicFrameLocks noChangeAspect="1"/>
            </wp:cNvGraphicFramePr>
            <a:graphic>
              <a:graphicData uri="http://schemas.openxmlformats.org/drawingml/2006/picture">
                <pic:pic>
                  <pic:nvPicPr>
                    <pic:cNvPr id="0" name="rq1_accuracy_carbon_pareto.png"/>
                    <pic:cNvPicPr/>
                  </pic:nvPicPr>
                  <pic:blipFill>
                    <a:blip r:embed="rId12"/>
                    <a:stretch>
                      <a:fillRect/>
                    </a:stretch>
                  </pic:blipFill>
                  <pic:spPr>
                    <a:xfrm>
                      <a:off x="0" y="0"/>
                      <a:ext cx="5303520" cy="3065418"/>
                    </a:xfrm>
                    <a:prstGeom prst="rect"/>
                  </pic:spPr>
                </pic:pic>
              </a:graphicData>
            </a:graphic>
          </wp:inline>
        </w:drawing>
      </w:r>
    </w:p>
    <w:p>
      <w:pPr>
        <w:spacing w:after="120" w:line="259" w:lineRule="auto"/>
        <w:jc w:val="center"/>
      </w:pPr>
      <w:r>
        <w:rPr>
          <w:rFonts w:ascii="Aptos" w:hAnsi="Aptos" w:eastAsia="Aptos"/>
          <w:b/>
          <w:i w:val="0"/>
          <w:color w:val="1E2A37"/>
          <w:sz w:val="17"/>
        </w:rPr>
        <w:t>Fig. 2. Accuracy-carbon Pareto result used in the report and posters.</w:t>
      </w:r>
    </w:p>
    <w:p>
      <w:pPr>
        <w:spacing w:before="240" w:after="100"/>
      </w:pPr>
      <w:r>
        <w:rPr>
          <w:rFonts w:ascii="Aptos" w:hAnsi="Aptos" w:eastAsia="Aptos"/>
          <w:b/>
          <w:i w:val="0"/>
          <w:color w:val="0F374E"/>
          <w:sz w:val="30"/>
        </w:rPr>
        <w:t>6. Carbon-Aware Accounting</w:t>
      </w:r>
    </w:p>
    <w:p>
      <w:pPr>
        <w:spacing w:after="120" w:line="259" w:lineRule="auto"/>
      </w:pPr>
      <w:r>
        <w:rPr>
          <w:rFonts w:ascii="Aptos" w:hAnsi="Aptos" w:eastAsia="Aptos"/>
          <w:b w:val="0"/>
          <w:i w:val="0"/>
          <w:color w:val="1E2A37"/>
          <w:sz w:val="21"/>
        </w:rPr>
        <w:t>The carbon estimate is a proxy. Training and prediction energy are estimated from measured runtime and assumed CPU power values. The carbon intensity proxy scales with residual load, meaning hours with lower wind/solar coverage receive higher proxy intensity. This is appropriate for comparative sensitivity analysis but should be replaced with measured hardware power and official emission factors in a deployment study.</w:t>
      </w:r>
    </w:p>
    <w:p>
      <w:pPr>
        <w:spacing w:after="120" w:line="259" w:lineRule="auto"/>
      </w:pPr>
      <w:r>
        <w:rPr>
          <w:rFonts w:ascii="Aptos" w:hAnsi="Aptos" w:eastAsia="Aptos"/>
          <w:b w:val="0"/>
          <w:i w:val="0"/>
          <w:color w:val="1E2A37"/>
          <w:sz w:val="21"/>
        </w:rPr>
        <w:t>The strongest model in this run is Histogram Gradient Boosting with F1 = 0.899; the lowest-compute model is Linear SVM with a carbon proxy of 0.914 mg CO2e. Green-window scheduling reduces the training-carbon proxy by 31.9% relative to random-hour scheduling.</w:t>
      </w:r>
    </w:p>
    <w:p>
      <w:pPr>
        <w:spacing w:before="240" w:after="100"/>
      </w:pPr>
      <w:r>
        <w:rPr>
          <w:rFonts w:ascii="Aptos" w:hAnsi="Aptos" w:eastAsia="Aptos"/>
          <w:b/>
          <w:i w:val="0"/>
          <w:color w:val="0F374E"/>
          <w:sz w:val="30"/>
        </w:rPr>
        <w:t>7. Generated Assets</w:t>
      </w:r>
    </w:p>
    <w:p>
      <w:pPr>
        <w:spacing w:after="120" w:line="259" w:lineRule="auto"/>
        <w:jc w:val="center"/>
      </w:pPr>
      <w:r>
        <w:rPr>
          <w:rFonts w:ascii="Aptos" w:hAnsi="Aptos" w:eastAsia="Aptos"/>
          <w:b/>
          <w:i w:val="0"/>
          <w:color w:val="0F374E"/>
          <w:sz w:val="20"/>
        </w:rPr>
        <w:t>TABLE 5. Project asset map.</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DCEAF7"/>
            <w:vAlign w:val="center"/>
          </w:tcPr>
          <w:p>
            <w:pPr>
              <w:jc w:val="center"/>
            </w:pPr>
            <w:r/>
            <w:r>
              <w:rPr>
                <w:rFonts w:ascii="Aptos" w:hAnsi="Aptos" w:eastAsia="Aptos"/>
                <w:b/>
                <w:i w:val="0"/>
                <w:color w:val="192734"/>
                <w:sz w:val="17"/>
              </w:rPr>
              <w:t>Asset type</w:t>
            </w:r>
          </w:p>
        </w:tc>
        <w:tc>
          <w:tcPr>
            <w:tcW w:type="dxa" w:w="5040"/>
            <w:shd w:fill="DCEAF7"/>
            <w:vAlign w:val="center"/>
          </w:tcPr>
          <w:p>
            <w:pPr>
              <w:jc w:val="center"/>
            </w:pPr>
            <w:r/>
            <w:r>
              <w:rPr>
                <w:rFonts w:ascii="Aptos" w:hAnsi="Aptos" w:eastAsia="Aptos"/>
                <w:b/>
                <w:i w:val="0"/>
                <w:color w:val="192734"/>
                <w:sz w:val="17"/>
              </w:rPr>
              <w:t>Location</w:t>
            </w:r>
          </w:p>
        </w:tc>
      </w:tr>
      <w:tr>
        <w:tc>
          <w:tcPr>
            <w:tcW w:type="dxa" w:w="5040"/>
            <w:vAlign w:val="center"/>
          </w:tcPr>
          <w:p>
            <w:r/>
            <w:r>
              <w:rPr>
                <w:rFonts w:ascii="Aptos" w:hAnsi="Aptos" w:eastAsia="Aptos"/>
                <w:b w:val="0"/>
                <w:i w:val="0"/>
                <w:color w:val="192734"/>
                <w:sz w:val="16"/>
              </w:rPr>
              <w:t>Raw data</w:t>
            </w:r>
          </w:p>
        </w:tc>
        <w:tc>
          <w:tcPr>
            <w:tcW w:type="dxa" w:w="5040"/>
            <w:vAlign w:val="center"/>
          </w:tcPr>
          <w:p>
            <w:pPr>
              <w:jc w:val="center"/>
            </w:pPr>
            <w:r/>
            <w:r>
              <w:rPr>
                <w:rFonts w:ascii="Aptos" w:hAnsi="Aptos" w:eastAsia="Aptos"/>
                <w:b w:val="0"/>
                <w:i w:val="0"/>
                <w:color w:val="192734"/>
                <w:sz w:val="16"/>
              </w:rPr>
              <w:t>data.csv</w:t>
            </w:r>
          </w:p>
        </w:tc>
      </w:tr>
      <w:tr>
        <w:tc>
          <w:tcPr>
            <w:tcW w:type="dxa" w:w="5040"/>
            <w:vAlign w:val="center"/>
          </w:tcPr>
          <w:p>
            <w:r/>
            <w:r>
              <w:rPr>
                <w:rFonts w:ascii="Aptos" w:hAnsi="Aptos" w:eastAsia="Aptos"/>
                <w:b w:val="0"/>
                <w:i w:val="0"/>
                <w:color w:val="192734"/>
                <w:sz w:val="16"/>
              </w:rPr>
              <w:t>Processed data</w:t>
            </w:r>
          </w:p>
        </w:tc>
        <w:tc>
          <w:tcPr>
            <w:tcW w:type="dxa" w:w="5040"/>
            <w:vAlign w:val="center"/>
          </w:tcPr>
          <w:p>
            <w:pPr>
              <w:jc w:val="center"/>
            </w:pPr>
            <w:r/>
            <w:r>
              <w:rPr>
                <w:rFonts w:ascii="Aptos" w:hAnsi="Aptos" w:eastAsia="Aptos"/>
                <w:b w:val="0"/>
                <w:i w:val="0"/>
                <w:color w:val="192734"/>
                <w:sz w:val="16"/>
              </w:rPr>
              <w:t>preprocessed_content.csv</w:t>
            </w:r>
          </w:p>
        </w:tc>
      </w:tr>
      <w:tr>
        <w:tc>
          <w:tcPr>
            <w:tcW w:type="dxa" w:w="5040"/>
            <w:vAlign w:val="center"/>
          </w:tcPr>
          <w:p>
            <w:r/>
            <w:r>
              <w:rPr>
                <w:rFonts w:ascii="Aptos" w:hAnsi="Aptos" w:eastAsia="Aptos"/>
                <w:b w:val="0"/>
                <w:i w:val="0"/>
                <w:color w:val="192734"/>
                <w:sz w:val="16"/>
              </w:rPr>
              <w:t>Notebooks</w:t>
            </w:r>
          </w:p>
        </w:tc>
        <w:tc>
          <w:tcPr>
            <w:tcW w:type="dxa" w:w="5040"/>
            <w:vAlign w:val="center"/>
          </w:tcPr>
          <w:p>
            <w:pPr>
              <w:jc w:val="center"/>
            </w:pPr>
            <w:r/>
            <w:r>
              <w:rPr>
                <w:rFonts w:ascii="Aptos" w:hAnsi="Aptos" w:eastAsia="Aptos"/>
                <w:b w:val="0"/>
                <w:i w:val="0"/>
                <w:color w:val="192734"/>
                <w:sz w:val="16"/>
              </w:rPr>
              <w:t>notebooks/rq1_carbon_aware_ml.ipynb through rq5_carbon_aware_ml.ipynb</w:t>
            </w:r>
          </w:p>
        </w:tc>
      </w:tr>
      <w:tr>
        <w:tc>
          <w:tcPr>
            <w:tcW w:type="dxa" w:w="5040"/>
            <w:vAlign w:val="center"/>
          </w:tcPr>
          <w:p>
            <w:r/>
            <w:r>
              <w:rPr>
                <w:rFonts w:ascii="Aptos" w:hAnsi="Aptos" w:eastAsia="Aptos"/>
                <w:b w:val="0"/>
                <w:i w:val="0"/>
                <w:color w:val="192734"/>
                <w:sz w:val="16"/>
              </w:rPr>
              <w:t>Tables</w:t>
            </w:r>
          </w:p>
        </w:tc>
        <w:tc>
          <w:tcPr>
            <w:tcW w:type="dxa" w:w="5040"/>
            <w:vAlign w:val="center"/>
          </w:tcPr>
          <w:p>
            <w:pPr>
              <w:jc w:val="center"/>
            </w:pPr>
            <w:r/>
            <w:r>
              <w:rPr>
                <w:rFonts w:ascii="Aptos" w:hAnsi="Aptos" w:eastAsia="Aptos"/>
                <w:b w:val="0"/>
                <w:i w:val="0"/>
                <w:color w:val="192734"/>
                <w:sz w:val="16"/>
              </w:rPr>
              <w:t>outputs/tables/*.csv</w:t>
            </w:r>
          </w:p>
        </w:tc>
      </w:tr>
      <w:tr>
        <w:tc>
          <w:tcPr>
            <w:tcW w:type="dxa" w:w="5040"/>
            <w:vAlign w:val="center"/>
          </w:tcPr>
          <w:p>
            <w:r/>
            <w:r>
              <w:rPr>
                <w:rFonts w:ascii="Aptos" w:hAnsi="Aptos" w:eastAsia="Aptos"/>
                <w:b w:val="0"/>
                <w:i w:val="0"/>
                <w:color w:val="192734"/>
                <w:sz w:val="16"/>
              </w:rPr>
              <w:t>Figures</w:t>
            </w:r>
          </w:p>
        </w:tc>
        <w:tc>
          <w:tcPr>
            <w:tcW w:type="dxa" w:w="5040"/>
            <w:vAlign w:val="center"/>
          </w:tcPr>
          <w:p>
            <w:pPr>
              <w:jc w:val="center"/>
            </w:pPr>
            <w:r/>
            <w:r>
              <w:rPr>
                <w:rFonts w:ascii="Aptos" w:hAnsi="Aptos" w:eastAsia="Aptos"/>
                <w:b w:val="0"/>
                <w:i w:val="0"/>
                <w:color w:val="192734"/>
                <w:sz w:val="16"/>
              </w:rPr>
              <w:t>outputs/figures/*.pdf and *.png</w:t>
            </w:r>
          </w:p>
        </w:tc>
      </w:tr>
      <w:tr>
        <w:tc>
          <w:tcPr>
            <w:tcW w:type="dxa" w:w="5040"/>
            <w:vAlign w:val="center"/>
          </w:tcPr>
          <w:p>
            <w:r/>
            <w:r>
              <w:rPr>
                <w:rFonts w:ascii="Aptos" w:hAnsi="Aptos" w:eastAsia="Aptos"/>
                <w:b w:val="0"/>
                <w:i w:val="0"/>
                <w:color w:val="192734"/>
                <w:sz w:val="16"/>
              </w:rPr>
              <w:t>Workflow</w:t>
            </w:r>
          </w:p>
        </w:tc>
        <w:tc>
          <w:tcPr>
            <w:tcW w:type="dxa" w:w="5040"/>
            <w:vAlign w:val="center"/>
          </w:tcPr>
          <w:p>
            <w:pPr>
              <w:jc w:val="center"/>
            </w:pPr>
            <w:r/>
            <w:r>
              <w:rPr>
                <w:rFonts w:ascii="Aptos" w:hAnsi="Aptos" w:eastAsia="Aptos"/>
                <w:b w:val="0"/>
                <w:i w:val="0"/>
                <w:color w:val="192734"/>
                <w:sz w:val="16"/>
              </w:rPr>
              <w:t>outputs/figures/workflow_structured_ai_esg_style.pdf/png</w:t>
            </w:r>
          </w:p>
        </w:tc>
      </w:tr>
      <w:tr>
        <w:tc>
          <w:tcPr>
            <w:tcW w:type="dxa" w:w="5040"/>
            <w:vAlign w:val="center"/>
          </w:tcPr>
          <w:p>
            <w:r/>
            <w:r>
              <w:rPr>
                <w:rFonts w:ascii="Aptos" w:hAnsi="Aptos" w:eastAsia="Aptos"/>
                <w:b w:val="0"/>
                <w:i w:val="0"/>
                <w:color w:val="192734"/>
                <w:sz w:val="16"/>
              </w:rPr>
              <w:t>Posters</w:t>
            </w:r>
          </w:p>
        </w:tc>
        <w:tc>
          <w:tcPr>
            <w:tcW w:type="dxa" w:w="5040"/>
            <w:vAlign w:val="center"/>
          </w:tcPr>
          <w:p>
            <w:pPr>
              <w:jc w:val="center"/>
            </w:pPr>
            <w:r/>
            <w:r>
              <w:rPr>
                <w:rFonts w:ascii="Aptos" w:hAnsi="Aptos" w:eastAsia="Aptos"/>
                <w:b w:val="0"/>
                <w:i w:val="0"/>
                <w:color w:val="192734"/>
                <w:sz w:val="16"/>
              </w:rPr>
              <w:t>posters/carbon_aware_ml_academic_posters_v2.pptx</w:t>
            </w:r>
          </w:p>
        </w:tc>
      </w:tr>
      <w:tr>
        <w:tc>
          <w:tcPr>
            <w:tcW w:type="dxa" w:w="5040"/>
            <w:vAlign w:val="center"/>
          </w:tcPr>
          <w:p>
            <w:r/>
            <w:r>
              <w:rPr>
                <w:rFonts w:ascii="Aptos" w:hAnsi="Aptos" w:eastAsia="Aptos"/>
                <w:b w:val="0"/>
                <w:i w:val="0"/>
                <w:color w:val="192734"/>
                <w:sz w:val="16"/>
              </w:rPr>
              <w:t>Technical report</w:t>
            </w:r>
          </w:p>
        </w:tc>
        <w:tc>
          <w:tcPr>
            <w:tcW w:type="dxa" w:w="5040"/>
            <w:vAlign w:val="center"/>
          </w:tcPr>
          <w:p>
            <w:pPr>
              <w:jc w:val="center"/>
            </w:pPr>
            <w:r/>
            <w:r>
              <w:rPr>
                <w:rFonts w:ascii="Aptos" w:hAnsi="Aptos" w:eastAsia="Aptos"/>
                <w:b w:val="0"/>
                <w:i w:val="0"/>
                <w:color w:val="192734"/>
                <w:sz w:val="16"/>
              </w:rPr>
              <w:t>report/Carbon_Aware_ML_Germany_IEEEPES_Technical_Report.docx</w:t>
            </w:r>
          </w:p>
        </w:tc>
      </w:tr>
    </w:tbl>
    <w:p>
      <w:pPr>
        <w:spacing w:after="120" w:line="259" w:lineRule="auto"/>
      </w:pPr>
    </w:p>
    <w:p>
      <w:pPr>
        <w:spacing w:before="240" w:after="100"/>
      </w:pPr>
      <w:r>
        <w:rPr>
          <w:rFonts w:ascii="Aptos" w:hAnsi="Aptos" w:eastAsia="Aptos"/>
          <w:b/>
          <w:i w:val="0"/>
          <w:color w:val="0F374E"/>
          <w:sz w:val="30"/>
        </w:rPr>
        <w:t>8. Poster and Workflow Design</w:t>
      </w:r>
    </w:p>
    <w:p>
      <w:pPr>
        <w:spacing w:after="120" w:line="259" w:lineRule="auto"/>
      </w:pPr>
      <w:r>
        <w:rPr>
          <w:rFonts w:ascii="Aptos" w:hAnsi="Aptos" w:eastAsia="Aptos"/>
          <w:b w:val="0"/>
          <w:i w:val="0"/>
          <w:color w:val="1E2A37"/>
          <w:sz w:val="21"/>
        </w:rPr>
        <w:t>The revised poster deck follows the provided lecture screenshot more closely: a centered title, top corner icons, upper Motivation and Datasets panels, a full-height left methodology strip, and right-side sections for research questions, key results, findings, and conclusion. Three visual variants are included in one editable PowerPoint deck. The structured workflow diagram follows an academic 1-8 left-to-right flow with circular step markers, an AI framework box, and explicit outputs and recommendations.</w:t>
      </w:r>
    </w:p>
    <w:p>
      <w:pPr>
        <w:spacing w:before="240" w:after="100"/>
      </w:pPr>
      <w:r>
        <w:rPr>
          <w:rFonts w:ascii="Aptos" w:hAnsi="Aptos" w:eastAsia="Aptos"/>
          <w:b/>
          <w:i w:val="0"/>
          <w:color w:val="0F374E"/>
          <w:sz w:val="30"/>
        </w:rPr>
        <w:t>9. IEEE/PES Report Verification</w:t>
      </w:r>
    </w:p>
    <w:p>
      <w:pPr>
        <w:spacing w:after="120" w:line="259" w:lineRule="auto"/>
      </w:pPr>
      <w:r>
        <w:rPr>
          <w:rFonts w:ascii="Aptos" w:hAnsi="Aptos" w:eastAsia="Aptos"/>
          <w:b w:val="0"/>
          <w:i w:val="0"/>
          <w:color w:val="1E2A37"/>
          <w:sz w:val="21"/>
        </w:rPr>
        <w:t>The technical report was generated from the provided IEEE PES Technical Report template rather than from a blank document. The final report keeps the expected front matter pattern (cover, acknowledgments, keywords, contents), numbered technical sections, centered table labels, centered figure captions, references, and a restrained Times-style technical-report layout. The report was rendered to page images and visually inspected for clipping, orphaned captions, table crowding, and broken figure placement. It also passed the document accessibility audit after adding figure alt text and repeated table-header metadata.</w:t>
      </w:r>
    </w:p>
    <w:p>
      <w:pPr>
        <w:spacing w:after="120" w:line="259" w:lineRule="auto"/>
        <w:jc w:val="center"/>
      </w:pPr>
      <w:r>
        <w:rPr>
          <w:rFonts w:ascii="Aptos" w:hAnsi="Aptos" w:eastAsia="Aptos"/>
          <w:b/>
          <w:i w:val="0"/>
          <w:color w:val="0F374E"/>
          <w:sz w:val="20"/>
        </w:rPr>
        <w:t>TABLE 6. Report-template compliance checklist.</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DCEAF7"/>
            <w:vAlign w:val="center"/>
          </w:tcPr>
          <w:p>
            <w:pPr>
              <w:jc w:val="center"/>
            </w:pPr>
            <w:r/>
            <w:r>
              <w:rPr>
                <w:rFonts w:ascii="Aptos" w:hAnsi="Aptos" w:eastAsia="Aptos"/>
                <w:b/>
                <w:i w:val="0"/>
                <w:color w:val="192734"/>
                <w:sz w:val="17"/>
              </w:rPr>
              <w:t>Check</w:t>
            </w:r>
          </w:p>
        </w:tc>
        <w:tc>
          <w:tcPr>
            <w:tcW w:type="dxa" w:w="3360"/>
            <w:shd w:fill="DCEAF7"/>
            <w:vAlign w:val="center"/>
          </w:tcPr>
          <w:p>
            <w:pPr>
              <w:jc w:val="center"/>
            </w:pPr>
            <w:r/>
            <w:r>
              <w:rPr>
                <w:rFonts w:ascii="Aptos" w:hAnsi="Aptos" w:eastAsia="Aptos"/>
                <w:b/>
                <w:i w:val="0"/>
                <w:color w:val="192734"/>
                <w:sz w:val="17"/>
              </w:rPr>
              <w:t>Evidence</w:t>
            </w:r>
          </w:p>
        </w:tc>
        <w:tc>
          <w:tcPr>
            <w:tcW w:type="dxa" w:w="3360"/>
            <w:shd w:fill="DCEAF7"/>
            <w:vAlign w:val="center"/>
          </w:tcPr>
          <w:p>
            <w:pPr>
              <w:jc w:val="center"/>
            </w:pPr>
            <w:r/>
            <w:r>
              <w:rPr>
                <w:rFonts w:ascii="Aptos" w:hAnsi="Aptos" w:eastAsia="Aptos"/>
                <w:b/>
                <w:i w:val="0"/>
                <w:color w:val="192734"/>
                <w:sz w:val="17"/>
              </w:rPr>
              <w:t>Status</w:t>
            </w:r>
          </w:p>
        </w:tc>
      </w:tr>
      <w:tr>
        <w:tc>
          <w:tcPr>
            <w:tcW w:type="dxa" w:w="3360"/>
            <w:vAlign w:val="center"/>
          </w:tcPr>
          <w:p>
            <w:r/>
            <w:r>
              <w:rPr>
                <w:rFonts w:ascii="Aptos" w:hAnsi="Aptos" w:eastAsia="Aptos"/>
                <w:b w:val="0"/>
                <w:i w:val="0"/>
                <w:color w:val="192734"/>
                <w:sz w:val="16"/>
              </w:rPr>
              <w:t>Template base</w:t>
            </w:r>
          </w:p>
        </w:tc>
        <w:tc>
          <w:tcPr>
            <w:tcW w:type="dxa" w:w="3360"/>
            <w:vAlign w:val="center"/>
          </w:tcPr>
          <w:p>
            <w:pPr>
              <w:jc w:val="center"/>
            </w:pPr>
            <w:r/>
            <w:r>
              <w:rPr>
                <w:rFonts w:ascii="Aptos" w:hAnsi="Aptos" w:eastAsia="Aptos"/>
                <w:b w:val="0"/>
                <w:i w:val="0"/>
                <w:color w:val="192734"/>
                <w:sz w:val="16"/>
              </w:rPr>
              <w:t>Built from PES-Technical-Report-Template_Jan_2019.docx</w:t>
            </w:r>
          </w:p>
        </w:tc>
        <w:tc>
          <w:tcPr>
            <w:tcW w:type="dxa" w:w="3360"/>
            <w:vAlign w:val="center"/>
          </w:tcPr>
          <w:p>
            <w:pPr>
              <w:jc w:val="center"/>
            </w:pPr>
            <w:r/>
            <w:r>
              <w:rPr>
                <w:rFonts w:ascii="Aptos" w:hAnsi="Aptos" w:eastAsia="Aptos"/>
                <w:b w:val="0"/>
                <w:i w:val="0"/>
                <w:color w:val="192734"/>
                <w:sz w:val="16"/>
              </w:rPr>
              <w:t>Pass</w:t>
            </w:r>
          </w:p>
        </w:tc>
      </w:tr>
      <w:tr>
        <w:tc>
          <w:tcPr>
            <w:tcW w:type="dxa" w:w="3360"/>
            <w:vAlign w:val="center"/>
          </w:tcPr>
          <w:p>
            <w:r/>
            <w:r>
              <w:rPr>
                <w:rFonts w:ascii="Aptos" w:hAnsi="Aptos" w:eastAsia="Aptos"/>
                <w:b w:val="0"/>
                <w:i w:val="0"/>
                <w:color w:val="192734"/>
                <w:sz w:val="16"/>
              </w:rPr>
              <w:t>Front matter</w:t>
            </w:r>
          </w:p>
        </w:tc>
        <w:tc>
          <w:tcPr>
            <w:tcW w:type="dxa" w:w="3360"/>
            <w:vAlign w:val="center"/>
          </w:tcPr>
          <w:p>
            <w:pPr>
              <w:jc w:val="center"/>
            </w:pPr>
            <w:r/>
            <w:r>
              <w:rPr>
                <w:rFonts w:ascii="Aptos" w:hAnsi="Aptos" w:eastAsia="Aptos"/>
                <w:b w:val="0"/>
                <w:i w:val="0"/>
                <w:color w:val="192734"/>
                <w:sz w:val="16"/>
              </w:rPr>
              <w:t>Acknowledgments, keywords, contents</w:t>
            </w:r>
          </w:p>
        </w:tc>
        <w:tc>
          <w:tcPr>
            <w:tcW w:type="dxa" w:w="3360"/>
            <w:vAlign w:val="center"/>
          </w:tcPr>
          <w:p>
            <w:pPr>
              <w:jc w:val="center"/>
            </w:pPr>
            <w:r/>
            <w:r>
              <w:rPr>
                <w:rFonts w:ascii="Aptos" w:hAnsi="Aptos" w:eastAsia="Aptos"/>
                <w:b w:val="0"/>
                <w:i w:val="0"/>
                <w:color w:val="192734"/>
                <w:sz w:val="16"/>
              </w:rPr>
              <w:t>Pass</w:t>
            </w:r>
          </w:p>
        </w:tc>
      </w:tr>
      <w:tr>
        <w:tc>
          <w:tcPr>
            <w:tcW w:type="dxa" w:w="3360"/>
            <w:vAlign w:val="center"/>
          </w:tcPr>
          <w:p>
            <w:r/>
            <w:r>
              <w:rPr>
                <w:rFonts w:ascii="Aptos" w:hAnsi="Aptos" w:eastAsia="Aptos"/>
                <w:b w:val="0"/>
                <w:i w:val="0"/>
                <w:color w:val="192734"/>
                <w:sz w:val="16"/>
              </w:rPr>
              <w:t>Technical sections</w:t>
            </w:r>
          </w:p>
        </w:tc>
        <w:tc>
          <w:tcPr>
            <w:tcW w:type="dxa" w:w="3360"/>
            <w:vAlign w:val="center"/>
          </w:tcPr>
          <w:p>
            <w:pPr>
              <w:jc w:val="center"/>
            </w:pPr>
            <w:r/>
            <w:r>
              <w:rPr>
                <w:rFonts w:ascii="Aptos" w:hAnsi="Aptos" w:eastAsia="Aptos"/>
                <w:b w:val="0"/>
                <w:i w:val="0"/>
                <w:color w:val="192734"/>
                <w:sz w:val="16"/>
              </w:rPr>
              <w:t>Introduction, dataset, methodology, results, governance, limitations, conclusions</w:t>
            </w:r>
          </w:p>
        </w:tc>
        <w:tc>
          <w:tcPr>
            <w:tcW w:type="dxa" w:w="3360"/>
            <w:vAlign w:val="center"/>
          </w:tcPr>
          <w:p>
            <w:pPr>
              <w:jc w:val="center"/>
            </w:pPr>
            <w:r/>
            <w:r>
              <w:rPr>
                <w:rFonts w:ascii="Aptos" w:hAnsi="Aptos" w:eastAsia="Aptos"/>
                <w:b w:val="0"/>
                <w:i w:val="0"/>
                <w:color w:val="192734"/>
                <w:sz w:val="16"/>
              </w:rPr>
              <w:t>Pass</w:t>
            </w:r>
          </w:p>
        </w:tc>
      </w:tr>
      <w:tr>
        <w:tc>
          <w:tcPr>
            <w:tcW w:type="dxa" w:w="3360"/>
            <w:vAlign w:val="center"/>
          </w:tcPr>
          <w:p>
            <w:r/>
            <w:r>
              <w:rPr>
                <w:rFonts w:ascii="Aptos" w:hAnsi="Aptos" w:eastAsia="Aptos"/>
                <w:b w:val="0"/>
                <w:i w:val="0"/>
                <w:color w:val="192734"/>
                <w:sz w:val="16"/>
              </w:rPr>
              <w:t>Tables/figures</w:t>
            </w:r>
          </w:p>
        </w:tc>
        <w:tc>
          <w:tcPr>
            <w:tcW w:type="dxa" w:w="3360"/>
            <w:vAlign w:val="center"/>
          </w:tcPr>
          <w:p>
            <w:pPr>
              <w:jc w:val="center"/>
            </w:pPr>
            <w:r/>
            <w:r>
              <w:rPr>
                <w:rFonts w:ascii="Aptos" w:hAnsi="Aptos" w:eastAsia="Aptos"/>
                <w:b w:val="0"/>
                <w:i w:val="0"/>
                <w:color w:val="192734"/>
                <w:sz w:val="16"/>
              </w:rPr>
              <w:t>Centered labels/captions and placed near citations</w:t>
            </w:r>
          </w:p>
        </w:tc>
        <w:tc>
          <w:tcPr>
            <w:tcW w:type="dxa" w:w="3360"/>
            <w:vAlign w:val="center"/>
          </w:tcPr>
          <w:p>
            <w:pPr>
              <w:jc w:val="center"/>
            </w:pPr>
            <w:r/>
            <w:r>
              <w:rPr>
                <w:rFonts w:ascii="Aptos" w:hAnsi="Aptos" w:eastAsia="Aptos"/>
                <w:b w:val="0"/>
                <w:i w:val="0"/>
                <w:color w:val="192734"/>
                <w:sz w:val="16"/>
              </w:rPr>
              <w:t>Pass</w:t>
            </w:r>
          </w:p>
        </w:tc>
      </w:tr>
      <w:tr>
        <w:tc>
          <w:tcPr>
            <w:tcW w:type="dxa" w:w="3360"/>
            <w:vAlign w:val="center"/>
          </w:tcPr>
          <w:p>
            <w:r/>
            <w:r>
              <w:rPr>
                <w:rFonts w:ascii="Aptos" w:hAnsi="Aptos" w:eastAsia="Aptos"/>
                <w:b w:val="0"/>
                <w:i w:val="0"/>
                <w:color w:val="192734"/>
                <w:sz w:val="16"/>
              </w:rPr>
              <w:t>References</w:t>
            </w:r>
          </w:p>
        </w:tc>
        <w:tc>
          <w:tcPr>
            <w:tcW w:type="dxa" w:w="3360"/>
            <w:vAlign w:val="center"/>
          </w:tcPr>
          <w:p>
            <w:pPr>
              <w:jc w:val="center"/>
            </w:pPr>
            <w:r/>
            <w:r>
              <w:rPr>
                <w:rFonts w:ascii="Aptos" w:hAnsi="Aptos" w:eastAsia="Aptos"/>
                <w:b w:val="0"/>
                <w:i w:val="0"/>
                <w:color w:val="192734"/>
                <w:sz w:val="16"/>
              </w:rPr>
              <w:t>Numbered technical-report style references</w:t>
            </w:r>
          </w:p>
        </w:tc>
        <w:tc>
          <w:tcPr>
            <w:tcW w:type="dxa" w:w="3360"/>
            <w:vAlign w:val="center"/>
          </w:tcPr>
          <w:p>
            <w:pPr>
              <w:jc w:val="center"/>
            </w:pPr>
            <w:r/>
            <w:r>
              <w:rPr>
                <w:rFonts w:ascii="Aptos" w:hAnsi="Aptos" w:eastAsia="Aptos"/>
                <w:b w:val="0"/>
                <w:i w:val="0"/>
                <w:color w:val="192734"/>
                <w:sz w:val="16"/>
              </w:rPr>
              <w:t>Pass</w:t>
            </w:r>
          </w:p>
        </w:tc>
      </w:tr>
      <w:tr>
        <w:tc>
          <w:tcPr>
            <w:tcW w:type="dxa" w:w="3360"/>
            <w:vAlign w:val="center"/>
          </w:tcPr>
          <w:p>
            <w:r/>
            <w:r>
              <w:rPr>
                <w:rFonts w:ascii="Aptos" w:hAnsi="Aptos" w:eastAsia="Aptos"/>
                <w:b w:val="0"/>
                <w:i w:val="0"/>
                <w:color w:val="192734"/>
                <w:sz w:val="16"/>
              </w:rPr>
              <w:t>Visual QA</w:t>
            </w:r>
          </w:p>
        </w:tc>
        <w:tc>
          <w:tcPr>
            <w:tcW w:type="dxa" w:w="3360"/>
            <w:vAlign w:val="center"/>
          </w:tcPr>
          <w:p>
            <w:pPr>
              <w:jc w:val="center"/>
            </w:pPr>
            <w:r/>
            <w:r>
              <w:rPr>
                <w:rFonts w:ascii="Aptos" w:hAnsi="Aptos" w:eastAsia="Aptos"/>
                <w:b w:val="0"/>
                <w:i w:val="0"/>
                <w:color w:val="192734"/>
                <w:sz w:val="16"/>
              </w:rPr>
              <w:t>Rendered with artifact-tool and inspected</w:t>
            </w:r>
          </w:p>
        </w:tc>
        <w:tc>
          <w:tcPr>
            <w:tcW w:type="dxa" w:w="3360"/>
            <w:vAlign w:val="center"/>
          </w:tcPr>
          <w:p>
            <w:pPr>
              <w:jc w:val="center"/>
            </w:pPr>
            <w:r/>
            <w:r>
              <w:rPr>
                <w:rFonts w:ascii="Aptos" w:hAnsi="Aptos" w:eastAsia="Aptos"/>
                <w:b w:val="0"/>
                <w:i w:val="0"/>
                <w:color w:val="192734"/>
                <w:sz w:val="16"/>
              </w:rPr>
              <w:t>Pass</w:t>
            </w:r>
          </w:p>
        </w:tc>
      </w:tr>
      <w:tr>
        <w:tc>
          <w:tcPr>
            <w:tcW w:type="dxa" w:w="3360"/>
            <w:vAlign w:val="center"/>
          </w:tcPr>
          <w:p>
            <w:r/>
            <w:r>
              <w:rPr>
                <w:rFonts w:ascii="Aptos" w:hAnsi="Aptos" w:eastAsia="Aptos"/>
                <w:b w:val="0"/>
                <w:i w:val="0"/>
                <w:color w:val="192734"/>
                <w:sz w:val="16"/>
              </w:rPr>
              <w:t>Accessibility</w:t>
            </w:r>
          </w:p>
        </w:tc>
        <w:tc>
          <w:tcPr>
            <w:tcW w:type="dxa" w:w="3360"/>
            <w:vAlign w:val="center"/>
          </w:tcPr>
          <w:p>
            <w:pPr>
              <w:jc w:val="center"/>
            </w:pPr>
            <w:r/>
            <w:r>
              <w:rPr>
                <w:rFonts w:ascii="Aptos" w:hAnsi="Aptos" w:eastAsia="Aptos"/>
                <w:b w:val="0"/>
                <w:i w:val="0"/>
                <w:color w:val="192734"/>
                <w:sz w:val="16"/>
              </w:rPr>
              <w:t>0 high, 0 medium, 0 low findings</w:t>
            </w:r>
          </w:p>
        </w:tc>
        <w:tc>
          <w:tcPr>
            <w:tcW w:type="dxa" w:w="3360"/>
            <w:vAlign w:val="center"/>
          </w:tcPr>
          <w:p>
            <w:pPr>
              <w:jc w:val="center"/>
            </w:pPr>
            <w:r/>
            <w:r>
              <w:rPr>
                <w:rFonts w:ascii="Aptos" w:hAnsi="Aptos" w:eastAsia="Aptos"/>
                <w:b w:val="0"/>
                <w:i w:val="0"/>
                <w:color w:val="192734"/>
                <w:sz w:val="16"/>
              </w:rPr>
              <w:t>Pass</w:t>
            </w:r>
          </w:p>
        </w:tc>
      </w:tr>
    </w:tbl>
    <w:p>
      <w:pPr>
        <w:spacing w:after="120" w:line="259" w:lineRule="auto"/>
      </w:pPr>
    </w:p>
    <w:p>
      <w:pPr>
        <w:spacing w:before="240" w:after="100"/>
      </w:pPr>
      <w:r>
        <w:rPr>
          <w:rFonts w:ascii="Aptos" w:hAnsi="Aptos" w:eastAsia="Aptos"/>
          <w:b/>
          <w:i w:val="0"/>
          <w:color w:val="0F374E"/>
          <w:sz w:val="30"/>
        </w:rPr>
        <w:t>10. How to Regenerate</w:t>
      </w:r>
    </w:p>
    <w:p>
      <w:pPr>
        <w:spacing w:after="120" w:line="259" w:lineRule="auto"/>
      </w:pPr>
      <w:r>
        <w:rPr>
          <w:rFonts w:ascii="Aptos" w:hAnsi="Aptos" w:eastAsia="Aptos"/>
          <w:b w:val="0"/>
          <w:i w:val="0"/>
          <w:color w:val="1E2A37"/>
          <w:sz w:val="21"/>
        </w:rPr>
        <w:t>From the project root, run `python3 scripts/generate_analysis_assets.py` to rebuild the data, notebooks, tables, and core figures. Run `python3 scripts/generate_revised_poster_and_workflow.py` to regenerate the revised workflow and poster deck. Run the bundled Python command for `scripts/generate_report_docx.py` and `scripts/generate_project_documentation_docx.py` to rebuild the Word deliverables.</w:t>
      </w: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A646C"/>
        <w:sz w:val="17"/>
      </w:rPr>
      <w:t>PS26 reproducibility documentation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eastAsia="Aptos"/>
        <w:b w:val="0"/>
        <w:i w:val="0"/>
        <w:color w:val="5A646C"/>
        <w:sz w:val="17"/>
      </w:rPr>
      <w:t>Project Documentation | Carbon-Aware AI Model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