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1F3864"/>
          <w:sz w:val="40"/>
          <w:szCs w:val="40"/>
        </w:rPr>
        <w:t xml:space="preserve">Business &amp; Functional Requirements Document</w:t>
      </w:r>
    </w:p>
    <w:p>
      <w:pPr>
        <w:spacing w:before="200"/>
        <w:jc w:val="center"/>
      </w:pPr>
      <w:r>
        <w:rPr>
          <w:b/>
          <w:bCs/>
          <w:color w:val="2E75B6"/>
          <w:sz w:val="30"/>
          <w:szCs w:val="30"/>
        </w:rPr>
        <w:t xml:space="preserve">AI Agent for Payroll Implementation Validation</w:t>
      </w:r>
    </w:p>
    <w:p>
      <w:pPr>
        <w:spacing w:before="100"/>
        <w:jc w:val="center"/>
      </w:pPr>
      <w:r>
        <w:rPr>
          <w:i/>
          <w:iCs/>
          <w:color w:val="595959"/>
          <w:sz w:val="22"/>
          <w:szCs w:val="22"/>
        </w:rPr>
        <w:t xml:space="preserve">(Statutory Compliance &amp; Parallel-Run Variance Assistant for SaaS Payroll Platforms)</w:t>
      </w:r>
    </w:p>
    <w:p>
      <w:pPr>
        <w:spacing w:before="140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Business &amp; Functional Requirements Document (BRD/FRD)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Statutory Payroll Validation AI Agent ("PayVerify AI")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 / Engineering / Implementation Teams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(Draft)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6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 July 2026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Draft — for review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Purpose &amp; Objective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Background &amp; Problem Statement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Scope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Stakeholders &amp; Users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Definitions &amp; Abbreviations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Solution Overview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Detailed Logic Examples (Reference Patterns)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Data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System Architecture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AI / ML Approach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Integration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Compliance, Security &amp; Data Privacy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Reporting &amp; Dashboard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Success Metrics / KPIs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Assumptions &amp; Constraints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Risks &amp; Mitigations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Implementation Roadmap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Team &amp; Roles Required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Appendix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Purpose &amp; Objective</w:t>
      </w:r>
    </w:p>
    <w:p>
      <w:pPr>
        <w:spacing w:after="140" w:line="300"/>
      </w:pPr>
      <w:r>
        <w:rPr>
          <w:sz w:val="21"/>
          <w:szCs w:val="21"/>
        </w:rPr>
        <w:t xml:space="preserve">This document defines the business and functional requirements for building an AI-based agent ("PayVerify AI") that reduces manual effort in payroll implementation and parallel-run validation projects for SaaS payroll platforms (e.g., Darwinbox implementations). The agent's core function is to compare a client's payroll register against the payroll platform's calculated register, identify variances at employee and pay-component level, and generate an explainable root-cause suggestion together with a recommended next action — replicating the diagnostic reasoning currently performed manually by payroll implementation consultants.</w:t>
      </w:r>
    </w:p>
    <w:p>
      <w:pPr>
        <w:pStyle w:val="Heading3"/>
        <w:spacing w:after="100" w:before="200"/>
      </w:pPr>
      <w:r>
        <w:t xml:space="preserve">1.1 Objectives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Reduce manual effort and turnaround time (TAT) for parallel-run / UAT reconciliation cycles.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Encode country-specific statutory rules (contribution ceilings, age bands, nationality/residency conditions, exemptions) into a maintainable, versioned knowledge base.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Automatically detect and explain variances between the client register and the platform (Darwinbox) register at employee → pay component → statutory contribution level.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Provide a graded, human-readable recommendation for every variance: whether the platform calculation is statutorily correct, whether the client input/configuration is likely wrong, or whether clarification is required.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Continuously learn from consultant feedback and legislative updates, improving suggestion accuracy over time.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Provide an audit trail so every AI suggestion can be traced back to the statutory rule, rate, and employee data point that produced it.</w:t>
      </w:r>
    </w:p>
    <w:p>
      <w:pPr>
        <w:pStyle w:val="Heading1"/>
        <w:spacing w:after="160" w:before="360"/>
      </w:pPr>
      <w:r>
        <w:t xml:space="preserve">2. Background &amp; Problem Statement</w:t>
      </w:r>
    </w:p>
    <w:p>
      <w:pPr>
        <w:spacing w:after="140" w:line="300"/>
      </w:pPr>
      <w:r>
        <w:rPr>
          <w:sz w:val="21"/>
          <w:szCs w:val="21"/>
        </w:rPr>
        <w:t xml:space="preserve">Payroll implementation projects require validating that a new payroll system computes statutory and business pay components correctly against a client's existing (source/legacy) payroll register, across every country the client operates in. Today this is a manual, consultant-driven process: for every variance found between the client register and the platform register, a consultant must manually check pay component mapping, employee master data (nationality, age, date of joining, wage type), applicable statutory rule/rate for that country, and then judge whether the client or the platform is correct.</w:t>
      </w:r>
    </w:p>
    <w:p>
      <w:pPr>
        <w:spacing w:after="140" w:line="300"/>
      </w:pPr>
      <w:r>
        <w:rPr>
          <w:sz w:val="21"/>
          <w:szCs w:val="21"/>
        </w:rPr>
        <w:t xml:space="preserve">This is slow, inconsistent across consultants, dependent on tribal knowledge of statutory rules, and difficult to scale across the many countries and frequent legislative changes a multi-country SaaS payroll product must support. An AI agent that encodes this reasoning — combining a deterministic statutory rule engine with an LLM-based explanation layer — can significantly compress this effort while improving consistency and auditability.</w:t>
      </w:r>
    </w:p>
    <w:p>
      <w:pPr>
        <w:pStyle w:val="Heading1"/>
        <w:spacing w:after="160" w:before="360"/>
      </w:pPr>
      <w:r>
        <w:t xml:space="preserve">3. Scope</w:t>
      </w:r>
    </w:p>
    <w:p>
      <w:pPr>
        <w:pStyle w:val="Heading3"/>
        <w:spacing w:after="100" w:before="200"/>
      </w:pPr>
      <w:r>
        <w:t xml:space="preserve">3.1 In Scope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Upload and comparison of Client Register and Darwinbox (platform) Register at employee and pay-component level.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Country-specific statutory rule knowledge base — starting with Malaysia (EPF, SOCSO, EIS, HRDF, PCB/MTD) as the reference country, architected to extend to other countries (India, Philippines, Indonesia, UAE/GCC, Singapore, etc.).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Variance detection, classification, root-cause suggestion, and recommended next action per variance.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Employee-level statutory eligibility logic (e.g., age-based EPF rate, nationality-based HRDF applicability, wage ceiling caps).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Dashboard/report of all variances with drill-down to employee and rule level.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Feedback capture loop for consultants to confirm/reject/correct AI suggestions, feeding back into the rule base and model.</w:t>
      </w:r>
    </w:p>
    <w:p>
      <w:pPr>
        <w:pStyle w:val="Heading3"/>
        <w:spacing w:after="100" w:before="200"/>
      </w:pPr>
      <w:r>
        <w:t xml:space="preserve">3.2 Out of Scope (Phase 1)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Automatic correction/write-back of client source data or Darwinbox configuration (Phase 1 is advisory-only; auto-remediation is a later phase — see Section 19).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Real-time legislative monitoring/auto-ingestion of new laws without human legal review (Phase 1 knowledge base is curated and versioned by a compliance team; automated legislative scraping is a future enhancement).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Statutory filing/submission functionality (the agent validates calculations; it does not file returns).</w:t>
      </w:r>
    </w:p>
    <w:p>
      <w:pPr>
        <w:pStyle w:val="Heading1"/>
        <w:spacing w:after="160" w:before="360"/>
      </w:pPr>
      <w:r>
        <w:t xml:space="preserve">4. Stakeholders &amp; Users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Interest in the System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Payroll Implementation Consultants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Primary users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 the agent daily during parallel-run/UAT to triage variances faster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Implementation Project Managers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Secondary users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Track project-level variance closure status &amp; TAT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Compliance / Statutory SMEs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Knowledge base owners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Author, review, and version statutory rules per country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Payroll POC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Indirect user / recipient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Receives clarification requests generated by the agent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 &amp; Engineering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Builders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Design, build, and maintain the agent and rule engine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Privacy / InfoSec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Governance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Ensure PII handling meets regulatory and contractual obligations</w:t>
            </w:r>
          </w:p>
        </w:tc>
      </w:tr>
    </w:tbl>
    <w:p>
      <w:pPr>
        <w:pStyle w:val="Heading1"/>
        <w:spacing w:after="160" w:before="360"/>
      </w:pPr>
      <w:r>
        <w:t xml:space="preserve">5. Definitions &amp; Abbreviations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Register</w:t>
            </w:r>
          </w:p>
        </w:tc>
        <w:tc>
          <w:tcPr>
            <w:tcW w:type="dxa" w:w="7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payroll output/report from the client's existing (source/legacy) payroll system, treated as the input to be validated.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Darwinbox Register / Platform Register</w:t>
            </w:r>
          </w:p>
        </w:tc>
        <w:tc>
          <w:tcPr>
            <w:tcW w:type="dxa" w:w="7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payroll output computed by the target SaaS payroll platform (Darwinbox), being validated against the client register during parallel run.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 Component</w:t>
            </w:r>
          </w:p>
        </w:tc>
        <w:tc>
          <w:tcPr>
            <w:tcW w:type="dxa" w:w="7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 individual payroll line item (e.g., Basic, HRA, HRDF, EPF Employee, EPF Employer, SOCSO, EIS, PCB/MTD).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Variance</w:t>
            </w:r>
          </w:p>
        </w:tc>
        <w:tc>
          <w:tcPr>
            <w:tcW w:type="dxa" w:w="7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discrepancy between client register and platform register for a given employee and pay component, in either amount or applicability (calculated vs. not calculated).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Statutory Rule Engine</w:t>
            </w:r>
          </w:p>
        </w:tc>
        <w:tc>
          <w:tcPr>
            <w:tcW w:type="dxa" w:w="7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deterministic, versioned repository of country-specific legal formulas, thresholds, ceilings, and eligibility conditions.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EPF</w:t>
            </w:r>
          </w:p>
        </w:tc>
        <w:tc>
          <w:tcPr>
            <w:tcW w:type="dxa" w:w="7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Employees Provident Fund (Malaysia) — retirement contribution scheme with age-banded contribution rates.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HRDF</w:t>
            </w:r>
          </w:p>
        </w:tc>
        <w:tc>
          <w:tcPr>
            <w:tcW w:type="dxa" w:w="7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Human Resources Development Fund (Malaysia) — statutory levy, applicability tied to employer registration and (in practice) commonly reviewed against employee nationality/registration category.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SOCSO / EIS</w:t>
            </w:r>
          </w:p>
        </w:tc>
        <w:tc>
          <w:tcPr>
            <w:tcW w:type="dxa" w:w="7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Social Security Organisation / Employment Insurance System (Malaysia) statutory contributions.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Confidence Score</w:t>
            </w:r>
          </w:p>
        </w:tc>
        <w:tc>
          <w:tcPr>
            <w:tcW w:type="dxa" w:w="7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AI-generated likelihood that a given suggestion (client-side error vs. platform-side error vs. needs clarification) is correct, based on rule match strength and historical feedback.</w:t>
            </w:r>
          </w:p>
        </w:tc>
      </w:tr>
    </w:tbl>
    <w:p>
      <w:pPr>
        <w:pStyle w:val="Heading1"/>
        <w:spacing w:after="160" w:before="360"/>
      </w:pPr>
      <w:r>
        <w:t xml:space="preserve">6. Solution Overview</w:t>
      </w:r>
    </w:p>
    <w:p>
      <w:pPr>
        <w:spacing w:after="140" w:line="300"/>
      </w:pPr>
      <w:r>
        <w:rPr>
          <w:sz w:val="21"/>
          <w:szCs w:val="21"/>
        </w:rPr>
        <w:t xml:space="preserve">PayVerify AI is a hybrid system combining a deterministic statutory rule engine (for legally precise calculations, since payroll law cannot tolerate probabilistic error) with an LLM-based reasoning/explanation layer (for natural-language root-cause narration, ambiguous-case handling, and consultant-facing communication). The system ingests two registers, normalizes and maps their fields to a canonical employee/pay-component schema, runs each employee's applicable statutory calculation independently through the rule engine, compares all three data points (client value, platform value, rule-engine expected value) per component, classifies the variance, and produces a suggestion with a recommended next action and confidence score.</w:t>
      </w:r>
    </w:p>
    <w:p>
      <w:pPr>
        <w:pStyle w:val="Heading3"/>
        <w:spacing w:after="100" w:before="200"/>
      </w:pPr>
      <w:r>
        <w:t xml:space="preserve">6.1 High-Level Process Flow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Consultant uploads Client Register and Darwinbox Register for a project/country/pay period.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System maps both files to a canonical schema (employee ID, DOB, nationality, DOJ, wage components, statutory fields).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System resolves employee master attributes required for statutory logic (age as of calculation date, nationality/residency status, wage ceiling category, exemption flags).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Statutory Rule Engine independently computes the expected value for every applicable pay component per employee, per the country's current statutory rules and the client's configured pay component mapping.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Reconciliation engine compares Client value vs. Darwinbox value vs. Rule-Engine expected value.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Where Client ≠ Darwinbox, the system classifies the variance and applies decision-tree + LLM reasoning to generate a suggestion (see Section 8 for worked examples).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Findings are presented on a dashboard with drill-down, exportable to Excel/Word, with a feedback capture mechanism.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Consultant confirms, overrides, or requests clarification from the client; feedback is logged to improve future accuracy.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Functional Requirements</w:t>
      </w:r>
    </w:p>
    <w:p>
      <w:pPr>
        <w:spacing w:after="140" w:line="300"/>
      </w:pPr>
      <w:r>
        <w:rPr>
          <w:sz w:val="21"/>
          <w:szCs w:val="21"/>
        </w:rPr>
        <w:t xml:space="preserve">Each requirement below is tagged with a unique ID, priority (Must/Should/Could — MoSCoW), and description, for direct use in a product backlog.</w:t>
      </w:r>
    </w:p>
    <w:p>
      <w:pPr>
        <w:pStyle w:val="Heading2"/>
        <w:spacing w:after="120" w:before="260"/>
      </w:pPr>
      <w:r>
        <w:t xml:space="preserve">7.1 Data Ingestion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00"/>
        <w:gridCol w:w="1600"/>
      </w:tblGrid>
      <w:t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FR-01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allow upload of Client Register and Darwinbox Register in Excel/CSV format, per project, per country, per pay cycle.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FR-02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support configurable column-to-field mapping (mapping wizard) since client register formats vary by client/country.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FR-03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validate uploaded files for structural integrity (required columns present, employee ID uniqueness, numeric fields, date formats) before processing.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FR-04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support bulk upload of employee master data separately if not embedded in the register (DOB, nationality, DOJ, employment type, work location/state).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FR-05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support re-upload/versioning of registers as client submits corrected data across parallel-run cycles.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2"/>
        <w:spacing w:after="120" w:before="260"/>
      </w:pPr>
      <w:r>
        <w:t xml:space="preserve">7.2 Field &amp; Pay Component Mapping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00"/>
        <w:gridCol w:w="1600"/>
      </w:tblGrid>
      <w:t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FR-06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maintain a configurable Pay Component Mapping table per client, linking client-side component names to canonical statutory components (e.g., client's "HRDF Levy" → canonical "HRDF").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FR-07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detect and flag pay components present in one register but absent/unmapped in the other.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FR-08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allow the compliance/implementation team to maintain mapping templates reusable across similar clients within a country.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2"/>
        <w:spacing w:after="120" w:before="260"/>
      </w:pPr>
      <w:r>
        <w:t xml:space="preserve">7.3 Statutory Knowledge Base (Rule Repository)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00"/>
        <w:gridCol w:w="1600"/>
      </w:tblGrid>
      <w:t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FR-09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maintain a country-wise, versioned, effective-dated repository of statutory rules: contribution rates, wage ceilings, age bands, nationality/residency eligibility, minimum wage thresholds, rounding rules, and exemption conditions.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FR-10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Each rule shall store: legal reference/citation, effective start/end date, applicable jurisdiction (country/state), and last-reviewed-by (compliance SME) metadata for auditability.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FR-11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support rule versioning so historical pay periods are validated against the statutory rule that was in force at that time, not the current rule.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FR-12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provide an admin interface for compliance SMEs to add/update rules without requiring engineering changes (low-code rule authoring).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FR-13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flag pay periods calculated using a rule version that has since been superseded, prompting re-validation.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Could</w:t>
            </w:r>
          </w:p>
        </w:tc>
      </w:tr>
    </w:tbl>
    <w:p>
      <w:pPr>
        <w:pStyle w:val="Heading2"/>
        <w:spacing w:after="120" w:before="260"/>
      </w:pPr>
      <w:r>
        <w:t xml:space="preserve">7.4 Variance Detection Engine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00"/>
        <w:gridCol w:w="1600"/>
      </w:tblGrid>
      <w:t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FR-14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compare Client Register vs. Darwinbox Register at employee + pay component granularity for every employee in both files.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FR-15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independently compute an expected value per employee per applicable statutory component using the rule engine, to serve as a neutral third reference point.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FR-16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classify each variance into types: (a) Component not calculated in one system, (b) Amount mismatch within tolerance, (c) Amount mismatch beyond tolerance, (d) Rate/slab mismatch, (e) Eligibility/applicability mismatch.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FR-17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support a configurable rounding/tolerance threshold per country/component to avoid flagging immaterial rounding differences as variances.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FR-18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detect missing or inconsistent employee master fields (e.g., blank DOB, blank nationality) that block statutory computation, and flag as a data-quality issue rather than a calculation variance.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2"/>
        <w:spacing w:after="120" w:before="260"/>
      </w:pPr>
      <w:r>
        <w:t xml:space="preserve">7.5 Root-Cause Suggestion &amp; Recommendation Engine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00"/>
        <w:gridCol w:w="1600"/>
      </w:tblGrid>
      <w:t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FR-19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 every variance, system shall generate a plain-language root-cause hypothesis referencing the specific employee attribute or configuration that drove the rule engine's expected outcome.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FR-20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classify each suggestion outcome as one of: 'Platform (Darwinbox) calculation appears statutorily correct — client data likely needs review', 'Client register appears correct — platform configuration/mapping likely needs review', or 'Inconclusive — clarification required from client'.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FR-21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generate a recommended next action per variance (e.g., 'Validate employee nationality field with client', 'Check HRDF component mapping in platform configuration', 'Confirm date of birth for age-band recalculation').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FR-22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attach a confidence score to each suggestion, derived from rule-match strength and historical consultant feedback on similar cases.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FR-23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chain multi-step diagnostic logic (decision trees) per statutory component, mirroring expert consultant reasoning (see Section 8 for worked examples).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FR-24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Where a rule cannot fully explain a variance (e.g., ambiguous or conflicting data), the system shall use an LLM-based reasoning layer to draft a candidate explanation, clearly marked as 'AI-suggested / unverified' pending SME confirmation.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2"/>
        <w:spacing w:after="120" w:before="260"/>
      </w:pPr>
      <w:r>
        <w:t xml:space="preserve">7.6 Feedback &amp; Continuous Learning Loop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00"/>
        <w:gridCol w:w="1600"/>
      </w:tblGrid>
      <w:t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FR-25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Consultants shall be able to mark each AI suggestion as Confirmed / Rejected / Needs Correction, with free-text notes.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FR-26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Rejected/corrected suggestions shall be routed to compliance SMEs to assess whether the underlying rule needs updating.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FR-27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track suggestion-acceptance accuracy over time, per country and per rule, to identify rules needing SME review.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2"/>
        <w:spacing w:after="120" w:before="260"/>
      </w:pPr>
      <w:r>
        <w:t xml:space="preserve">7.7 Reporting &amp; Case Management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00"/>
        <w:gridCol w:w="1600"/>
      </w:tblGrid>
      <w:t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FR-28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provide a variance dashboard summarizing total variances by country, project, component, severity, and resolution status.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FR-29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support drill-down from summary to individual employee-level variance detail with full reasoning trail.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FR-30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auto-generate a client-ready clarification list/query log (exportable to Excel/Word) for items requiring client input.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FR-31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shall track variance resolution status (Open / Pending Client / Pending Internal / Resolved) through to project sign-off.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8. Detailed Logic Examples (Reference Patterns)</w:t>
      </w:r>
    </w:p>
    <w:p>
      <w:pPr>
        <w:spacing w:after="140" w:line="300"/>
      </w:pPr>
      <w:r>
        <w:rPr>
          <w:sz w:val="21"/>
          <w:szCs w:val="21"/>
        </w:rPr>
        <w:t xml:space="preserve">These worked examples define the decision-tree pattern the rule engine and suggestion layer must replicate. Each new statutory component follows the same structural pattern: (1) check mapping/configuration, (2) check the employee attribute(s) that govern eligibility or rate, (3) compute the expected value via the rule engine, (4) compare all three values, (5) generate suggestion and next action.</w:t>
      </w:r>
    </w:p>
    <w:p>
      <w:pPr>
        <w:pStyle w:val="Heading2"/>
        <w:spacing w:after="120" w:before="260"/>
      </w:pPr>
      <w:r>
        <w:t xml:space="preserve">8.1 Example — Malaysia HRDF Not Calculated in Darwinbox</w:t>
      </w:r>
    </w:p>
    <w:p>
      <w:pPr>
        <w:spacing w:after="140" w:line="300"/>
      </w:pPr>
      <w:r>
        <w:rPr>
          <w:sz w:val="21"/>
          <w:szCs w:val="21"/>
        </w:rPr>
        <w:t xml:space="preserve">Scenario: Client register shows an HRDF levy for an employee; Darwinbox register shows no HRDF calculated for the same employee.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Check pay component mapping: Is HRDF mapped to an active pay component in the Darwinbox configuration for this client/entity? If unmapped → suggestion: "Platform configuration issue — HRDF component is not mapped; recommend engaging implementation team to configure mapping."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If mapped, check employee nationality/eligibility category: Is the employee Malaysian or a category to which the client's HRDF registration applies?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If nationality is non-Malaysian (and the applicable HRDF category excludes non-citizens per the client's registration/statute), the rule engine's expected value is zero HRDF → suggestion: "Darwinbox calculation appears statutorily correct. Client-side HRDF figure may be an error. Recommended action: validate the employee's nationality field and confirm with client whether HRDF was intentionally applied."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If nationality is Malaysian and mapping is active but the value is still zero in Darwinbox, escalate as a genuine calculation defect → suggestion: "Employee is eligible and component is mapped, but not computed. Recommended action: raise as a system/configuration defect for engineering review."</w:t>
      </w:r>
    </w:p>
    <w:p>
      <w:pPr>
        <w:pStyle w:val="Heading2"/>
        <w:spacing w:after="120" w:before="260"/>
      </w:pPr>
      <w:r>
        <w:t xml:space="preserve">8.2 Example — Malaysia EPF Age-Band Rate Mismatch</w:t>
      </w:r>
    </w:p>
    <w:p>
      <w:pPr>
        <w:spacing w:after="140" w:line="300"/>
      </w:pPr>
      <w:r>
        <w:rPr>
          <w:sz w:val="21"/>
          <w:szCs w:val="21"/>
        </w:rPr>
        <w:t xml:space="preserve">Scenario: EPF employee contribution rate applied differs between client register and Darwinbox register.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Compute employee age as of the statutory reference date, from date of birth (age = reference date − DOB).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Determine the applicable EPF contribution rate band from the current statutory rule set for that age (e.g., standard rate under 60; reduced/age-60-and-above rate for employees aged 60 and above, per the Malaysia EPF Third Schedule in force for that pay period).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Identify EPF-applicable wage components per the client's configured wage definition (Basic, fixed allowances, etc. — only components statutorily subject to EPF), and sum them to determine EPF wages.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Compute expected EPF employee &amp; employer contribution using the correct age-band rate and EPF wage base; compare to both client and Darwinbox figures.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If Darwinbox used the below-60 rate for an employee who is 60 or above → suggestion: "Employee's age (computed from DOB) qualifies for the 60-and-above EPF rate band; Darwinbox appears to have applied the incorrect rate band. Recommended action: verify employee DOB accuracy, then raise as a system rate-configuration defect if DOB is confirmed correct."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If DOB itself differs between client and Darwinbox master data → suggestion: "Underlying DOB values differ between systems, which is the likely root cause of the rate mismatch. Recommended action: confirm correct DOB with client/HR master and update before re-validating."</w:t>
      </w:r>
    </w:p>
    <w:p>
      <w:pPr>
        <w:pStyle w:val="Heading2"/>
        <w:spacing w:after="120" w:before="260"/>
      </w:pPr>
      <w:r>
        <w:t xml:space="preserve">8.3 Generalized Decision Pattern</w:t>
      </w:r>
    </w:p>
    <w:p>
      <w:pPr>
        <w:spacing w:after="140" w:line="300"/>
      </w:pPr>
      <w:r>
        <w:rPr>
          <w:sz w:val="21"/>
          <w:szCs w:val="21"/>
        </w:rPr>
        <w:t xml:space="preserve">This two-example pattern generalizes to every statutory component the knowledge base will encode. The reusable pattern is: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Step 1 — Configuration check: is the component mapped/enabled correctly on the platform?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Step 2 — Eligibility check: does the employee meet the statutory eligibility conditions (nationality, residency, age, wage threshold, employment type, state/region)?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Step 3 — Base/rate determination: what wage base and rate/slab applies per current statutory rule for this employee?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Step 4 — Independent computation: rule engine computes the expected value.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Step 5 — Three-way comparison: client value vs. platform value vs. rule-engine expected value.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Step 6 — Classification &amp; suggestion: which side (if any) deviates from the statutorily-expected value, and what is the most likely underlying data/configuration cause.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Step 7 — Recommended action: a specific, actionable next step (validate a specific field, check a specific configuration, escalate as defect, or request client clarification).</w:t>
      </w:r>
    </w:p>
    <w:p>
      <w:pPr>
        <w:spacing w:after="140" w:line="300"/>
      </w:pPr>
      <w:r>
        <w:rPr>
          <w:sz w:val="21"/>
          <w:szCs w:val="21"/>
        </w:rPr>
        <w:t xml:space="preserve">Additional components to encode using this same pattern (illustrative, not exhaustive): SOCSO/EIS category and wage ceiling; PCB/MTD tax computation basis; India PF wage ceiling and pension split; India ESI eligibility wage threshold; gratuity eligibility by tenure; overtime eligibility by exempt/non-exempt classification; minimum wage compliance checks by state/region.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9. Data Requirements</w:t>
      </w:r>
    </w:p>
    <w:p>
      <w:pPr>
        <w:pStyle w:val="Heading3"/>
        <w:spacing w:after="100" w:before="200"/>
      </w:pPr>
      <w:r>
        <w:t xml:space="preserve">9.1 Employee Master Fields Required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 ID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Primary key for matching across registers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of Birth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Age-band statutory calculations (e.g., EPF)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Nationality / Citizenship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Nationality-dependent statutory applicability (e.g., HRDF, EPF for foreign workers)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Residency Status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Tax residency-dependent calculations (e.g., PCB/MTD)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of Joining / Date of Exit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Pro-ration, eligibility tenure checks (e.g., gratuity, probation-linked components)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 Location / State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State/region-specific statutory rules (e.g., minimum wage, professional tax in India)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Employment Type / Category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Eligibility for components (e.g., contract vs. permanent, exempt vs. non-exempt)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Wage Components (Basic, Allowances, etc.)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Statutory wage base computation per component</w:t>
            </w:r>
          </w:p>
        </w:tc>
      </w:tr>
    </w:tbl>
    <w:p>
      <w:pPr>
        <w:pStyle w:val="Heading3"/>
        <w:spacing w:after="100" w:before="200"/>
      </w:pPr>
      <w:r>
        <w:t xml:space="preserve">9.2 Pay Component Data (per register)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Component name/code (as per client register and as per Darwinbox).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Component amount for the pay period.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Component category (statutory / non-statutory, earning / deduction / employer contribution).</w:t>
      </w:r>
    </w:p>
    <w:p>
      <w:pPr>
        <w:pStyle w:val="Heading3"/>
        <w:spacing w:after="100" w:before="200"/>
      </w:pPr>
      <w:r>
        <w:t xml:space="preserve">9.3 Statutory Rule Data (Knowledge Base)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Country, and where applicable, state/region.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Component code and legal name.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Rate/slab table, wage ceiling, age bands, or other conditional logic.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Eligibility conditions (nationality, residency, wage threshold, employment type).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Effective date range and legal citation/source reference.</w:t>
      </w:r>
    </w:p>
    <w:p>
      <w:pPr>
        <w:pStyle w:val="Heading1"/>
        <w:spacing w:after="160" w:before="360"/>
      </w:pPr>
      <w:r>
        <w:t xml:space="preserve">10. System Architecture</w:t>
      </w:r>
    </w:p>
    <w:p>
      <w:pPr>
        <w:spacing w:after="140" w:line="300"/>
      </w:pPr>
      <w:r>
        <w:rPr>
          <w:sz w:val="21"/>
          <w:szCs w:val="21"/>
        </w:rPr>
        <w:t xml:space="preserve">Recommended high-level layered architecture: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Ingestion Layer — file upload, parsing (Excel/CSV), field-mapping wizard, data validation.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Canonical Data Layer — normalized employee master + pay component schema, common across countries.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Statutory Rule Engine (deterministic) — versioned, country-wise rule repository and calculation logic, implemented as explicit, testable business rules (not left to the LLM) since statutory math must be exact and auditable.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Reconciliation &amp; Classification Engine — three-way comparison logic, variance classification, tolerance handling.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AI Reasoning Layer (LLM, e.g., via Claude API) — converts rule-engine + comparison output into natural-language root-cause narrative and recommended action; handles ambiguous/edge cases via retrieval-augmented generation (RAG) over the statutory knowledge base and prior resolved cases.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Feedback &amp; Learning Layer — captures consultant confirm/reject actions, feeds a review queue to compliance SMEs, and (optionally) fine-tunes suggestion ranking over time.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Application/Presentation Layer — dashboard, drill-down UI, exportable reports, client query-log generator.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Audit &amp; Logging Layer — immutable log of every rule version, computed value, and suggestion generated, for compliance traceability.</w:t>
      </w:r>
    </w:p>
    <w:p>
      <w:pPr>
        <w:spacing w:after="140" w:line="300"/>
      </w:pPr>
      <w:r>
        <w:rPr>
          <w:sz w:val="21"/>
          <w:szCs w:val="21"/>
        </w:rPr>
        <w:t xml:space="preserve">Design principle: keep statutory calculation deterministic and rule-based (auditable, testable, legally defensible), and use the LLM strictly for natural-language explanation, ambiguous-case triage, and consultant-facing communication — never as the source of the numeric statutory computation itself.</w:t>
      </w:r>
    </w:p>
    <w:p>
      <w:pPr>
        <w:pStyle w:val="Heading1"/>
        <w:spacing w:after="160" w:before="360"/>
      </w:pPr>
      <w:r>
        <w:t xml:space="preserve">11. AI / ML Approach</w:t>
      </w:r>
    </w:p>
    <w:p>
      <w:pPr>
        <w:pStyle w:val="Heading3"/>
        <w:spacing w:after="100" w:before="200"/>
      </w:pPr>
      <w:r>
        <w:t xml:space="preserve">11.1 Hybrid Architecture Rationale</w:t>
      </w:r>
    </w:p>
    <w:p>
      <w:pPr>
        <w:spacing w:after="140" w:line="300"/>
      </w:pPr>
      <w:r>
        <w:rPr>
          <w:sz w:val="21"/>
          <w:szCs w:val="21"/>
        </w:rPr>
        <w:t xml:space="preserve">Payroll statutory calculations are deterministic and legally exact — an LLM should not be relied upon to compute contribution amounts directly, since even small hallucinated errors carry compliance and financial risk. The recommended approach separates concerns: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Deterministic Rule Engine: computes exact expected statutory values from versioned, SME-authored rules (source of numeric truth).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LLM Reasoning Layer: consumes structured output from the rule engine and reconciliation logic (client value, platform value, expected value, matched rule, employee attributes) and generates the human-readable explanation, root-cause hypothesis, and recommended action — grounded strictly in that structured data (retrieval-augmented, not free generation).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Retrieval-Augmented Generation (RAG): for edge cases not fully covered by the decision tree, the LLM retrieves relevant statutory clauses and previously resolved similar cases from the knowledge base to draft a candidate explanation, clearly labeled as unverified pending SME sign-off.</w:t>
      </w:r>
    </w:p>
    <w:p>
      <w:pPr>
        <w:pStyle w:val="Heading3"/>
        <w:spacing w:after="100" w:before="200"/>
      </w:pPr>
      <w:r>
        <w:t xml:space="preserve">11.2 Guardrails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Every AI-generated suggestion must cite the specific rule/version and employee data field it is based on (explainability requirement).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Any suggestion generated purely via LLM reasoning (not backed by a deterministic rule match) must be visually flagged as lower-confidence / requiring SME review.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No AI-generated suggestion should auto-modify client or platform data in Phase 1 — output is advisory only.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Model outputs should be periodically benchmarked against consultant-confirmed ground truth to track accuracy drift.</w:t>
      </w:r>
    </w:p>
    <w:p>
      <w:pPr>
        <w:pStyle w:val="Heading1"/>
        <w:spacing w:after="160" w:before="360"/>
      </w:pPr>
      <w:r>
        <w:t xml:space="preserve">12. Non-Functional Requirements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Accuracy</w:t>
            </w:r>
          </w:p>
        </w:tc>
        <w:tc>
          <w:tcPr>
            <w:tcW w:type="dxa" w:w="7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Statutory calculations must match legal formulas with 100% accuracy for supported rule versions; suggestion accuracy should be tracked and continuously improved via feedback loop.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7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suggestion must be traceable to the exact rule version, source data, and computation used — required for compliance defensibility.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Explainability</w:t>
            </w:r>
          </w:p>
        </w:tc>
        <w:tc>
          <w:tcPr>
            <w:tcW w:type="dxa" w:w="7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AI outputs must be human-readable, with clear reasoning steps, not black-box scores alone.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7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should process a standard client register (up to ~10,000 employees) and generate full variance analysis within a defined SLA (e.g., under 15 minutes for batch processing).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7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Architecture should support addition of new countries/statutory rules without core re-engineering.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Privacy</w:t>
            </w:r>
          </w:p>
        </w:tc>
        <w:tc>
          <w:tcPr>
            <w:tcW w:type="dxa" w:w="7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employee PII must be encrypted at rest and in transit; access restricted on a need-to-know basis; compliant with applicable data protection regulations (e.g., PDPA Malaysia, India DPDP Act, GDPR where applicable) and client contractual data handling terms.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7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Target uptime per standard SaaS SLA (e.g., 99.5%) for the validation platform.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7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Statutory rules must be updatable by compliance SMEs via a low-code interface without requiring a full engineering release cycle.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Auditor/Regulator Readiness</w:t>
            </w:r>
          </w:p>
        </w:tc>
        <w:tc>
          <w:tcPr>
            <w:tcW w:type="dxa" w:w="7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should be able to produce an audit export showing rule basis for any historical calculation on demand.</w:t>
            </w:r>
          </w:p>
        </w:tc>
      </w:tr>
    </w:tbl>
    <w:p>
      <w:pPr>
        <w:pStyle w:val="Heading1"/>
        <w:spacing w:after="160" w:before="360"/>
      </w:pPr>
      <w:r>
        <w:t xml:space="preserve">13. Integration Requirements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Darwinbox API/export integration to pull the platform-calculated payroll register directly (reducing manual upload where feasible).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Support for manual file upload (Excel/CSV) as the baseline integration method for the client register and for platforms without API access.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Optional integration with project management tooling (e.g., for auto-creating tickets/tasks for unresolved variances).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Optional integration with an LLM API (e.g., Claude API) for the reasoning/explanation layer, with configurable data redaction/anonymization before any data leaves the secure environment, per client contractual requirements.</w:t>
      </w:r>
    </w:p>
    <w:p>
      <w:pPr>
        <w:pStyle w:val="Heading1"/>
        <w:spacing w:after="160" w:before="360"/>
      </w:pPr>
      <w:r>
        <w:t xml:space="preserve">14. Compliance, Security &amp; Data Privacy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PII minimization: only fields required for statutory computation should be ingested; avoid unnecessary sensitive data collection.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Role-based access control: consultants see only projects/clients they are assigned to; compliance SMEs have rule-authoring access; audit logs restricted to compliance/security roles.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Data residency: ensure storage/processing location complies with country-specific data residency requirements where applicable.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Anonymization/pseudonymization option before any data is sent to an external LLM API, if required by client data processing agreements.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Retention policy: define retention and secure deletion timelines for uploaded client registers post-project closure.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Legal/compliance sign-off required before publishing any new or updated statutory rule to production.</w:t>
      </w:r>
    </w:p>
    <w:p>
      <w:pPr>
        <w:pStyle w:val="Heading1"/>
        <w:spacing w:after="160" w:before="360"/>
      </w:pPr>
      <w:r>
        <w:t xml:space="preserve">15. Reporting &amp; Dashboard Requirements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Project-level summary dashboard: total employees, total variances, variance rate by component, resolution status.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Employee-level detail view: side-by-side client value, platform value, rule-engine expected value, classification, suggestion, recommended action, confidence score.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Exportable client query log: auto-formatted list of items requiring client clarification, ready to send.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Trend view: variance patterns across pay cycles for the same client (to catch recurring configuration issues).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SME review queue: items where AI suggestion was rejected/corrected, awaiting rule review.</w:t>
      </w:r>
    </w:p>
    <w:p>
      <w:pPr>
        <w:pStyle w:val="Heading1"/>
        <w:spacing w:after="160" w:before="360"/>
      </w:pPr>
      <w:r>
        <w:t xml:space="preserve">16. Success Metrics / KPIs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00"/>
      </w:tblGrid>
      <w:tr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 / Purpose</w:t>
            </w:r>
          </w:p>
        </w:tc>
      </w:tr>
      <w:tr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Reduction in manual reconciliation effort (hours per project)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Primary efficiency KPI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Variance detection coverage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% of true variances correctly identified by the system vs. manual audit</w:t>
            </w:r>
          </w:p>
        </w:tc>
      </w:tr>
      <w:tr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Suggestion acceptance rate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% of AI suggestions confirmed as correct by consultants, tracked per country/component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Time-to-resolution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Average time from variance detection to closure, pre- vs. post-AI-agent adoption</w:t>
            </w:r>
          </w:p>
        </w:tc>
      </w:tr>
      <w:tr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Statutory calculation accuracy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 match to legally correct values for all supported, versioned rules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Knowledge base coverage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Number of countries / statutory components fully encoded vs. roadmap target</w:t>
            </w:r>
          </w:p>
        </w:tc>
      </w:tr>
    </w:tbl>
    <w:p>
      <w:pPr>
        <w:pStyle w:val="Heading1"/>
        <w:spacing w:after="160" w:before="360"/>
      </w:pPr>
      <w:r>
        <w:t xml:space="preserve">17. Assumptions &amp; Constraints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Client registers will be provided in a reasonably structured tabular format (Excel/CSV); free-text or scanned/image payslips are out of scope for Phase 1.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Statutory rules will be authored and reviewed by qualified compliance/legal SMEs before being published to the rule engine; the AI does not independently determine legal correctness.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Darwinbox register can be obtained either via export/upload or API access, depending on client/project setup.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Employee master data required for eligibility logic (DOB, nationality, etc.) will be available from at least one of the two source registers or a separate master file.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Phase 1 will focus on one reference country (Malaysia) to prove the pattern before scaling to additional countries.</w:t>
      </w:r>
    </w:p>
    <w:p>
      <w:pPr>
        <w:pStyle w:val="Heading1"/>
        <w:spacing w:after="160" w:before="360"/>
      </w:pPr>
      <w:r>
        <w:t xml:space="preserve">18. Risks &amp; Mitigations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00"/>
      </w:tblGrid>
      <w:tr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Statutory rules change frequently and knowledge base becomes outdated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Establish a defined SME review cadence and rule-versioning process; flag pay periods using superseded rules for re-validation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Incomplete/incorrect employee master data blocks accurate eligibility checks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Data-quality validation step before variance analysis; explicit data-quality flags separate from calculation variances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Over-reliance on AI suggestions without human validation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Keep Phase 1 strictly advisory; require consultant confirmation before any client-facing communication; track suggestion accuracy transparently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hallucination in ambiguous/edge cases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Restrict LLM to explanation generation grounded in structured rule-engine output; flag ungrounded suggestions as low-confidence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privacy/security exposure of client PII, especially if using external LLM APIs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minimization, encryption, anonymization before external API calls, contractual and regulatory compliance review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Inconsistent pay component naming across clients complicates mapping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Configurable mapping templates, reusable per client/country, with mapping validation before analysis runs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19. Implementation Roadmap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00"/>
      </w:tblGrid>
      <w:t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1
(MVP)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Single country proof of concept — Malaysia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upload &amp; mapping, EPF/SOCSO/EIS/HRDF rule engine, variance detection, suggestion engine for the worked examples in Section 8, basic dashboard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Multi-country expansion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 2–3 additional priority countries (e.g., India, Philippines, Indonesia), generalized rule-authoring interface for compliance SMEs, confidence scoring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3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Intelligence &amp; scale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LLM-based RAG reasoning layer for edge cases, feedback-driven suggestion accuracy tuning, Darwinbox API integration, trend analytics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4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Advanced automation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Optional guided/assisted remediation workflows (human-approved auto-corrections), predictive variance flagging before parallel run based on configuration audit</w:t>
            </w:r>
          </w:p>
        </w:tc>
      </w:tr>
    </w:tbl>
    <w:p>
      <w:pPr>
        <w:pStyle w:val="Heading1"/>
        <w:spacing w:after="160" w:before="360"/>
      </w:pPr>
      <w:r>
        <w:t xml:space="preserve">20. Team &amp; Roles Required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Product Manager — owns requirements, prioritization, and stakeholder alignment.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Payroll Compliance SME(s) — per country, to author and validate statutory rules and review AI suggestions.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Backend Engineers — build ingestion, rule engine, reconciliation logic.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AI/ML Engineer — build and integrate the LLM reasoning/RAG layer and feedback-driven tuning.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Frontend Engineer — dashboard, mapping wizard, review/feedback UI.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QA Engineer — validate statutory calculation accuracy against known test cases per country.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Data Privacy/Security Lead — ensure PII handling and access control meet regulatory and contractual requirements.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Payroll Implementation Consultants (pilot users) — provide UAT feedback and validate suggestion usefulness in real projects.</w:t>
      </w:r>
    </w:p>
    <w:p>
      <w:pPr>
        <w:pStyle w:val="Heading1"/>
        <w:spacing w:after="160" w:before="360"/>
      </w:pPr>
      <w:r>
        <w:t xml:space="preserve">21. Appendix</w:t>
      </w:r>
    </w:p>
    <w:p>
      <w:pPr>
        <w:pStyle w:val="Heading3"/>
        <w:spacing w:after="100" w:before="200"/>
      </w:pPr>
      <w:r>
        <w:t xml:space="preserve">21.1 Sample Variance Classification Reference (Malaysia)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4200"/>
      </w:tblGrid>
      <w:t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Common Variance Trigger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Typical Root Cause Checked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HRDF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Calculated in client, not in Darwinbox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Mapping configuration → employee nationality/eligibility category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EPF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Rate mismatch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 age band (60 and above) → DOB accuracy → EPF wage base composition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SOCSO/EIS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calculated / wrong category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 category (new hire, foreign worker exemption) → wage ceiling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PCB/MTD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Tax amount mismatch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Residency status → cumulative YTD income basis → relief/exemption configuration</w:t>
            </w:r>
          </w:p>
        </w:tc>
      </w:tr>
    </w:tbl>
    <w:p>
      <w:pPr>
        <w:pStyle w:val="Heading3"/>
        <w:spacing w:after="100" w:before="200"/>
      </w:pPr>
      <w:r>
        <w:t xml:space="preserve">21.2 Glossary Source Note</w:t>
      </w:r>
    </w:p>
    <w:p>
      <w:pPr>
        <w:spacing w:after="140" w:line="300"/>
      </w:pPr>
      <w:r>
        <w:rPr>
          <w:sz w:val="21"/>
          <w:szCs w:val="21"/>
        </w:rPr>
        <w:t xml:space="preserve">Statutory definitions and rates referenced in this document (EPF age-band rates, HRDF applicability, SOCSO/EIS categories) must be sourced from and periodically re-verified against official government publications (e.g., KWSP/EPF, HRD Corp, PERKESO, LHDN) by a qualified compliance SME before being encoded into the production rule engine. This document defines the system's requirements and logic pattern; it does not itself constitute a verified statutory rate table.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AI Payroll Validation Agent —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2026-07-25T10:06:44.216Z</dcterms:created>
  <dcterms:modified xsi:type="dcterms:W3CDTF">2026-07-25T10:06:44.231Z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