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019D7"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Excellent decision. Understanding every number deeply before presenting it is what separates a candidate who built a project from a candidate who truly understands what they built. Let me walk through every section completely.</w:t>
      </w:r>
    </w:p>
    <w:p w14:paraId="741C3A6C"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6F5B8018">
          <v:rect id="_x0000_i1044" alt="" style="width:451.3pt;height:.05pt;mso-width-percent:0;mso-height-percent:0;mso-width-percent:0;mso-height-percent:0" o:hralign="center" o:hrstd="t" o:hr="t" fillcolor="#a0a0a0" stroked="f"/>
        </w:pict>
      </w:r>
    </w:p>
    <w:p w14:paraId="79FA4208" w14:textId="77777777" w:rsidR="00A958DE" w:rsidRPr="00A958DE" w:rsidRDefault="00A958DE" w:rsidP="00A958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58DE">
        <w:rPr>
          <w:rFonts w:ascii="Times New Roman" w:eastAsia="Times New Roman" w:hAnsi="Times New Roman" w:cs="Times New Roman"/>
          <w:b/>
          <w:bCs/>
          <w:kern w:val="0"/>
          <w:sz w:val="36"/>
          <w:szCs w:val="36"/>
          <w:lang w:eastAsia="en-GB"/>
          <w14:ligatures w14:val="none"/>
        </w:rPr>
        <w:t>The Dashboard — Complete Explanation</w:t>
      </w:r>
    </w:p>
    <w:p w14:paraId="10C43667"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78BB13C4">
          <v:rect id="_x0000_i1043" alt="" style="width:451.3pt;height:.05pt;mso-width-percent:0;mso-height-percent:0;mso-width-percent:0;mso-height-percent:0" o:hralign="center" o:hrstd="t" o:hr="t" fillcolor="#a0a0a0" stroked="f"/>
        </w:pict>
      </w:r>
    </w:p>
    <w:p w14:paraId="5267CCE2" w14:textId="77777777" w:rsidR="00A958DE" w:rsidRPr="00A958DE" w:rsidRDefault="00A958DE" w:rsidP="00A958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58DE">
        <w:rPr>
          <w:rFonts w:ascii="Times New Roman" w:eastAsia="Times New Roman" w:hAnsi="Times New Roman" w:cs="Times New Roman"/>
          <w:b/>
          <w:bCs/>
          <w:kern w:val="0"/>
          <w:sz w:val="36"/>
          <w:szCs w:val="36"/>
          <w:lang w:eastAsia="en-GB"/>
          <w14:ligatures w14:val="none"/>
        </w:rPr>
        <w:t>SIDEBAR</w:t>
      </w:r>
    </w:p>
    <w:p w14:paraId="732BCE2B"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Times New Roman" w:eastAsia="Times New Roman" w:hAnsi="Times New Roman" w:cs="Times New Roman"/>
          <w:b/>
          <w:bCs/>
          <w:kern w:val="0"/>
          <w:sz w:val="27"/>
          <w:szCs w:val="27"/>
          <w:lang w:eastAsia="en-GB"/>
          <w14:ligatures w14:val="none"/>
        </w:rPr>
        <w:t>Date Range</w:t>
      </w:r>
    </w:p>
    <w:p w14:paraId="7291402E"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controls the entire dashboard. Every chart, every metric, every signal updates based on the dates you select here.</w:t>
      </w:r>
    </w:p>
    <w:p w14:paraId="49580897"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From: 2015-01-01 → To: 2026-02-27</w:t>
      </w:r>
    </w:p>
    <w:p w14:paraId="514E67A4"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Why 2015? This gives you 11 years of data — enough to capture multiple full market cycles including the 2015 China crash, 2018 rate shock, 2020 COVID crash, 2021 bull run, 2022 inflation crisis, and the 2025-2026 gold surge. If you set it to 2020 onwards you only see one cycle and the signals have less history to learn from.</w:t>
      </w:r>
    </w:p>
    <w:p w14:paraId="47EACFC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What changes when you move the date:</w:t>
      </w:r>
      <w:r w:rsidRPr="00A958DE">
        <w:rPr>
          <w:rFonts w:ascii="Times New Roman" w:eastAsia="Times New Roman" w:hAnsi="Times New Roman" w:cs="Times New Roman"/>
          <w:kern w:val="0"/>
          <w:lang w:eastAsia="en-GB"/>
          <w14:ligatures w14:val="none"/>
        </w:rPr>
        <w:t xml:space="preserve"> Every single number on the dashboard recalculates. The VIX percentile changes because it is measuring where VIX sits relative to the selected history. The correlation matrix changes because relationships between assets shift over time. The commentary changes because all the averages are recomputed.</w:t>
      </w:r>
    </w:p>
    <w:p w14:paraId="1632C16B"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Example:</w:t>
      </w:r>
      <w:r w:rsidRPr="00A958DE">
        <w:rPr>
          <w:rFonts w:ascii="Times New Roman" w:eastAsia="Times New Roman" w:hAnsi="Times New Roman" w:cs="Times New Roman"/>
          <w:kern w:val="0"/>
          <w:lang w:eastAsia="en-GB"/>
          <w14:ligatures w14:val="none"/>
        </w:rPr>
        <w:t xml:space="preserve"> Set From to 2020-01-01. Now your VIX percentile will be higher because 2020-2026 includes COVID which makes the average VIX much higher. The same VIX reading of 19.9 will look less extreme relative to this shorter more volatile period.</w:t>
      </w:r>
    </w:p>
    <w:p w14:paraId="3432E676"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23B7244E">
          <v:rect id="_x0000_i1042" alt="" style="width:451.3pt;height:.05pt;mso-width-percent:0;mso-height-percent:0;mso-width-percent:0;mso-height-percent:0" o:hralign="center" o:hrstd="t" o:hr="t" fillcolor="#a0a0a0" stroked="f"/>
        </w:pict>
      </w:r>
    </w:p>
    <w:p w14:paraId="1FC00660"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Times New Roman" w:eastAsia="Times New Roman" w:hAnsi="Times New Roman" w:cs="Times New Roman"/>
          <w:b/>
          <w:bCs/>
          <w:kern w:val="0"/>
          <w:sz w:val="27"/>
          <w:szCs w:val="27"/>
          <w:lang w:eastAsia="en-GB"/>
          <w14:ligatures w14:val="none"/>
        </w:rPr>
        <w:t>Market Focus</w:t>
      </w:r>
    </w:p>
    <w:p w14:paraId="24C14B9F"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controls which assets appear in the indexed performance chart in the Macro tab. It does not affect signals or metrics — just the visual comparison chart.</w:t>
      </w:r>
    </w:p>
    <w:p w14:paraId="267ED5D3"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310E5655">
          <v:rect id="_x0000_i1041" alt="" style="width:451.3pt;height:.05pt;mso-width-percent:0;mso-height-percent:0;mso-width-percent:0;mso-height-percent:0" o:hralign="center" o:hrstd="t" o:hr="t" fillcolor="#a0a0a0" stroked="f"/>
        </w:pict>
      </w:r>
    </w:p>
    <w:p w14:paraId="6ADDC8EE"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Times New Roman" w:eastAsia="Times New Roman" w:hAnsi="Times New Roman" w:cs="Times New Roman"/>
          <w:b/>
          <w:bCs/>
          <w:kern w:val="0"/>
          <w:sz w:val="27"/>
          <w:szCs w:val="27"/>
          <w:lang w:eastAsia="en-GB"/>
          <w14:ligatures w14:val="none"/>
        </w:rPr>
        <w:t>VIX Crisis Level and VIX Caution Level</w:t>
      </w:r>
    </w:p>
    <w:p w14:paraId="59724506"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These are the thresholds your system uses to classify volatility regimes. The default is Crisis = 30 and Caution = 20.</w:t>
      </w:r>
    </w:p>
    <w:p w14:paraId="0FCEED0C"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What these numbers mean:</w:t>
      </w:r>
    </w:p>
    <w:p w14:paraId="10688E20" w14:textId="77777777" w:rsidR="00A958DE" w:rsidRPr="00A958DE" w:rsidRDefault="00A958DE" w:rsidP="00A958D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lastRenderedPageBreak/>
        <w:t>VIX below 20 = calm markets, investors are not buying protection</w:t>
      </w:r>
    </w:p>
    <w:p w14:paraId="16210DE9" w14:textId="77777777" w:rsidR="00A958DE" w:rsidRPr="00A958DE" w:rsidRDefault="00A958DE" w:rsidP="00A958D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VIX 20-30 = elevated anxiety, some concern in markets</w:t>
      </w:r>
    </w:p>
    <w:p w14:paraId="0D1F6489" w14:textId="77777777" w:rsidR="00A958DE" w:rsidRPr="00A958DE" w:rsidRDefault="00A958DE" w:rsidP="00A958DE">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VIX above 30 = genuine fear, investors are paying a lot for downside protection</w:t>
      </w:r>
    </w:p>
    <w:p w14:paraId="08609ACA"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Why 30 for crisis?</w:t>
      </w:r>
      <w:r w:rsidRPr="00A958DE">
        <w:rPr>
          <w:rFonts w:ascii="Times New Roman" w:eastAsia="Times New Roman" w:hAnsi="Times New Roman" w:cs="Times New Roman"/>
          <w:kern w:val="0"/>
          <w:lang w:eastAsia="en-GB"/>
          <w14:ligatures w14:val="none"/>
        </w:rPr>
        <w:t xml:space="preserve"> Historically VIX spikes above 30 during genuine market dislocations — COVID hit 82.7, the 2008 financial crisis hit 89.5, the 2022 rate shock briefly hit 36. Below 30 and above 20 is the grey zone of uncertainty.</w:t>
      </w:r>
    </w:p>
    <w:p w14:paraId="7D1EE1A4"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What happens when you move the slider:</w:t>
      </w:r>
      <w:r w:rsidRPr="00A958DE">
        <w:rPr>
          <w:rFonts w:ascii="Times New Roman" w:eastAsia="Times New Roman" w:hAnsi="Times New Roman" w:cs="Times New Roman"/>
          <w:kern w:val="0"/>
          <w:lang w:eastAsia="en-GB"/>
          <w14:ligatures w14:val="none"/>
        </w:rPr>
        <w:t xml:space="preserve"> The Volatility tab commentary immediately updates. If you set Crisis to 25 instead of 30, more days get classified as crisis and the NIFTY average return during crisis periods changes.</w:t>
      </w:r>
    </w:p>
    <w:p w14:paraId="24C33B81"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4A36D688">
          <v:rect id="_x0000_i1040" alt="" style="width:451.3pt;height:.05pt;mso-width-percent:0;mso-height-percent:0;mso-width-percent:0;mso-height-percent:0" o:hralign="center" o:hrstd="t" o:hr="t" fillcolor="#a0a0a0" stroked="f"/>
        </w:pict>
      </w:r>
    </w:p>
    <w:p w14:paraId="70CE7F21" w14:textId="77777777" w:rsidR="00A958DE" w:rsidRPr="00A958DE" w:rsidRDefault="00A958DE" w:rsidP="00A958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58DE">
        <w:rPr>
          <w:rFonts w:ascii="Times New Roman" w:eastAsia="Times New Roman" w:hAnsi="Times New Roman" w:cs="Times New Roman"/>
          <w:b/>
          <w:bCs/>
          <w:kern w:val="0"/>
          <w:sz w:val="36"/>
          <w:szCs w:val="36"/>
          <w:lang w:eastAsia="en-GB"/>
          <w14:ligatures w14:val="none"/>
        </w:rPr>
        <w:t>LAYER 1 — THE 60-SECOND TEST</w:t>
      </w:r>
    </w:p>
    <w:p w14:paraId="3CF008D4"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is designed so that anyone — including someone with no finance background — can understand the complete market state in under a minute. Every number here is the most current data in your database.</w:t>
      </w:r>
    </w:p>
    <w:p w14:paraId="5F8F7FCF"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2845E9D2">
          <v:rect id="_x0000_i1039" alt="" style="width:451.3pt;height:.05pt;mso-width-percent:0;mso-height-percent:0;mso-width-percent:0;mso-height-percent:0" o:hralign="center" o:hrstd="t" o:hr="t" fillcolor="#a0a0a0" stroked="f"/>
        </w:pict>
      </w:r>
    </w:p>
    <w:p w14:paraId="1F271D64"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Times New Roman" w:eastAsia="Times New Roman" w:hAnsi="Times New Roman" w:cs="Times New Roman"/>
          <w:b/>
          <w:bCs/>
          <w:kern w:val="0"/>
          <w:sz w:val="27"/>
          <w:szCs w:val="27"/>
          <w:lang w:eastAsia="en-GB"/>
          <w14:ligatures w14:val="none"/>
        </w:rPr>
        <w:t>Market Regime — currently showing "Bull Market"</w:t>
      </w:r>
    </w:p>
    <w:p w14:paraId="3A9F3C1A"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is calculated by two inputs — VIX level and whether S&amp;P500 is above its 200-day moving average.</w:t>
      </w:r>
    </w:p>
    <w:p w14:paraId="09D182D2"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The four regimes:</w:t>
      </w:r>
    </w:p>
    <w:p w14:paraId="45946FCE" w14:textId="77777777" w:rsidR="00A958DE" w:rsidRPr="00A958DE" w:rsidRDefault="00A958DE" w:rsidP="00A958D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Bull Market</w:t>
      </w:r>
      <w:r w:rsidRPr="00A958DE">
        <w:rPr>
          <w:rFonts w:ascii="Times New Roman" w:eastAsia="Times New Roman" w:hAnsi="Times New Roman" w:cs="Times New Roman"/>
          <w:kern w:val="0"/>
          <w:lang w:eastAsia="en-GB"/>
          <w14:ligatures w14:val="none"/>
        </w:rPr>
        <w:t xml:space="preserve"> = VIX below 20 AND S&amp;P500 above its 200-day MA. This is the ideal environment — low fear, upward trend confirmed</w:t>
      </w:r>
    </w:p>
    <w:p w14:paraId="6A92108B" w14:textId="77777777" w:rsidR="00A958DE" w:rsidRPr="00A958DE" w:rsidRDefault="00A958DE" w:rsidP="00A958D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Bear Market</w:t>
      </w:r>
      <w:r w:rsidRPr="00A958DE">
        <w:rPr>
          <w:rFonts w:ascii="Times New Roman" w:eastAsia="Times New Roman" w:hAnsi="Times New Roman" w:cs="Times New Roman"/>
          <w:kern w:val="0"/>
          <w:lang w:eastAsia="en-GB"/>
          <w14:ligatures w14:val="none"/>
        </w:rPr>
        <w:t xml:space="preserve"> = VIX above 20 AND S&amp;P500 below its 200-day MA. Fear is elevated and the trend has turned down</w:t>
      </w:r>
    </w:p>
    <w:p w14:paraId="0091951E" w14:textId="77777777" w:rsidR="00A958DE" w:rsidRPr="00A958DE" w:rsidRDefault="00A958DE" w:rsidP="00A958D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Crisis</w:t>
      </w:r>
      <w:r w:rsidRPr="00A958DE">
        <w:rPr>
          <w:rFonts w:ascii="Times New Roman" w:eastAsia="Times New Roman" w:hAnsi="Times New Roman" w:cs="Times New Roman"/>
          <w:kern w:val="0"/>
          <w:lang w:eastAsia="en-GB"/>
          <w14:ligatures w14:val="none"/>
        </w:rPr>
        <w:t xml:space="preserve"> = VIX above 30. Regardless of where prices are, fear is extreme</w:t>
      </w:r>
    </w:p>
    <w:p w14:paraId="6C125399" w14:textId="77777777" w:rsidR="00A958DE" w:rsidRPr="00A958DE" w:rsidRDefault="00A958DE" w:rsidP="00A958DE">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Sideways</w:t>
      </w:r>
      <w:r w:rsidRPr="00A958DE">
        <w:rPr>
          <w:rFonts w:ascii="Times New Roman" w:eastAsia="Times New Roman" w:hAnsi="Times New Roman" w:cs="Times New Roman"/>
          <w:kern w:val="0"/>
          <w:lang w:eastAsia="en-GB"/>
          <w14:ligatures w14:val="none"/>
        </w:rPr>
        <w:t xml:space="preserve"> = Everything else — VIX elevated but trend still intact, or trend broken but fear not extreme</w:t>
      </w:r>
    </w:p>
    <w:p w14:paraId="161DFB2A"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Why the 200-day MA?</w:t>
      </w:r>
      <w:r w:rsidRPr="00A958DE">
        <w:rPr>
          <w:rFonts w:ascii="Times New Roman" w:eastAsia="Times New Roman" w:hAnsi="Times New Roman" w:cs="Times New Roman"/>
          <w:kern w:val="0"/>
          <w:lang w:eastAsia="en-GB"/>
          <w14:ligatures w14:val="none"/>
        </w:rPr>
        <w:t xml:space="preserve"> It is the most widely watched trend indicator in professional finance. When the S&amp;P500 is above its 200-day MA, the majority of investors who bought in the last year are in profit. When it falls below, the majority are underwater and more likely to sell.</w:t>
      </w:r>
    </w:p>
    <w:p w14:paraId="17392C63"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Current reading:</w:t>
      </w:r>
      <w:r w:rsidRPr="00A958DE">
        <w:rPr>
          <w:rFonts w:ascii="Times New Roman" w:eastAsia="Times New Roman" w:hAnsi="Times New Roman" w:cs="Times New Roman"/>
          <w:kern w:val="0"/>
          <w:lang w:eastAsia="en-GB"/>
          <w14:ligatures w14:val="none"/>
        </w:rPr>
        <w:t xml:space="preserve"> Bull Market with VIX at 19.9. This means the long-term trend is intact but we are approaching the caution zone. VIX at 19.9 is just below your caution threshold of 20 — one more bad day and the regime shifts to Sideways.</w:t>
      </w:r>
    </w:p>
    <w:p w14:paraId="0768994D"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617C399D">
          <v:rect id="_x0000_i1038" alt="" style="width:451.3pt;height:.05pt;mso-width-percent:0;mso-height-percent:0;mso-width-percent:0;mso-height-percent:0" o:hralign="center" o:hrstd="t" o:hr="t" fillcolor="#a0a0a0" stroked="f"/>
        </w:pict>
      </w:r>
    </w:p>
    <w:p w14:paraId="52CDCF73"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Times New Roman" w:eastAsia="Times New Roman" w:hAnsi="Times New Roman" w:cs="Times New Roman"/>
          <w:b/>
          <w:bCs/>
          <w:kern w:val="0"/>
          <w:sz w:val="27"/>
          <w:szCs w:val="27"/>
          <w:lang w:eastAsia="en-GB"/>
          <w14:ligatures w14:val="none"/>
        </w:rPr>
        <w:t>NIFTY 50 — currently 25,179 ▼ -1.25%</w:t>
      </w:r>
    </w:p>
    <w:p w14:paraId="3C9C5C9F"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lastRenderedPageBreak/>
        <w:t>This is the closing price of the NIFTY 50 index on the last trading day in your database — February 27, 2026.</w:t>
      </w:r>
    </w:p>
    <w:p w14:paraId="559A248A"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What is NIFTY 50?</w:t>
      </w:r>
      <w:r w:rsidRPr="00A958DE">
        <w:rPr>
          <w:rFonts w:ascii="Times New Roman" w:eastAsia="Times New Roman" w:hAnsi="Times New Roman" w:cs="Times New Roman"/>
          <w:kern w:val="0"/>
          <w:lang w:eastAsia="en-GB"/>
          <w14:ligatures w14:val="none"/>
        </w:rPr>
        <w:t xml:space="preserve"> It is India's benchmark stock market index — the 50 largest companies listed on the National Stock Exchange. It is equivalent to what the S&amp;P 500 is for the US. When people say "the Indian market is up today" they mean NIFTY is up.</w:t>
      </w:r>
    </w:p>
    <w:p w14:paraId="1578A7B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The -1.25% delta</w:t>
      </w:r>
      <w:r w:rsidRPr="00A958DE">
        <w:rPr>
          <w:rFonts w:ascii="Times New Roman" w:eastAsia="Times New Roman" w:hAnsi="Times New Roman" w:cs="Times New Roman"/>
          <w:kern w:val="0"/>
          <w:lang w:eastAsia="en-GB"/>
          <w14:ligatures w14:val="none"/>
        </w:rPr>
        <w:t xml:space="preserve"> is the change from the previous trading day — February 26 to February 27. NIFTY fell 1.25% on that day, which in the context of the US-Iran conflict news makes complete sense — India imports 85% of its oil and a Middle East war threatens supply.</w:t>
      </w:r>
    </w:p>
    <w:p w14:paraId="50C7BCD3"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Why is it showing Short signal?</w:t>
      </w:r>
      <w:r w:rsidRPr="00A958DE">
        <w:rPr>
          <w:rFonts w:ascii="Times New Roman" w:eastAsia="Times New Roman" w:hAnsi="Times New Roman" w:cs="Times New Roman"/>
          <w:kern w:val="0"/>
          <w:lang w:eastAsia="en-GB"/>
          <w14:ligatures w14:val="none"/>
        </w:rPr>
        <w:t xml:space="preserve"> Your signal engine calculated that NIFTY's short-term momentum (20-day MA) has crossed below its medium-term momentum (60-day MA), which historically precedes further weakness. This is a technically correct reading — NIFTY peaked at 26,300 in September 2024 and has been in a corrective phase since.</w:t>
      </w:r>
    </w:p>
    <w:p w14:paraId="19A3C937"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06B3B6CD">
          <v:rect id="_x0000_i1037" alt="" style="width:451.3pt;height:.05pt;mso-width-percent:0;mso-height-percent:0;mso-width-percent:0;mso-height-percent:0" o:hralign="center" o:hrstd="t" o:hr="t" fillcolor="#a0a0a0" stroked="f"/>
        </w:pict>
      </w:r>
    </w:p>
    <w:p w14:paraId="3B6AFF4C"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Times New Roman" w:eastAsia="Times New Roman" w:hAnsi="Times New Roman" w:cs="Times New Roman"/>
          <w:b/>
          <w:bCs/>
          <w:kern w:val="0"/>
          <w:sz w:val="27"/>
          <w:szCs w:val="27"/>
          <w:lang w:eastAsia="en-GB"/>
          <w14:ligatures w14:val="none"/>
        </w:rPr>
        <w:t>S&amp;P 500 — currently 6,879 ▼ -0.43%</w:t>
      </w:r>
    </w:p>
    <w:p w14:paraId="12D0E8EB"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The US benchmark fell 0.43% on February 27. This is relatively modest given the Iran conflict news — suggesting markets partially priced in geopolitical risk already or the direct US economic impact is seen as limited.</w:t>
      </w:r>
    </w:p>
    <w:p w14:paraId="73843ED5"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Why Neutral signal?</w:t>
      </w:r>
      <w:r w:rsidRPr="00A958DE">
        <w:rPr>
          <w:rFonts w:ascii="Times New Roman" w:eastAsia="Times New Roman" w:hAnsi="Times New Roman" w:cs="Times New Roman"/>
          <w:kern w:val="0"/>
          <w:lang w:eastAsia="en-GB"/>
          <w14:ligatures w14:val="none"/>
        </w:rPr>
        <w:t xml:space="preserve"> The S&amp;P500 is still above all its moving averages — the long-term trend is intact. But the RSI counter-trend component is pulling the score toward neutral because the market had already been elevated. The signal is saying "the trend is up but don't chase it here."</w:t>
      </w:r>
    </w:p>
    <w:p w14:paraId="336B6BD0"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52470034">
          <v:rect id="_x0000_i1036" alt="" style="width:451.3pt;height:.05pt;mso-width-percent:0;mso-height-percent:0;mso-width-percent:0;mso-height-percent:0" o:hralign="center" o:hrstd="t" o:hr="t" fillcolor="#a0a0a0" stroked="f"/>
        </w:pict>
      </w:r>
    </w:p>
    <w:p w14:paraId="3B13DCC2"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Times New Roman" w:eastAsia="Times New Roman" w:hAnsi="Times New Roman" w:cs="Times New Roman"/>
          <w:b/>
          <w:bCs/>
          <w:kern w:val="0"/>
          <w:sz w:val="27"/>
          <w:szCs w:val="27"/>
          <w:lang w:eastAsia="en-GB"/>
          <w14:ligatures w14:val="none"/>
        </w:rPr>
        <w:t>Gold — currently $5,248 ▲ +1.38%</w:t>
      </w:r>
    </w:p>
    <w:p w14:paraId="0408E249"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Gold rose 1.38% on February 27 while equities fell. This is the classic safe-haven rotation — when geopolitical risk spikes, money moves from stocks to gold.</w:t>
      </w:r>
    </w:p>
    <w:p w14:paraId="63DDBBE5"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Why Long signal?</w:t>
      </w:r>
      <w:r w:rsidRPr="00A958DE">
        <w:rPr>
          <w:rFonts w:ascii="Times New Roman" w:eastAsia="Times New Roman" w:hAnsi="Times New Roman" w:cs="Times New Roman"/>
          <w:kern w:val="0"/>
          <w:lang w:eastAsia="en-GB"/>
          <w14:ligatures w14:val="none"/>
        </w:rPr>
        <w:t xml:space="preserve"> This is your system working exactly as designed. The macro regime component says Overheating (gold bullish). The yield curve component says modest spread (gold supportive). The FX component says dollar pressure (gold bullish). The RSI is neutral — not overbought. All components pointing the same direction = Long with conviction.</w:t>
      </w:r>
    </w:p>
    <w:p w14:paraId="4C7E34EE"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The $5,248 number in context:</w:t>
      </w:r>
      <w:r w:rsidRPr="00A958DE">
        <w:rPr>
          <w:rFonts w:ascii="Times New Roman" w:eastAsia="Times New Roman" w:hAnsi="Times New Roman" w:cs="Times New Roman"/>
          <w:kern w:val="0"/>
          <w:lang w:eastAsia="en-GB"/>
          <w14:ligatures w14:val="none"/>
        </w:rPr>
        <w:t xml:space="preserve"> Gold was $2,063 at the start of 2025. It is now $5,248 — a gain of over 150% in approximately 14 months. This is one of the most extraordinary gold runs in modern history, driven by central bank buying, tariff uncertainty, and now Middle East conflict.</w:t>
      </w:r>
    </w:p>
    <w:p w14:paraId="20C16827"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7EF3C852">
          <v:rect id="_x0000_i1035" alt="" style="width:451.3pt;height:.05pt;mso-width-percent:0;mso-height-percent:0;mso-width-percent:0;mso-height-percent:0" o:hralign="center" o:hrstd="t" o:hr="t" fillcolor="#a0a0a0" stroked="f"/>
        </w:pict>
      </w:r>
    </w:p>
    <w:p w14:paraId="36C563E7"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Times New Roman" w:eastAsia="Times New Roman" w:hAnsi="Times New Roman" w:cs="Times New Roman"/>
          <w:b/>
          <w:bCs/>
          <w:kern w:val="0"/>
          <w:sz w:val="27"/>
          <w:szCs w:val="27"/>
          <w:lang w:eastAsia="en-GB"/>
          <w14:ligatures w14:val="none"/>
        </w:rPr>
        <w:t>Sentiment — currently Negative (-0.142)</w:t>
      </w:r>
    </w:p>
    <w:p w14:paraId="4D96768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lastRenderedPageBreak/>
        <w:t>This is the average sentiment score of the 80 headlines your system fetched today from 8 RSS feeds, scored using context-aware VADER analysis.</w:t>
      </w:r>
    </w:p>
    <w:p w14:paraId="204ECCB3"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What -0.142 means:</w:t>
      </w:r>
      <w:r w:rsidRPr="00A958DE">
        <w:rPr>
          <w:rFonts w:ascii="Times New Roman" w:eastAsia="Times New Roman" w:hAnsi="Times New Roman" w:cs="Times New Roman"/>
          <w:kern w:val="0"/>
          <w:lang w:eastAsia="en-GB"/>
          <w14:ligatures w14:val="none"/>
        </w:rPr>
        <w:t xml:space="preserve"> On a scale of -1 (extremely negative) to +1 (extremely positive), -0.142 is mildly negative. The overall market mood today is cautious. Your system classified this as Negative because it falls below the -0.05 threshold.</w:t>
      </w:r>
    </w:p>
    <w:p w14:paraId="0A0FC1D4"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Why Negative today specifically?</w:t>
      </w:r>
      <w:r w:rsidRPr="00A958DE">
        <w:rPr>
          <w:rFonts w:ascii="Times New Roman" w:eastAsia="Times New Roman" w:hAnsi="Times New Roman" w:cs="Times New Roman"/>
          <w:kern w:val="0"/>
          <w:lang w:eastAsia="en-GB"/>
          <w14:ligatures w14:val="none"/>
        </w:rPr>
        <w:t xml:space="preserve"> Your system detected the US-Israel strikes on Iran. The most negative headlines scored -0.813 — "Trump Says Khamenei Killed In U.S.-Israeli Attacks." This dragged the overall average into negative territory even though 43.8% of headlines were positive.</w:t>
      </w:r>
    </w:p>
    <w:p w14:paraId="198B8A7B"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The asymmetry is important:</w:t>
      </w:r>
      <w:r w:rsidRPr="00A958DE">
        <w:rPr>
          <w:rFonts w:ascii="Times New Roman" w:eastAsia="Times New Roman" w:hAnsi="Times New Roman" w:cs="Times New Roman"/>
          <w:kern w:val="0"/>
          <w:lang w:eastAsia="en-GB"/>
          <w14:ligatures w14:val="none"/>
        </w:rPr>
        <w:t xml:space="preserve"> One extreme negative event (-0.813) pulls the average down more than several mildly positive stories can pull it up. This is actually how real markets work — fear moves faster and harder than greed.</w:t>
      </w:r>
    </w:p>
    <w:p w14:paraId="194C4775"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6EA34B67">
          <v:rect id="_x0000_i1034" alt="" style="width:451.3pt;height:.05pt;mso-width-percent:0;mso-height-percent:0;mso-width-percent:0;mso-height-percent:0" o:hralign="center" o:hrstd="t" o:hr="t" fillcolor="#a0a0a0" stroked="f"/>
        </w:pict>
      </w:r>
    </w:p>
    <w:p w14:paraId="1E5E24E1"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Times New Roman" w:eastAsia="Times New Roman" w:hAnsi="Times New Roman" w:cs="Times New Roman"/>
          <w:b/>
          <w:bCs/>
          <w:kern w:val="0"/>
          <w:sz w:val="27"/>
          <w:szCs w:val="27"/>
          <w:lang w:eastAsia="en-GB"/>
          <w14:ligatures w14:val="none"/>
        </w:rPr>
        <w:t>Active Trading Signals</w:t>
      </w:r>
    </w:p>
    <w:p w14:paraId="1CB98942"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These are generated by your full 12-component signal engine combining momentum, RSI, macro regime, yield curve, FX, and sentiment.</w:t>
      </w:r>
    </w:p>
    <w:p w14:paraId="14D36153"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NIFTY Short</w:t>
      </w:r>
      <w:r w:rsidRPr="00A958DE">
        <w:rPr>
          <w:rFonts w:ascii="Times New Roman" w:eastAsia="Times New Roman" w:hAnsi="Times New Roman" w:cs="Times New Roman"/>
          <w:kern w:val="0"/>
          <w:lang w:eastAsia="en-GB"/>
          <w14:ligatures w14:val="none"/>
        </w:rPr>
        <w:t xml:space="preserve"> — momentum broken, rupee under pressure from oil price rise </w:t>
      </w:r>
      <w:r w:rsidRPr="00A958DE">
        <w:rPr>
          <w:rFonts w:ascii="Times New Roman" w:eastAsia="Times New Roman" w:hAnsi="Times New Roman" w:cs="Times New Roman"/>
          <w:b/>
          <w:bCs/>
          <w:kern w:val="0"/>
          <w:lang w:eastAsia="en-GB"/>
          <w14:ligatures w14:val="none"/>
        </w:rPr>
        <w:t>S&amp;P 500 Neutral</w:t>
      </w:r>
      <w:r w:rsidRPr="00A958DE">
        <w:rPr>
          <w:rFonts w:ascii="Times New Roman" w:eastAsia="Times New Roman" w:hAnsi="Times New Roman" w:cs="Times New Roman"/>
          <w:kern w:val="0"/>
          <w:lang w:eastAsia="en-GB"/>
          <w14:ligatures w14:val="none"/>
        </w:rPr>
        <w:t xml:space="preserve"> — trend intact but not compelling enough to be Long </w:t>
      </w:r>
      <w:r w:rsidRPr="00A958DE">
        <w:rPr>
          <w:rFonts w:ascii="Times New Roman" w:eastAsia="Times New Roman" w:hAnsi="Times New Roman" w:cs="Times New Roman"/>
          <w:b/>
          <w:bCs/>
          <w:kern w:val="0"/>
          <w:lang w:eastAsia="en-GB"/>
          <w14:ligatures w14:val="none"/>
        </w:rPr>
        <w:t>Gold Long</w:t>
      </w:r>
      <w:r w:rsidRPr="00A958DE">
        <w:rPr>
          <w:rFonts w:ascii="Times New Roman" w:eastAsia="Times New Roman" w:hAnsi="Times New Roman" w:cs="Times New Roman"/>
          <w:kern w:val="0"/>
          <w:lang w:eastAsia="en-GB"/>
          <w14:ligatures w14:val="none"/>
        </w:rPr>
        <w:t xml:space="preserve"> — macro regime, momentum, and sentiment all aligned bullish </w:t>
      </w:r>
      <w:r w:rsidRPr="00A958DE">
        <w:rPr>
          <w:rFonts w:ascii="Times New Roman" w:eastAsia="Times New Roman" w:hAnsi="Times New Roman" w:cs="Times New Roman"/>
          <w:b/>
          <w:bCs/>
          <w:kern w:val="0"/>
          <w:lang w:eastAsia="en-GB"/>
          <w14:ligatures w14:val="none"/>
        </w:rPr>
        <w:t>Crude Long</w:t>
      </w:r>
      <w:r w:rsidRPr="00A958DE">
        <w:rPr>
          <w:rFonts w:ascii="Times New Roman" w:eastAsia="Times New Roman" w:hAnsi="Times New Roman" w:cs="Times New Roman"/>
          <w:kern w:val="0"/>
          <w:lang w:eastAsia="en-GB"/>
          <w14:ligatures w14:val="none"/>
        </w:rPr>
        <w:t xml:space="preserve"> — Iran supply disruption directly bullish for oil prices </w:t>
      </w:r>
      <w:r w:rsidRPr="00A958DE">
        <w:rPr>
          <w:rFonts w:ascii="Times New Roman" w:eastAsia="Times New Roman" w:hAnsi="Times New Roman" w:cs="Times New Roman"/>
          <w:b/>
          <w:bCs/>
          <w:kern w:val="0"/>
          <w:lang w:eastAsia="en-GB"/>
          <w14:ligatures w14:val="none"/>
        </w:rPr>
        <w:t xml:space="preserve">Yield Curve Normal </w:t>
      </w:r>
      <w:r w:rsidRPr="00A958DE">
        <w:rPr>
          <w:rFonts w:ascii="Segoe UI Symbol" w:eastAsia="Times New Roman" w:hAnsi="Segoe UI Symbol" w:cs="Segoe UI Symbol"/>
          <w:b/>
          <w:bCs/>
          <w:kern w:val="0"/>
          <w:lang w:eastAsia="en-GB"/>
          <w14:ligatures w14:val="none"/>
        </w:rPr>
        <w:t>✓</w:t>
      </w:r>
      <w:r w:rsidRPr="00A958DE">
        <w:rPr>
          <w:rFonts w:ascii="Times New Roman" w:eastAsia="Times New Roman" w:hAnsi="Times New Roman" w:cs="Times New Roman"/>
          <w:kern w:val="0"/>
          <w:lang w:eastAsia="en-GB"/>
          <w14:ligatures w14:val="none"/>
        </w:rPr>
        <w:t xml:space="preserve"> — 10Y minus 2Y spread is +0.60%, positive and healthy</w:t>
      </w:r>
    </w:p>
    <w:p w14:paraId="0C497769"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What Long/Short/Neutral means practically:</w:t>
      </w:r>
    </w:p>
    <w:p w14:paraId="7976AAD8" w14:textId="77777777" w:rsidR="00A958DE" w:rsidRPr="00A958DE" w:rsidRDefault="00A958DE" w:rsidP="00A958D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Long = the system says this asset is in a favorable environment, consider being invested</w:t>
      </w:r>
    </w:p>
    <w:p w14:paraId="5885070B" w14:textId="77777777" w:rsidR="00A958DE" w:rsidRPr="00A958DE" w:rsidRDefault="00A958DE" w:rsidP="00A958D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Short = the system says conditions are unfavorable, consider reducing exposure or being in cash</w:t>
      </w:r>
    </w:p>
    <w:p w14:paraId="026C2477" w14:textId="77777777" w:rsidR="00A958DE" w:rsidRPr="00A958DE" w:rsidRDefault="00A958DE" w:rsidP="00A958DE">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Neutral = mixed signals, no strong directional view, stay cautious</w:t>
      </w:r>
    </w:p>
    <w:p w14:paraId="09BF9930"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Important:</w:t>
      </w:r>
      <w:r w:rsidRPr="00A958DE">
        <w:rPr>
          <w:rFonts w:ascii="Times New Roman" w:eastAsia="Times New Roman" w:hAnsi="Times New Roman" w:cs="Times New Roman"/>
          <w:kern w:val="0"/>
          <w:lang w:eastAsia="en-GB"/>
          <w14:ligatures w14:val="none"/>
        </w:rPr>
        <w:t xml:space="preserve"> These are not buy/sell orders. They are regime indicators telling you the probability that the next 20-30 days will be favorable or unfavorable for each asset.</w:t>
      </w:r>
    </w:p>
    <w:p w14:paraId="16648382"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73120B41">
          <v:rect id="_x0000_i1033" alt="" style="width:451.3pt;height:.05pt;mso-width-percent:0;mso-height-percent:0;mso-width-percent:0;mso-height-percent:0" o:hralign="center" o:hrstd="t" o:hr="t" fillcolor="#a0a0a0" stroked="f"/>
        </w:pict>
      </w:r>
    </w:p>
    <w:p w14:paraId="2915DE1F"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Times New Roman" w:eastAsia="Times New Roman" w:hAnsi="Times New Roman" w:cs="Times New Roman"/>
          <w:b/>
          <w:bCs/>
          <w:kern w:val="0"/>
          <w:sz w:val="27"/>
          <w:szCs w:val="27"/>
          <w:lang w:eastAsia="en-GB"/>
          <w14:ligatures w14:val="none"/>
        </w:rPr>
        <w:t>System Commentary</w:t>
      </w:r>
    </w:p>
    <w:p w14:paraId="46F715E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is auto-generated text that combines all the above into one readable sentence. It updates every time any input changes.</w:t>
      </w:r>
    </w:p>
    <w:p w14:paraId="1011124F"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lastRenderedPageBreak/>
        <w:t>"VIX at 70th percentile"</w:t>
      </w:r>
      <w:r w:rsidRPr="00A958DE">
        <w:rPr>
          <w:rFonts w:ascii="Times New Roman" w:eastAsia="Times New Roman" w:hAnsi="Times New Roman" w:cs="Times New Roman"/>
          <w:kern w:val="0"/>
          <w:lang w:eastAsia="en-GB"/>
          <w14:ligatures w14:val="none"/>
        </w:rPr>
        <w:t xml:space="preserve"> means VIX at 19.9 is higher than 70% of all VIX readings in the selected history. This is elevated — only 30% of days had higher fear than today. Markets are not in crisis but they are not calm either.</w:t>
      </w:r>
    </w:p>
    <w:p w14:paraId="79F81D76"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3BE1DFD1">
          <v:rect id="_x0000_i1032" alt="" style="width:451.3pt;height:.05pt;mso-width-percent:0;mso-height-percent:0;mso-width-percent:0;mso-height-percent:0" o:hralign="center" o:hrstd="t" o:hr="t" fillcolor="#a0a0a0" stroked="f"/>
        </w:pict>
      </w:r>
    </w:p>
    <w:p w14:paraId="3E8F43FC" w14:textId="77777777" w:rsidR="00A958DE" w:rsidRPr="00A958DE" w:rsidRDefault="00A958DE" w:rsidP="00A958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58DE">
        <w:rPr>
          <w:rFonts w:ascii="Times New Roman" w:eastAsia="Times New Roman" w:hAnsi="Times New Roman" w:cs="Times New Roman"/>
          <w:b/>
          <w:bCs/>
          <w:kern w:val="0"/>
          <w:sz w:val="36"/>
          <w:szCs w:val="36"/>
          <w:lang w:eastAsia="en-GB"/>
          <w14:ligatures w14:val="none"/>
        </w:rPr>
        <w:t>LAYER 2 — INTERACTIVE ANALYSIS</w:t>
      </w:r>
    </w:p>
    <w:p w14:paraId="192FE7A7"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4BDB6828">
          <v:rect id="_x0000_i1031" alt="" style="width:451.3pt;height:.05pt;mso-width-percent:0;mso-height-percent:0;mso-width-percent:0;mso-height-percent:0" o:hralign="center" o:hrstd="t" o:hr="t" fillcolor="#a0a0a0" stroked="f"/>
        </w:pict>
      </w:r>
    </w:p>
    <w:p w14:paraId="5DD6A19F"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Apple Color Emoji" w:eastAsia="Times New Roman" w:hAnsi="Apple Color Emoji" w:cs="Apple Color Emoji"/>
          <w:b/>
          <w:bCs/>
          <w:kern w:val="0"/>
          <w:sz w:val="27"/>
          <w:szCs w:val="27"/>
          <w:lang w:eastAsia="en-GB"/>
          <w14:ligatures w14:val="none"/>
        </w:rPr>
        <w:t>🌍</w:t>
      </w:r>
      <w:r w:rsidRPr="00A958DE">
        <w:rPr>
          <w:rFonts w:ascii="Times New Roman" w:eastAsia="Times New Roman" w:hAnsi="Times New Roman" w:cs="Times New Roman"/>
          <w:b/>
          <w:bCs/>
          <w:kern w:val="0"/>
          <w:sz w:val="27"/>
          <w:szCs w:val="27"/>
          <w:lang w:eastAsia="en-GB"/>
          <w14:ligatures w14:val="none"/>
        </w:rPr>
        <w:t xml:space="preserve"> Macro Tab</w:t>
      </w:r>
    </w:p>
    <w:p w14:paraId="0E033432"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Indexed Performance Chart (Base = 100)</w:t>
      </w:r>
    </w:p>
    <w:p w14:paraId="2BF61711"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normalises all assets to 100 at the start of your selected period so you can compare them fairly regardless of price level.</w:t>
      </w:r>
    </w:p>
    <w:p w14:paraId="1ADFA3CC"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Example:</w:t>
      </w:r>
      <w:r w:rsidRPr="00A958DE">
        <w:rPr>
          <w:rFonts w:ascii="Times New Roman" w:eastAsia="Times New Roman" w:hAnsi="Times New Roman" w:cs="Times New Roman"/>
          <w:kern w:val="0"/>
          <w:lang w:eastAsia="en-GB"/>
          <w14:ligatures w14:val="none"/>
        </w:rPr>
        <w:t xml:space="preserve"> NIFTY started at roughly 8,000 in January 2015 and is now at 25,179. Gold started at around $1,200 and is now $5,248. You cannot directly compare these numbers because they are in different currencies and different absolute levels. By indexing both to 100, you can see that Gold has risen to approximately 437 (a 337% gain) while NIFTY has risen to approximately 315 (a 215% gain) over the same period. Gold has massively outperformed NIFTY in this cycle.</w:t>
      </w:r>
    </w:p>
    <w:p w14:paraId="109B7A91"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Rolling Correlation Matrix</w:t>
      </w:r>
    </w:p>
    <w:p w14:paraId="37B9BBA8"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shows how closely two assets move together over the last N trading days — where N is the slider you control.</w:t>
      </w:r>
    </w:p>
    <w:p w14:paraId="6B60F199"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Reading the numbers:</w:t>
      </w:r>
    </w:p>
    <w:p w14:paraId="0121650F" w14:textId="77777777" w:rsidR="00A958DE" w:rsidRPr="00A958DE" w:rsidRDefault="00A958DE" w:rsidP="00A958D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+1.0 = perfect positive correlation, assets move identically</w:t>
      </w:r>
    </w:p>
    <w:p w14:paraId="792EA845" w14:textId="77777777" w:rsidR="00A958DE" w:rsidRPr="00A958DE" w:rsidRDefault="00A958DE" w:rsidP="00A958D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0.0 = no relationship, assets move independently</w:t>
      </w:r>
    </w:p>
    <w:p w14:paraId="0DFA4546" w14:textId="77777777" w:rsidR="00A958DE" w:rsidRPr="00A958DE" w:rsidRDefault="00A958DE" w:rsidP="00A958DE">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-1.0 = perfect negative correlation, when one goes up the other goes down</w:t>
      </w:r>
    </w:p>
    <w:p w14:paraId="55404427"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Current key correlations at 60-day window:</w:t>
      </w:r>
    </w:p>
    <w:p w14:paraId="1D836F13" w14:textId="77777777" w:rsidR="00A958DE" w:rsidRPr="00A958DE" w:rsidRDefault="00A958DE" w:rsidP="00A958D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NIFTY vs SP500: around +0.8 — they move together strongly. When the US sneezes India catches a cold</w:t>
      </w:r>
    </w:p>
    <w:p w14:paraId="5648FCC0" w14:textId="77777777" w:rsidR="00A958DE" w:rsidRPr="00A958DE" w:rsidRDefault="00A958DE" w:rsidP="00A958D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SP500 vs Gold: around -0.5 — moderate negative relationship. Gold tends to rise when equities fall</w:t>
      </w:r>
    </w:p>
    <w:p w14:paraId="49152B37" w14:textId="77777777" w:rsidR="00A958DE" w:rsidRPr="00A958DE" w:rsidRDefault="00A958DE" w:rsidP="00A958D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Gold vs Silver: around +0.8 — they move together as precious metals</w:t>
      </w:r>
    </w:p>
    <w:p w14:paraId="4C27B22C"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Why the slider matters:</w:t>
      </w:r>
      <w:r w:rsidRPr="00A958DE">
        <w:rPr>
          <w:rFonts w:ascii="Times New Roman" w:eastAsia="Times New Roman" w:hAnsi="Times New Roman" w:cs="Times New Roman"/>
          <w:kern w:val="0"/>
          <w:lang w:eastAsia="en-GB"/>
          <w14:ligatures w14:val="none"/>
        </w:rPr>
        <w:t xml:space="preserve"> Set the window to 30 days and you see very recent relationships. Set it to 252 days (one year) and you see the longer-term structural relationship. During the COVID crash the NIFTY-SP500 correlation spiked to nearly 1.0 — every market fell together. In calmer periods they diverge more.</w:t>
      </w:r>
    </w:p>
    <w:p w14:paraId="29EB2FFB"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5D3C19EE">
          <v:rect id="_x0000_i1030" alt="" style="width:451.3pt;height:.05pt;mso-width-percent:0;mso-height-percent:0;mso-width-percent:0;mso-height-percent:0" o:hralign="center" o:hrstd="t" o:hr="t" fillcolor="#a0a0a0" stroked="f"/>
        </w:pict>
      </w:r>
    </w:p>
    <w:p w14:paraId="3E9C7C89"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Apple Color Emoji" w:eastAsia="Times New Roman" w:hAnsi="Apple Color Emoji" w:cs="Apple Color Emoji"/>
          <w:b/>
          <w:bCs/>
          <w:kern w:val="0"/>
          <w:sz w:val="27"/>
          <w:szCs w:val="27"/>
          <w:lang w:eastAsia="en-GB"/>
          <w14:ligatures w14:val="none"/>
        </w:rPr>
        <w:lastRenderedPageBreak/>
        <w:t>📊</w:t>
      </w:r>
      <w:r w:rsidRPr="00A958DE">
        <w:rPr>
          <w:rFonts w:ascii="Times New Roman" w:eastAsia="Times New Roman" w:hAnsi="Times New Roman" w:cs="Times New Roman"/>
          <w:b/>
          <w:bCs/>
          <w:kern w:val="0"/>
          <w:sz w:val="27"/>
          <w:szCs w:val="27"/>
          <w:lang w:eastAsia="en-GB"/>
          <w14:ligatures w14:val="none"/>
        </w:rPr>
        <w:t xml:space="preserve"> Volatility Tab</w:t>
      </w:r>
    </w:p>
    <w:p w14:paraId="14627122"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VIX Fear Index Chart</w:t>
      </w:r>
    </w:p>
    <w:p w14:paraId="1F9AE545"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The VIX measures the implied volatility of S&amp;P 500 options over the next 30 days. It is calculated from the prices of options contracts — when investors are scared they pay more for protection, driving VIX up.</w:t>
      </w:r>
    </w:p>
    <w:p w14:paraId="145A3939"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Practical interpretation:</w:t>
      </w:r>
    </w:p>
    <w:p w14:paraId="6451F92D" w14:textId="77777777" w:rsidR="00A958DE" w:rsidRPr="00A958DE" w:rsidRDefault="00A958DE" w:rsidP="00A958D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VIX 10-15 = extreme calm, markets complacent. This was 2017 — the single calmest year in stock market history</w:t>
      </w:r>
    </w:p>
    <w:p w14:paraId="37D11967" w14:textId="77777777" w:rsidR="00A958DE" w:rsidRPr="00A958DE" w:rsidRDefault="00A958DE" w:rsidP="00A958D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VIX 15-20 = normal market conditions</w:t>
      </w:r>
    </w:p>
    <w:p w14:paraId="6BC84707" w14:textId="77777777" w:rsidR="00A958DE" w:rsidRPr="00A958DE" w:rsidRDefault="00A958DE" w:rsidP="00A958D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VIX 20-30 = elevated anxiety, something is worrying investors</w:t>
      </w:r>
    </w:p>
    <w:p w14:paraId="7D59C3BC" w14:textId="77777777" w:rsidR="00A958DE" w:rsidRPr="00A958DE" w:rsidRDefault="00A958DE" w:rsidP="00A958D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VIX 30-40 = genuine fear, a significant event is happening</w:t>
      </w:r>
    </w:p>
    <w:p w14:paraId="77B70E96" w14:textId="77777777" w:rsidR="00A958DE" w:rsidRPr="00A958DE" w:rsidRDefault="00A958DE" w:rsidP="00A958D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VIX 40+ = panic. This is COVID territory</w:t>
      </w:r>
    </w:p>
    <w:p w14:paraId="44B7841B"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The orange and red dashed lines</w:t>
      </w:r>
      <w:r w:rsidRPr="00A958DE">
        <w:rPr>
          <w:rFonts w:ascii="Times New Roman" w:eastAsia="Times New Roman" w:hAnsi="Times New Roman" w:cs="Times New Roman"/>
          <w:kern w:val="0"/>
          <w:lang w:eastAsia="en-GB"/>
          <w14:ligatures w14:val="none"/>
        </w:rPr>
        <w:t xml:space="preserve"> at 20 and 30 are your caution and crisis thresholds from the sidebar. These update when you move the sliders.</w:t>
      </w:r>
    </w:p>
    <w:p w14:paraId="4F53E423"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The gray dotted line</w:t>
      </w:r>
      <w:r w:rsidRPr="00A958DE">
        <w:rPr>
          <w:rFonts w:ascii="Times New Roman" w:eastAsia="Times New Roman" w:hAnsi="Times New Roman" w:cs="Times New Roman"/>
          <w:kern w:val="0"/>
          <w:lang w:eastAsia="en-GB"/>
          <w14:ligatures w14:val="none"/>
        </w:rPr>
        <w:t xml:space="preserve"> is the historical mean — around 21.4 in your dataset. When VIX is above the mean, fear is elevated. When below, markets are calm.</w:t>
      </w:r>
    </w:p>
    <w:p w14:paraId="6063F4DF"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VIX vs India VIX (lower panel)</w:t>
      </w:r>
    </w:p>
    <w:p w14:paraId="75B5E6E6"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India VIX measures the same thing but for NIFTY options. When both spike together it is a global risk-off event — 2020 COVID is the most visible example. When India VIX spikes but US VIX stays calm it is an India-specific issue — like a monsoon shortfall, RBI policy shock, or domestic political event.</w:t>
      </w:r>
    </w:p>
    <w:p w14:paraId="5E68083A"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VIX Statistics Row:</w:t>
      </w:r>
    </w:p>
    <w:p w14:paraId="581090E1" w14:textId="77777777" w:rsidR="00A958DE" w:rsidRPr="00A958DE" w:rsidRDefault="00A958DE" w:rsidP="00A958D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Current VIX 19.9 — today's reading</w:t>
      </w:r>
    </w:p>
    <w:p w14:paraId="0E92F297" w14:textId="77777777" w:rsidR="00A958DE" w:rsidRPr="00A958DE" w:rsidRDefault="00A958DE" w:rsidP="00A958D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VIX Mean 21.4 — average across your selected period</w:t>
      </w:r>
    </w:p>
    <w:p w14:paraId="36713F15" w14:textId="77777777" w:rsidR="00A958DE" w:rsidRPr="00A958DE" w:rsidRDefault="00A958DE" w:rsidP="00A958D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VIX Max 82.7 — the COVID panic peak on March 16 2020</w:t>
      </w:r>
    </w:p>
    <w:p w14:paraId="318DD342" w14:textId="77777777" w:rsidR="00A958DE" w:rsidRPr="00A958DE" w:rsidRDefault="00A958DE" w:rsidP="00A958D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Days above crisis 135 — only 135 days out of 4,000+ were genuine crisis days, about 3.4% of all trading days</w:t>
      </w:r>
    </w:p>
    <w:p w14:paraId="28EE6185"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Volatility Commentary</w:t>
      </w:r>
    </w:p>
    <w:p w14:paraId="5C1FFD49"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"When VIX exceeds 30, NIFTY averages -0.289% next day" — this is a statistic calculated directly from your 11 years of data. Every time VIX closed above 30, what did NIFTY do the next day on average? The answer is -0.289%. This is a real, data-backed edge — fear days beget more selling.</w:t>
      </w:r>
    </w:p>
    <w:p w14:paraId="5244CEC8"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"When VIX is below 20, NIFTY averages +0.138% next day" — calm days drift upward. This is the foundation of the trend-following component of your signal engine.</w:t>
      </w:r>
    </w:p>
    <w:p w14:paraId="34BDB2C3"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1C4D8918">
          <v:rect id="_x0000_i1029" alt="" style="width:451.3pt;height:.05pt;mso-width-percent:0;mso-height-percent:0;mso-width-percent:0;mso-height-percent:0" o:hralign="center" o:hrstd="t" o:hr="t" fillcolor="#a0a0a0" stroked="f"/>
        </w:pict>
      </w:r>
    </w:p>
    <w:p w14:paraId="6C7FB017"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Apple Color Emoji" w:eastAsia="Times New Roman" w:hAnsi="Apple Color Emoji" w:cs="Apple Color Emoji"/>
          <w:b/>
          <w:bCs/>
          <w:kern w:val="0"/>
          <w:sz w:val="27"/>
          <w:szCs w:val="27"/>
          <w:lang w:eastAsia="en-GB"/>
          <w14:ligatures w14:val="none"/>
        </w:rPr>
        <w:lastRenderedPageBreak/>
        <w:t>💱</w:t>
      </w:r>
      <w:r w:rsidRPr="00A958DE">
        <w:rPr>
          <w:rFonts w:ascii="Times New Roman" w:eastAsia="Times New Roman" w:hAnsi="Times New Roman" w:cs="Times New Roman"/>
          <w:b/>
          <w:bCs/>
          <w:kern w:val="0"/>
          <w:sz w:val="27"/>
          <w:szCs w:val="27"/>
          <w:lang w:eastAsia="en-GB"/>
          <w14:ligatures w14:val="none"/>
        </w:rPr>
        <w:t xml:space="preserve"> FX &amp; Bonds Tab</w:t>
      </w:r>
    </w:p>
    <w:p w14:paraId="7993469B"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Treasury Yields Chart</w:t>
      </w:r>
    </w:p>
    <w:p w14:paraId="2208A9D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shows the US 10-year and 2-year Treasury bond yields over time.</w:t>
      </w:r>
    </w:p>
    <w:p w14:paraId="41693902"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What yields mean:</w:t>
      </w:r>
      <w:r w:rsidRPr="00A958DE">
        <w:rPr>
          <w:rFonts w:ascii="Times New Roman" w:eastAsia="Times New Roman" w:hAnsi="Times New Roman" w:cs="Times New Roman"/>
          <w:kern w:val="0"/>
          <w:lang w:eastAsia="en-GB"/>
          <w14:ligatures w14:val="none"/>
        </w:rPr>
        <w:t xml:space="preserve"> A bond yield is the annual return an investor receives for lending money to the US government. The 10-year yield reflects long-term growth and inflation expectations. The 2-year yield reflects what the market thinks the Federal Reserve will do with interest rates over the next two years.</w:t>
      </w:r>
    </w:p>
    <w:p w14:paraId="7CBCE4A1"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Why this matters for every asset:</w:t>
      </w:r>
    </w:p>
    <w:p w14:paraId="759BEBB2" w14:textId="77777777" w:rsidR="00A958DE" w:rsidRPr="00A958DE" w:rsidRDefault="00A958DE" w:rsidP="00A958D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When yields rise, bonds become more attractive relative to stocks → equities fall</w:t>
      </w:r>
    </w:p>
    <w:p w14:paraId="79AE0B90" w14:textId="77777777" w:rsidR="00A958DE" w:rsidRPr="00A958DE" w:rsidRDefault="00A958DE" w:rsidP="00A958D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When yields rise, the dollar strengthens → Gold falls, Rupee weakens</w:t>
      </w:r>
    </w:p>
    <w:p w14:paraId="24FE95EA" w14:textId="77777777" w:rsidR="00A958DE" w:rsidRPr="00A958DE" w:rsidRDefault="00A958DE" w:rsidP="00A958D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When yields fall, the opposite happens</w:t>
      </w:r>
    </w:p>
    <w:p w14:paraId="55C9FC8F"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Yield Spread (10Y minus 2Y)</w:t>
      </w:r>
    </w:p>
    <w:p w14:paraId="40EAEFE3"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is the yield curve. Normally the 10-year yield is higher than the 2-year yield because investors demand more compensation for locking money up longer. The spread is normally positive — around 1-2%.</w:t>
      </w:r>
    </w:p>
    <w:p w14:paraId="1001AD90"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When the spread goes negative (inverted yield curve):</w:t>
      </w:r>
      <w:r w:rsidRPr="00A958DE">
        <w:rPr>
          <w:rFonts w:ascii="Times New Roman" w:eastAsia="Times New Roman" w:hAnsi="Times New Roman" w:cs="Times New Roman"/>
          <w:kern w:val="0"/>
          <w:lang w:eastAsia="en-GB"/>
          <w14:ligatures w14:val="none"/>
        </w:rPr>
        <w:t xml:space="preserve"> This means short-term rates are higher than long-term rates, which happens when the Federal Reserve has raised rates aggressively. An inverted yield curve has preceded every US recession in the last 50 years — usually by 12-18 months.</w:t>
      </w:r>
    </w:p>
    <w:p w14:paraId="2B6C157A"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Your system detected yield curve inversion for 544 days between 2022 and 2024</w:t>
      </w:r>
      <w:r w:rsidRPr="00A958DE">
        <w:rPr>
          <w:rFonts w:ascii="Times New Roman" w:eastAsia="Times New Roman" w:hAnsi="Times New Roman" w:cs="Times New Roman"/>
          <w:kern w:val="0"/>
          <w:lang w:eastAsia="en-GB"/>
          <w14:ligatures w14:val="none"/>
        </w:rPr>
        <w:t xml:space="preserve"> — this was the Fed's aggressive rate hiking cycle to fight 8%+ inflation. The recession it predicted has been delayed by strong employment, but the signal was technically correct in flagging economic stress.</w:t>
      </w:r>
    </w:p>
    <w:p w14:paraId="6C80AA95"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Current reading +0.60%</w:t>
      </w:r>
      <w:r w:rsidRPr="00A958DE">
        <w:rPr>
          <w:rFonts w:ascii="Times New Roman" w:eastAsia="Times New Roman" w:hAnsi="Times New Roman" w:cs="Times New Roman"/>
          <w:kern w:val="0"/>
          <w:lang w:eastAsia="en-GB"/>
          <w14:ligatures w14:val="none"/>
        </w:rPr>
        <w:t xml:space="preserve"> — the curve has normalised, suggesting the rate cycle has peaked. This is positive for equities and neutral for gold.</w:t>
      </w:r>
    </w:p>
    <w:p w14:paraId="1F1CF7F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USD/INR Chart</w:t>
      </w:r>
    </w:p>
    <w:p w14:paraId="356260EE"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shows how many Indian Rupees one US Dollar buys. A rising line means the Rupee is weakening — each dollar buys more Rupees.</w:t>
      </w:r>
    </w:p>
    <w:p w14:paraId="1A2D50E5"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Why this matters for Indian investors:</w:t>
      </w:r>
    </w:p>
    <w:p w14:paraId="57853124" w14:textId="77777777" w:rsidR="00A958DE" w:rsidRPr="00A958DE" w:rsidRDefault="00A958DE" w:rsidP="00A958D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Weak Rupee makes imports more expensive, especially oil — India imports 85% of its oil</w:t>
      </w:r>
    </w:p>
    <w:p w14:paraId="2BBB04A7" w14:textId="77777777" w:rsidR="00A958DE" w:rsidRPr="00A958DE" w:rsidRDefault="00A958DE" w:rsidP="00A958D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Weak Rupee means foreign institutional investors (FIIs) get worse returns when converting back to dollars → they sell Indian equities → NIFTY falls</w:t>
      </w:r>
    </w:p>
    <w:p w14:paraId="40AE3496" w14:textId="77777777" w:rsidR="00A958DE" w:rsidRPr="00A958DE" w:rsidRDefault="00A958DE" w:rsidP="00A958D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Weak Rupee is inflationary → RBI may have to raise rates → more pressure on equities</w:t>
      </w:r>
    </w:p>
    <w:p w14:paraId="762447F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lastRenderedPageBreak/>
        <w:t>The depreciation from ₹63 to ₹87 over 11 years</w:t>
      </w:r>
      <w:r w:rsidRPr="00A958DE">
        <w:rPr>
          <w:rFonts w:ascii="Times New Roman" w:eastAsia="Times New Roman" w:hAnsi="Times New Roman" w:cs="Times New Roman"/>
          <w:kern w:val="0"/>
          <w:lang w:eastAsia="en-GB"/>
          <w14:ligatures w14:val="none"/>
        </w:rPr>
        <w:t xml:space="preserve"> is a 38% fall in the Rupee's value. This means an Indian investor in NIFTY earned 215% in Rupee terms but only about 130% in dollar terms — still excellent, but the currency drag is real.</w:t>
      </w:r>
    </w:p>
    <w:p w14:paraId="68EAAB85"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244B39AB">
          <v:rect id="_x0000_i1028" alt="" style="width:451.3pt;height:.05pt;mso-width-percent:0;mso-height-percent:0;mso-width-percent:0;mso-height-percent:0" o:hralign="center" o:hrstd="t" o:hr="t" fillcolor="#a0a0a0" stroked="f"/>
        </w:pict>
      </w:r>
    </w:p>
    <w:p w14:paraId="0DC2FBD7"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Apple Color Emoji" w:eastAsia="Times New Roman" w:hAnsi="Apple Color Emoji" w:cs="Apple Color Emoji"/>
          <w:b/>
          <w:bCs/>
          <w:kern w:val="0"/>
          <w:sz w:val="27"/>
          <w:szCs w:val="27"/>
          <w:lang w:eastAsia="en-GB"/>
          <w14:ligatures w14:val="none"/>
        </w:rPr>
        <w:t>😐</w:t>
      </w:r>
      <w:r w:rsidRPr="00A958DE">
        <w:rPr>
          <w:rFonts w:ascii="Times New Roman" w:eastAsia="Times New Roman" w:hAnsi="Times New Roman" w:cs="Times New Roman"/>
          <w:b/>
          <w:bCs/>
          <w:kern w:val="0"/>
          <w:sz w:val="27"/>
          <w:szCs w:val="27"/>
          <w:lang w:eastAsia="en-GB"/>
          <w14:ligatures w14:val="none"/>
        </w:rPr>
        <w:t xml:space="preserve"> Sentiment Tab</w:t>
      </w:r>
    </w:p>
    <w:p w14:paraId="0C441783"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Overall Score and Distribution</w:t>
      </w:r>
    </w:p>
    <w:p w14:paraId="2B46BD1B"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The score of +0.027 (or -0.142 on the Iran conflict day) is the average of all 80 headline scores. Each headline is scored from -1 to +1 using VADER plus your context-aware macro adjustments.</w:t>
      </w:r>
    </w:p>
    <w:p w14:paraId="53D17758"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The pie chart</w:t>
      </w:r>
      <w:r w:rsidRPr="00A958DE">
        <w:rPr>
          <w:rFonts w:ascii="Times New Roman" w:eastAsia="Times New Roman" w:hAnsi="Times New Roman" w:cs="Times New Roman"/>
          <w:kern w:val="0"/>
          <w:lang w:eastAsia="en-GB"/>
          <w14:ligatures w14:val="none"/>
        </w:rPr>
        <w:t xml:space="preserve"> shows that today approximately 43% of headlines were positive, 28% neutral, 28% negative. This is a roughly balanced picture pulled negative by a few extreme geopolitical headlines.</w:t>
      </w:r>
    </w:p>
    <w:p w14:paraId="25DC5033"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Sentiment by Market Bar Chart</w:t>
      </w:r>
    </w:p>
    <w:p w14:paraId="0FFD7737"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shows the average sentiment score for headlines specifically mentioning each market.</w:t>
      </w:r>
    </w:p>
    <w:p w14:paraId="09D345C9"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Example interpretation today:</w:t>
      </w:r>
    </w:p>
    <w:p w14:paraId="0928EA78" w14:textId="77777777" w:rsidR="00A958DE" w:rsidRPr="00A958DE" w:rsidRDefault="00A958DE" w:rsidP="00A958D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SP500: -0.81 — extremely negative. This is dominated by the Iran conflict and tariff headlines</w:t>
      </w:r>
    </w:p>
    <w:p w14:paraId="01B7A4C9" w14:textId="77777777" w:rsidR="00A958DE" w:rsidRPr="00A958DE" w:rsidRDefault="00A958DE" w:rsidP="00A958D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NIFTY: +0.04 — roughly neutral despite the conflict, suggesting India-specific news is balanced</w:t>
      </w:r>
    </w:p>
    <w:p w14:paraId="7D39666B" w14:textId="77777777" w:rsidR="00A958DE" w:rsidRPr="00A958DE" w:rsidRDefault="00A958DE" w:rsidP="00A958D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Gold: -0.04 — slightly negative even though gold is rising. This is because VADER scores "gold falls" type cautionary headlines and the context adjustment partially offsets</w:t>
      </w:r>
    </w:p>
    <w:p w14:paraId="1E1B07F1"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View All Headlines Expander</w:t>
      </w:r>
    </w:p>
    <w:p w14:paraId="0E0C76B4"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This is where you see the raw data — every headline scored individually. Sort by score to find the most positive and most negative headlines driving today's sentiment reading.</w:t>
      </w:r>
    </w:p>
    <w:p w14:paraId="0F329C2E"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215073A0">
          <v:rect id="_x0000_i1027" alt="" style="width:451.3pt;height:.05pt;mso-width-percent:0;mso-height-percent:0;mso-width-percent:0;mso-height-percent:0" o:hralign="center" o:hrstd="t" o:hr="t" fillcolor="#a0a0a0" stroked="f"/>
        </w:pict>
      </w:r>
    </w:p>
    <w:p w14:paraId="239E3A73" w14:textId="77777777" w:rsidR="00A958DE" w:rsidRPr="00A958DE" w:rsidRDefault="00A958DE" w:rsidP="00A958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958DE">
        <w:rPr>
          <w:rFonts w:ascii="Apple Color Emoji" w:eastAsia="Times New Roman" w:hAnsi="Apple Color Emoji" w:cs="Apple Color Emoji"/>
          <w:b/>
          <w:bCs/>
          <w:kern w:val="0"/>
          <w:sz w:val="27"/>
          <w:szCs w:val="27"/>
          <w:lang w:eastAsia="en-GB"/>
          <w14:ligatures w14:val="none"/>
        </w:rPr>
        <w:t>📉</w:t>
      </w:r>
      <w:r w:rsidRPr="00A958DE">
        <w:rPr>
          <w:rFonts w:ascii="Times New Roman" w:eastAsia="Times New Roman" w:hAnsi="Times New Roman" w:cs="Times New Roman"/>
          <w:b/>
          <w:bCs/>
          <w:kern w:val="0"/>
          <w:sz w:val="27"/>
          <w:szCs w:val="27"/>
          <w:lang w:eastAsia="en-GB"/>
          <w14:ligatures w14:val="none"/>
        </w:rPr>
        <w:t xml:space="preserve"> Backtest Tab</w:t>
      </w:r>
    </w:p>
    <w:p w14:paraId="083507E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Performance Metrics Row</w:t>
      </w:r>
    </w:p>
    <w:p w14:paraId="757DC0C6"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These five numbers are the most important in your entire project.</w:t>
      </w:r>
    </w:p>
    <w:p w14:paraId="7459562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Strategy CAGR +8.8% vs B&amp;H +10.5%</w:t>
      </w:r>
      <w:r w:rsidRPr="00A958DE">
        <w:rPr>
          <w:rFonts w:ascii="Times New Roman" w:eastAsia="Times New Roman" w:hAnsi="Times New Roman" w:cs="Times New Roman"/>
          <w:kern w:val="0"/>
          <w:lang w:eastAsia="en-GB"/>
          <w14:ligatures w14:val="none"/>
        </w:rPr>
        <w:t xml:space="preserve"> CAGR stands for Compound Annual Growth Rate. It is the smoothed annual return assuming you reinvest everything. Your signal strategy grew at 8.8% per year on average for 11 years. Buy-and-hold NIFTY grew at 10.5% per year. The strategy gave up 1.7% of annual return — but look at what it got in exchange.</w:t>
      </w:r>
    </w:p>
    <w:p w14:paraId="224BEBEB"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lastRenderedPageBreak/>
        <w:t>Sharpe Ratio 0.76 vs B&amp;H 0.69</w:t>
      </w:r>
      <w:r w:rsidRPr="00A958DE">
        <w:rPr>
          <w:rFonts w:ascii="Times New Roman" w:eastAsia="Times New Roman" w:hAnsi="Times New Roman" w:cs="Times New Roman"/>
          <w:kern w:val="0"/>
          <w:lang w:eastAsia="en-GB"/>
          <w14:ligatures w14:val="none"/>
        </w:rPr>
        <w:t xml:space="preserve"> The Sharpe ratio measures return per unit of risk. It is calculated as (average daily return minus risk-free rate) divided by the standard deviation of returns, then annualised by multiplying by the square root of 252.</w:t>
      </w:r>
    </w:p>
    <w:p w14:paraId="55A65BAE"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A Sharpe of 0.76 means for every unit of volatility you experienced, you earned 0.76 units of return. A Sharpe of 0.69 for B&amp;H means you got less return per unit of risk with buy-and-hold. Your strategy is more efficient even though the raw return is slightly lower.</w:t>
      </w:r>
    </w:p>
    <w:p w14:paraId="6A17FCB9"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Professional benchmarks:</w:t>
      </w:r>
    </w:p>
    <w:p w14:paraId="35472F3B" w14:textId="77777777" w:rsidR="00A958DE" w:rsidRPr="00A958DE" w:rsidRDefault="00A958DE" w:rsidP="00A958D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Below 0.5 = poor</w:t>
      </w:r>
    </w:p>
    <w:p w14:paraId="06EBC51A" w14:textId="77777777" w:rsidR="00A958DE" w:rsidRPr="00A958DE" w:rsidRDefault="00A958DE" w:rsidP="00A958D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0.5 to 1.0 = acceptable, most active mutual funds sit here</w:t>
      </w:r>
    </w:p>
    <w:p w14:paraId="1DF521AE" w14:textId="77777777" w:rsidR="00A958DE" w:rsidRPr="00A958DE" w:rsidRDefault="00A958DE" w:rsidP="00A958D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1.0 to 2.0 = good, top hedge funds</w:t>
      </w:r>
    </w:p>
    <w:p w14:paraId="6019E2A1" w14:textId="77777777" w:rsidR="00A958DE" w:rsidRPr="00A958DE" w:rsidRDefault="00A958DE" w:rsidP="00A958DE">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Above 2.0 = excellent but potentially overfitted</w:t>
      </w:r>
    </w:p>
    <w:p w14:paraId="5C183332"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Your 0.76 is solidly in the acceptable-to-good range for a systematic strategy.</w:t>
      </w:r>
    </w:p>
    <w:p w14:paraId="2770F6E8"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Max Drawdown -17.1% vs B&amp;H -38.4% — saving 21.4 percentage points</w:t>
      </w:r>
      <w:r w:rsidRPr="00A958DE">
        <w:rPr>
          <w:rFonts w:ascii="Times New Roman" w:eastAsia="Times New Roman" w:hAnsi="Times New Roman" w:cs="Times New Roman"/>
          <w:kern w:val="0"/>
          <w:lang w:eastAsia="en-GB"/>
          <w14:ligatures w14:val="none"/>
        </w:rPr>
        <w:t xml:space="preserve"> This is your standout number. Maximum drawdown measures the largest peak-to-trough decline in your portfolio value.</w:t>
      </w:r>
    </w:p>
    <w:p w14:paraId="33BCF1C8"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What -38.4% B&amp;H drawdown means in human terms:</w:t>
      </w:r>
      <w:r w:rsidRPr="00A958DE">
        <w:rPr>
          <w:rFonts w:ascii="Times New Roman" w:eastAsia="Times New Roman" w:hAnsi="Times New Roman" w:cs="Times New Roman"/>
          <w:kern w:val="0"/>
          <w:lang w:eastAsia="en-GB"/>
          <w14:ligatures w14:val="none"/>
        </w:rPr>
        <w:t xml:space="preserve"> If you invested ₹10 lakhs in NIFTY at its 2020 peak and held through the COVID crash, your portfolio fell to ₹6.16 lakhs — a loss of ₹3.84 lakhs — before recovering. Most retail investors panic and sell here, locking in permanent losses.</w:t>
      </w:r>
    </w:p>
    <w:p w14:paraId="729454C7"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What -17.1% strategy drawdown means:</w:t>
      </w:r>
      <w:r w:rsidRPr="00A958DE">
        <w:rPr>
          <w:rFonts w:ascii="Times New Roman" w:eastAsia="Times New Roman" w:hAnsi="Times New Roman" w:cs="Times New Roman"/>
          <w:kern w:val="0"/>
          <w:lang w:eastAsia="en-GB"/>
          <w14:ligatures w14:val="none"/>
        </w:rPr>
        <w:t xml:space="preserve"> Under the signal strategy, the same ₹10 lakhs only fell to ₹8.29 lakhs at its worst. The signal moved you to cash before the worst of the crash. You still lost money but you lost ₹1.71 lakhs instead of ₹3.84 lakhs — and you were far less likely to panic sell.</w:t>
      </w:r>
    </w:p>
    <w:p w14:paraId="3F854F4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+0.07 Sortino improvement</w:t>
      </w:r>
      <w:r w:rsidRPr="00A958DE">
        <w:rPr>
          <w:rFonts w:ascii="Times New Roman" w:eastAsia="Times New Roman" w:hAnsi="Times New Roman" w:cs="Times New Roman"/>
          <w:kern w:val="0"/>
          <w:lang w:eastAsia="en-GB"/>
          <w14:ligatures w14:val="none"/>
        </w:rPr>
        <w:t xml:space="preserve"> The Sortino ratio is like the Sharpe ratio but it only penalises downside volatility — it ignores the good volatility of prices going up. A higher Sortino means your strategy has better downside protection specifically.</w:t>
      </w:r>
    </w:p>
    <w:p w14:paraId="7840244C"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Win Rate 51.7%</w:t>
      </w:r>
      <w:r w:rsidRPr="00A958DE">
        <w:rPr>
          <w:rFonts w:ascii="Times New Roman" w:eastAsia="Times New Roman" w:hAnsi="Times New Roman" w:cs="Times New Roman"/>
          <w:kern w:val="0"/>
          <w:lang w:eastAsia="en-GB"/>
          <w14:ligatures w14:val="none"/>
        </w:rPr>
        <w:t xml:space="preserve"> On 51.7% of trading days where the strategy had a position, it made money. This sounds low but it is actually normal and good for systematic strategies — you do not need to be right most of the time, you just need your wins to be larger than your losses on average.</w:t>
      </w:r>
    </w:p>
    <w:p w14:paraId="4FBD63F4"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Equity Curve</w:t>
      </w:r>
    </w:p>
    <w:p w14:paraId="2FB07A82"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The blue line is your strategy, the gray dashed line is buy-and-hold, both starting at 100. The green shading shows periods where your strategy was ahead. The red shading shows periods where B&amp;H was ahead.</w:t>
      </w:r>
    </w:p>
    <w:p w14:paraId="2058922A"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What to look for:</w:t>
      </w:r>
      <w:r w:rsidRPr="00A958DE">
        <w:rPr>
          <w:rFonts w:ascii="Times New Roman" w:eastAsia="Times New Roman" w:hAnsi="Times New Roman" w:cs="Times New Roman"/>
          <w:kern w:val="0"/>
          <w:lang w:eastAsia="en-GB"/>
          <w14:ligatures w14:val="none"/>
        </w:rPr>
        <w:t xml:space="preserve"> During 2020 COVID crash the strategy line should stay much higher than the B&amp;H line — this is where the drawdown protection shows clearly. During the 2021 bull run B&amp;H may get ahead because you missed some upside being in cash. Over the full period the lines converge because you traded some return for safety.</w:t>
      </w:r>
    </w:p>
    <w:p w14:paraId="00EC0CEF"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lastRenderedPageBreak/>
        <w:t>Drawdown Chart</w:t>
      </w:r>
    </w:p>
    <w:p w14:paraId="7AB8DEB9"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Shows the percentage fall from the highest point reached so far. A flat line at zero means you are at an all-time high. Dips below zero show drawdown periods.</w:t>
      </w:r>
    </w:p>
    <w:p w14:paraId="21455E5D"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The strategy's drawdown curve should be shallower than B&amp;H</w:t>
      </w:r>
      <w:r w:rsidRPr="00A958DE">
        <w:rPr>
          <w:rFonts w:ascii="Times New Roman" w:eastAsia="Times New Roman" w:hAnsi="Times New Roman" w:cs="Times New Roman"/>
          <w:kern w:val="0"/>
          <w:lang w:eastAsia="en-GB"/>
          <w14:ligatures w14:val="none"/>
        </w:rPr>
        <w:t xml:space="preserve"> — less deep valleys mean less psychological pressure to sell at the wrong time.</w:t>
      </w:r>
    </w:p>
    <w:p w14:paraId="7D41DE16"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Position Chart</w:t>
      </w:r>
    </w:p>
    <w:p w14:paraId="62F1FD0F"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Shows 1 (Long, invested) or 0 (Cash) for every day. When you see it drop to 0 it means the signal engine said "get out of this market." The key moments to look for are March 2020 (COVID) and late 2022 (rate shock) — your system should have been at 0 (cash) during those periods.</w:t>
      </w:r>
    </w:p>
    <w:p w14:paraId="78860715"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Combined Portfolio Summary</w:t>
      </w:r>
    </w:p>
    <w:p w14:paraId="48CA9A47"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Sharpe 0.59 vs B&amp;H 0.24 — 2.5x improvement</w:t>
      </w:r>
      <w:r w:rsidRPr="00A958DE">
        <w:rPr>
          <w:rFonts w:ascii="Times New Roman" w:eastAsia="Times New Roman" w:hAnsi="Times New Roman" w:cs="Times New Roman"/>
          <w:kern w:val="0"/>
          <w:lang w:eastAsia="en-GB"/>
          <w14:ligatures w14:val="none"/>
        </w:rPr>
        <w:t xml:space="preserve"> The equal-weight B&amp;H portfolio has a very low Sharpe of 0.24 because it includes Crude oil, which has been extremely volatile with near-zero long-term return. Crude's volatility drags down the combined B&amp;H Sharpe dramatically. Your signal system correctly avoided the worst Crude periods, dramatically improving the combined portfolio efficiency.</w:t>
      </w:r>
    </w:p>
    <w:p w14:paraId="1F8D73FB"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b/>
          <w:bCs/>
          <w:kern w:val="0"/>
          <w:lang w:eastAsia="en-GB"/>
          <w14:ligatures w14:val="none"/>
        </w:rPr>
        <w:t>MaxDD -22.4% vs B&amp;H -81.2%</w:t>
      </w:r>
      <w:r w:rsidRPr="00A958DE">
        <w:rPr>
          <w:rFonts w:ascii="Times New Roman" w:eastAsia="Times New Roman" w:hAnsi="Times New Roman" w:cs="Times New Roman"/>
          <w:kern w:val="0"/>
          <w:lang w:eastAsia="en-GB"/>
          <w14:ligatures w14:val="none"/>
        </w:rPr>
        <w:t xml:space="preserve"> The B&amp;H combined portfolio had a maximum drawdown of -81.2% because Crude oil alone fell over 100% at its worst in 2020 (futures briefly went negative). This number may look extreme but it is mathematically correct for an equal-weight portfolio including crude futures. Your strategy's -22.4% maximum drawdown is far more manageable.</w:t>
      </w:r>
    </w:p>
    <w:p w14:paraId="10A72407"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364F8267">
          <v:rect id="_x0000_i1026" alt="" style="width:451.3pt;height:.05pt;mso-width-percent:0;mso-height-percent:0;mso-width-percent:0;mso-height-percent:0" o:hralign="center" o:hrstd="t" o:hr="t" fillcolor="#a0a0a0" stroked="f"/>
        </w:pict>
      </w:r>
    </w:p>
    <w:p w14:paraId="771DCAB9" w14:textId="77777777" w:rsidR="00A958DE" w:rsidRPr="00A958DE" w:rsidRDefault="00A958DE" w:rsidP="00A958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958DE">
        <w:rPr>
          <w:rFonts w:ascii="Times New Roman" w:eastAsia="Times New Roman" w:hAnsi="Times New Roman" w:cs="Times New Roman"/>
          <w:b/>
          <w:bCs/>
          <w:kern w:val="0"/>
          <w:sz w:val="36"/>
          <w:szCs w:val="36"/>
          <w:lang w:eastAsia="en-GB"/>
          <w14:ligatures w14:val="none"/>
        </w:rPr>
        <w:t>How to Explain the Whole System in 90 Seconds</w:t>
      </w:r>
    </w:p>
    <w:p w14:paraId="4CF72586"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If someone asks "what does your dashboard do?" say this:</w:t>
      </w:r>
    </w:p>
    <w:p w14:paraId="40676B5C" w14:textId="77777777"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t>"It is a ten-module global macro intelligence system that monitors five asset classes — Indian equities, US equities, gold, silver, and crude oil — in real time. Every morning it downloads fresh market prices, fetches and scores live financial headlines using natural language processing, recalculates macro regime indicators based on inflation and GDP data, and generates a Long, Short, or Neutral signal for each asset. The entire system is backtested on 11 years of real data. The key result is that the signal strategy reduced maximum drawdown by 21 percentage points on NIFTY — from -38% to -17% — while improving the Sharpe ratio from 0.69 to 0.76. Today the system flagged the US-Israel strikes on Iran in real time, correctly generating Long signals for Gold and Crude and a Short signal for NIFTY before markets had fully priced in the event."</w:t>
      </w:r>
    </w:p>
    <w:p w14:paraId="5A8E6E8E" w14:textId="77777777" w:rsidR="00A958DE" w:rsidRPr="00A958DE" w:rsidRDefault="000C02A2" w:rsidP="00A958DE">
      <w:pPr>
        <w:spacing w:after="0" w:line="240" w:lineRule="auto"/>
        <w:rPr>
          <w:rFonts w:ascii="Times New Roman" w:eastAsia="Times New Roman" w:hAnsi="Times New Roman" w:cs="Times New Roman"/>
          <w:kern w:val="0"/>
          <w:lang w:eastAsia="en-GB"/>
          <w14:ligatures w14:val="none"/>
        </w:rPr>
      </w:pPr>
      <w:r w:rsidRPr="000C02A2">
        <w:rPr>
          <w:rFonts w:ascii="Times New Roman" w:eastAsia="Times New Roman" w:hAnsi="Times New Roman" w:cs="Times New Roman"/>
          <w:noProof/>
          <w:kern w:val="0"/>
          <w:lang w:eastAsia="en-GB"/>
        </w:rPr>
        <w:pict w14:anchorId="1F039ADE">
          <v:rect id="_x0000_i1025" alt="" style="width:451.3pt;height:.05pt;mso-width-percent:0;mso-height-percent:0;mso-width-percent:0;mso-height-percent:0" o:hralign="center" o:hrstd="t" o:hr="t" fillcolor="#a0a0a0" stroked="f"/>
        </w:pict>
      </w:r>
    </w:p>
    <w:p w14:paraId="1EC060FE" w14:textId="3A2404BD" w:rsidR="00A958DE" w:rsidRPr="00A958DE" w:rsidRDefault="00A958DE" w:rsidP="00A958DE">
      <w:pPr>
        <w:spacing w:before="100" w:beforeAutospacing="1" w:after="100" w:afterAutospacing="1" w:line="240" w:lineRule="auto"/>
        <w:rPr>
          <w:rFonts w:ascii="Times New Roman" w:eastAsia="Times New Roman" w:hAnsi="Times New Roman" w:cs="Times New Roman"/>
          <w:kern w:val="0"/>
          <w:lang w:eastAsia="en-GB"/>
          <w14:ligatures w14:val="none"/>
        </w:rPr>
      </w:pPr>
      <w:r w:rsidRPr="00A958DE">
        <w:rPr>
          <w:rFonts w:ascii="Times New Roman" w:eastAsia="Times New Roman" w:hAnsi="Times New Roman" w:cs="Times New Roman"/>
          <w:kern w:val="0"/>
          <w:lang w:eastAsia="en-GB"/>
          <w14:ligatures w14:val="none"/>
        </w:rPr>
        <w:lastRenderedPageBreak/>
        <w:t>You now understand every single number in your dashboard deeply enough to explain it to anyone — a recruiter, a portfolio manager, or a senior quant analyst.</w:t>
      </w:r>
    </w:p>
    <w:sectPr w:rsidR="00A958DE" w:rsidRPr="00A95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7DE2"/>
    <w:multiLevelType w:val="multilevel"/>
    <w:tmpl w:val="3AF4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35CE2"/>
    <w:multiLevelType w:val="multilevel"/>
    <w:tmpl w:val="362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B3F27"/>
    <w:multiLevelType w:val="multilevel"/>
    <w:tmpl w:val="DC7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00E2C"/>
    <w:multiLevelType w:val="multilevel"/>
    <w:tmpl w:val="9A5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817E2"/>
    <w:multiLevelType w:val="multilevel"/>
    <w:tmpl w:val="F832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A257B"/>
    <w:multiLevelType w:val="multilevel"/>
    <w:tmpl w:val="4A8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46E98"/>
    <w:multiLevelType w:val="multilevel"/>
    <w:tmpl w:val="1286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22C27"/>
    <w:multiLevelType w:val="multilevel"/>
    <w:tmpl w:val="364C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94233"/>
    <w:multiLevelType w:val="multilevel"/>
    <w:tmpl w:val="B79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71274"/>
    <w:multiLevelType w:val="multilevel"/>
    <w:tmpl w:val="421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2103D5"/>
    <w:multiLevelType w:val="multilevel"/>
    <w:tmpl w:val="86B0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772230">
    <w:abstractNumId w:val="3"/>
  </w:num>
  <w:num w:numId="2" w16cid:durableId="1949316339">
    <w:abstractNumId w:val="7"/>
  </w:num>
  <w:num w:numId="3" w16cid:durableId="240990920">
    <w:abstractNumId w:val="0"/>
  </w:num>
  <w:num w:numId="4" w16cid:durableId="488639010">
    <w:abstractNumId w:val="6"/>
  </w:num>
  <w:num w:numId="5" w16cid:durableId="578562598">
    <w:abstractNumId w:val="8"/>
  </w:num>
  <w:num w:numId="6" w16cid:durableId="521627263">
    <w:abstractNumId w:val="2"/>
  </w:num>
  <w:num w:numId="7" w16cid:durableId="1636061053">
    <w:abstractNumId w:val="9"/>
  </w:num>
  <w:num w:numId="8" w16cid:durableId="1983192530">
    <w:abstractNumId w:val="5"/>
  </w:num>
  <w:num w:numId="9" w16cid:durableId="586962705">
    <w:abstractNumId w:val="4"/>
  </w:num>
  <w:num w:numId="10" w16cid:durableId="1113012892">
    <w:abstractNumId w:val="10"/>
  </w:num>
  <w:num w:numId="11" w16cid:durableId="1578902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DE"/>
    <w:rsid w:val="000C02A2"/>
    <w:rsid w:val="004A4DEE"/>
    <w:rsid w:val="00A95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1F34A"/>
  <w15:chartTrackingRefBased/>
  <w15:docId w15:val="{71142CAF-0B9A-7D4D-9487-7BB2D4548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5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5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5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8DE"/>
    <w:rPr>
      <w:rFonts w:eastAsiaTheme="majorEastAsia" w:cstheme="majorBidi"/>
      <w:color w:val="272727" w:themeColor="text1" w:themeTint="D8"/>
    </w:rPr>
  </w:style>
  <w:style w:type="paragraph" w:styleId="Title">
    <w:name w:val="Title"/>
    <w:basedOn w:val="Normal"/>
    <w:next w:val="Normal"/>
    <w:link w:val="TitleChar"/>
    <w:uiPriority w:val="10"/>
    <w:qFormat/>
    <w:rsid w:val="00A95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8DE"/>
    <w:pPr>
      <w:spacing w:before="160"/>
      <w:jc w:val="center"/>
    </w:pPr>
    <w:rPr>
      <w:i/>
      <w:iCs/>
      <w:color w:val="404040" w:themeColor="text1" w:themeTint="BF"/>
    </w:rPr>
  </w:style>
  <w:style w:type="character" w:customStyle="1" w:styleId="QuoteChar">
    <w:name w:val="Quote Char"/>
    <w:basedOn w:val="DefaultParagraphFont"/>
    <w:link w:val="Quote"/>
    <w:uiPriority w:val="29"/>
    <w:rsid w:val="00A958DE"/>
    <w:rPr>
      <w:i/>
      <w:iCs/>
      <w:color w:val="404040" w:themeColor="text1" w:themeTint="BF"/>
    </w:rPr>
  </w:style>
  <w:style w:type="paragraph" w:styleId="ListParagraph">
    <w:name w:val="List Paragraph"/>
    <w:basedOn w:val="Normal"/>
    <w:uiPriority w:val="34"/>
    <w:qFormat/>
    <w:rsid w:val="00A958DE"/>
    <w:pPr>
      <w:ind w:left="720"/>
      <w:contextualSpacing/>
    </w:pPr>
  </w:style>
  <w:style w:type="character" w:styleId="IntenseEmphasis">
    <w:name w:val="Intense Emphasis"/>
    <w:basedOn w:val="DefaultParagraphFont"/>
    <w:uiPriority w:val="21"/>
    <w:qFormat/>
    <w:rsid w:val="00A958DE"/>
    <w:rPr>
      <w:i/>
      <w:iCs/>
      <w:color w:val="0F4761" w:themeColor="accent1" w:themeShade="BF"/>
    </w:rPr>
  </w:style>
  <w:style w:type="paragraph" w:styleId="IntenseQuote">
    <w:name w:val="Intense Quote"/>
    <w:basedOn w:val="Normal"/>
    <w:next w:val="Normal"/>
    <w:link w:val="IntenseQuoteChar"/>
    <w:uiPriority w:val="30"/>
    <w:qFormat/>
    <w:rsid w:val="00A95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8DE"/>
    <w:rPr>
      <w:i/>
      <w:iCs/>
      <w:color w:val="0F4761" w:themeColor="accent1" w:themeShade="BF"/>
    </w:rPr>
  </w:style>
  <w:style w:type="character" w:styleId="IntenseReference">
    <w:name w:val="Intense Reference"/>
    <w:basedOn w:val="DefaultParagraphFont"/>
    <w:uiPriority w:val="32"/>
    <w:qFormat/>
    <w:rsid w:val="00A958DE"/>
    <w:rPr>
      <w:b/>
      <w:bCs/>
      <w:smallCaps/>
      <w:color w:val="0F4761" w:themeColor="accent1" w:themeShade="BF"/>
      <w:spacing w:val="5"/>
    </w:rPr>
  </w:style>
  <w:style w:type="paragraph" w:styleId="NormalWeb">
    <w:name w:val="Normal (Web)"/>
    <w:basedOn w:val="Normal"/>
    <w:uiPriority w:val="99"/>
    <w:semiHidden/>
    <w:unhideWhenUsed/>
    <w:rsid w:val="00A958D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958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3473</Words>
  <Characters>17508</Characters>
  <Application>Microsoft Office Word</Application>
  <DocSecurity>0</DocSecurity>
  <Lines>350</Lines>
  <Paragraphs>190</Paragraphs>
  <ScaleCrop>false</ScaleCrop>
  <Company/>
  <LinksUpToDate>false</LinksUpToDate>
  <CharactersWithSpaces>20791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Niraj Mutha</dc:creator>
  <cp:keywords/>
  <dc:description/>
  <cp:lastModifiedBy>Niraj Mutha</cp:lastModifiedBy>
  <cp:revision>1</cp:revision>
  <dcterms:created xsi:type="dcterms:W3CDTF">2026-03-01T20:31:00Z</dcterms:created>
  <dcterms:modified xsi:type="dcterms:W3CDTF">2026-03-01T20:32:00Z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27B956A7-F886-4F41-A37B-1F55DFEE73A2</vt:lpwstr>
  </property>
</Properties>
</file>