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32"/>
          <w:szCs w:val="32"/>
        </w:rPr>
      </w:pPr>
      <w:bookmarkStart w:colFirst="0" w:colLast="0" w:name="_czixptubo1ov" w:id="0"/>
      <w:bookmarkEnd w:id="0"/>
      <w:r w:rsidDel="00000000" w:rsidR="00000000" w:rsidRPr="00000000">
        <w:rPr>
          <w:rFonts w:ascii="Times New Roman" w:cs="Times New Roman" w:eastAsia="Times New Roman" w:hAnsi="Times New Roman"/>
          <w:b w:val="1"/>
          <w:bCs w:val="1"/>
          <w:sz w:val="32"/>
          <w:szCs w:val="32"/>
          <w:rtl w:val="0"/>
        </w:rPr>
        <w:t xml:space="preserve">Redefining Engineering Education: The New-Age Curriculum at S.P.I.T.</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h7hwbg2iyif" w:id="1"/>
      <w:bookmarkEnd w:id="1"/>
      <w:r w:rsidDel="00000000" w:rsidR="00000000" w:rsidRPr="00000000">
        <w:rPr>
          <w:rFonts w:ascii="Times New Roman" w:cs="Times New Roman" w:eastAsia="Times New Roman" w:hAnsi="Times New Roman"/>
          <w:b w:val="1"/>
          <w:bCs w:val="1"/>
          <w:sz w:val="28"/>
          <w:szCs w:val="28"/>
          <w:rtl w:val="0"/>
        </w:rPr>
        <w:t xml:space="preserve">From Learning Technology to Creating Impact</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education is undergoing a fundamental transformation. The engineer of today is expected to do much more than master technical concepts. Along with strong domain knowledge, students need the ability to think critically, communicate effectively, work across disciplines, understand emerging technologies, solve real-world problems and continuously adapt to a rapidly changing world.</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Recognising this changing landscape, Sardar Patel Institute of Technology has introduced its </w:t>
      </w:r>
      <w:r w:rsidDel="00000000" w:rsidR="00000000" w:rsidRPr="00000000">
        <w:rPr>
          <w:rFonts w:ascii="Times New Roman" w:cs="Times New Roman" w:eastAsia="Times New Roman" w:hAnsi="Times New Roman"/>
          <w:b w:val="1"/>
          <w:bCs w:val="1"/>
          <w:sz w:val="24"/>
          <w:szCs w:val="24"/>
          <w:rtl w:val="0"/>
        </w:rPr>
        <w:t xml:space="preserve">Liberal “Pi-Model” of Engineering Education</w:t>
      </w:r>
      <w:r w:rsidDel="00000000" w:rsidR="00000000" w:rsidRPr="00000000">
        <w:rPr>
          <w:rFonts w:ascii="Times New Roman" w:cs="Times New Roman" w:eastAsia="Times New Roman" w:hAnsi="Times New Roman"/>
          <w:sz w:val="24"/>
          <w:szCs w:val="24"/>
          <w:rtl w:val="0"/>
        </w:rPr>
        <w:t xml:space="preserve"> under the curriculum framework. The curriculum is designed not merely to produce technically competent engineers, but to nurture well-rounded professionals with intellectual, emotional, physical and spiritual dimensions of development.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structure provides students with a strong foundation in mathematics, basic sciences and engineering sciences while progressively moving towards programme-specific knowledge, electives, experiential learning, multidisciplinary education, research and industry engagement.</w:t>
      </w:r>
    </w:p>
    <w:p w:rsidR="00000000" w:rsidDel="00000000" w:rsidP="00000000" w:rsidRDefault="00000000" w:rsidRPr="00000000" w14:paraId="0000000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kdpor87udcx" w:id="2"/>
      <w:bookmarkEnd w:id="2"/>
      <w:r w:rsidDel="00000000" w:rsidR="00000000" w:rsidRPr="00000000">
        <w:rPr>
          <w:rFonts w:ascii="Times New Roman" w:cs="Times New Roman" w:eastAsia="Times New Roman" w:hAnsi="Times New Roman"/>
          <w:b w:val="1"/>
          <w:bCs w:val="1"/>
          <w:sz w:val="28"/>
          <w:szCs w:val="28"/>
          <w:rtl w:val="0"/>
        </w:rPr>
        <w:t xml:space="preserve">A Curriculum Built Around Choice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defining features of the new curriculum is </w:t>
      </w:r>
      <w:r w:rsidDel="00000000" w:rsidR="00000000" w:rsidRPr="00000000">
        <w:rPr>
          <w:rFonts w:ascii="Times New Roman" w:cs="Times New Roman" w:eastAsia="Times New Roman" w:hAnsi="Times New Roman"/>
          <w:b w:val="1"/>
          <w:bCs w:val="1"/>
          <w:sz w:val="24"/>
          <w:szCs w:val="24"/>
          <w:rtl w:val="0"/>
        </w:rPr>
        <w:t xml:space="preserve">flexibility and choice</w:t>
      </w:r>
      <w:r w:rsidDel="00000000" w:rsidR="00000000" w:rsidRPr="00000000">
        <w:rPr>
          <w:rFonts w:ascii="Times New Roman" w:cs="Times New Roman" w:eastAsia="Times New Roman" w:hAnsi="Times New Roman"/>
          <w:sz w:val="24"/>
          <w:szCs w:val="24"/>
          <w:rtl w:val="0"/>
        </w:rPr>
        <w:t xml:space="preserve">. The curriculum follows a Choice Based Credit System in which students are provided multiple opportunities to shape their academic journey according to their interests and aspirations. The curriculum document describes a </w:t>
      </w:r>
      <w:r w:rsidDel="00000000" w:rsidR="00000000" w:rsidRPr="00000000">
        <w:rPr>
          <w:rFonts w:ascii="Times New Roman" w:cs="Times New Roman" w:eastAsia="Times New Roman" w:hAnsi="Times New Roman"/>
          <w:b w:val="1"/>
          <w:bCs w:val="1"/>
          <w:sz w:val="24"/>
          <w:szCs w:val="24"/>
          <w:rtl w:val="0"/>
        </w:rPr>
        <w:t xml:space="preserve">57% choice-based component</w:t>
      </w:r>
      <w:r w:rsidDel="00000000" w:rsidR="00000000" w:rsidRPr="00000000">
        <w:rPr>
          <w:rFonts w:ascii="Times New Roman" w:cs="Times New Roman" w:eastAsia="Times New Roman" w:hAnsi="Times New Roman"/>
          <w:sz w:val="24"/>
          <w:szCs w:val="24"/>
          <w:rtl w:val="0"/>
        </w:rPr>
        <w:t xml:space="preserve">, making the learning pathway considerably more flexible.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160-credit structure distributes learning across Basic and Engineering Sciences, Programme Core Courses, Programme Electives, Experiential Learning, Open Electives and Skill Enhancement Courses. Programme-related courses account for 55% of the curriculum, while substantial credit space is also available for electives and expgood eriential learning.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flexibility allows students to move beyond a common, fixed academic pathway and gradually develop an academic profile aligned with their individual interests.</w:t>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hejaidk5yvi" w:id="3"/>
      <w:bookmarkEnd w:id="3"/>
      <w:r w:rsidDel="00000000" w:rsidR="00000000" w:rsidRPr="00000000">
        <w:rPr>
          <w:rFonts w:ascii="Times New Roman" w:cs="Times New Roman" w:eastAsia="Times New Roman" w:hAnsi="Times New Roman"/>
          <w:b w:val="1"/>
          <w:bCs w:val="1"/>
          <w:sz w:val="28"/>
          <w:szCs w:val="28"/>
          <w:rtl w:val="0"/>
        </w:rPr>
        <w:t xml:space="preserve">Building Strong Foundations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semesters focus on developing a strong engineering foundation. Courses such as </w:t>
      </w:r>
      <w:r w:rsidDel="00000000" w:rsidR="00000000" w:rsidRPr="00000000">
        <w:rPr>
          <w:rFonts w:ascii="Times New Roman" w:cs="Times New Roman" w:eastAsia="Times New Roman" w:hAnsi="Times New Roman"/>
          <w:b w:val="1"/>
          <w:bCs w:val="1"/>
          <w:sz w:val="24"/>
          <w:szCs w:val="24"/>
          <w:rtl w:val="0"/>
        </w:rPr>
        <w:t xml:space="preserve">Engineering Calculus, Differential Equations and Complex Analysis, Linear Algebra, Probability and Statistics</w:t>
      </w:r>
      <w:r w:rsidDel="00000000" w:rsidR="00000000" w:rsidRPr="00000000">
        <w:rPr>
          <w:rFonts w:ascii="Times New Roman" w:cs="Times New Roman" w:eastAsia="Times New Roman" w:hAnsi="Times New Roman"/>
          <w:sz w:val="24"/>
          <w:szCs w:val="24"/>
          <w:rtl w:val="0"/>
        </w:rPr>
        <w:t xml:space="preserve">, along with engineering science courses, establish the mathematical and scientific base required for advanced engineering study.</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Computer Engineering students, this foundation is complemented by courses in </w:t>
      </w:r>
      <w:r w:rsidDel="00000000" w:rsidR="00000000" w:rsidRPr="00000000">
        <w:rPr>
          <w:rFonts w:ascii="Times New Roman" w:cs="Times New Roman" w:eastAsia="Times New Roman" w:hAnsi="Times New Roman"/>
          <w:b w:val="1"/>
          <w:bCs w:val="1"/>
          <w:sz w:val="24"/>
          <w:szCs w:val="24"/>
          <w:rtl w:val="0"/>
        </w:rPr>
        <w:t xml:space="preserve">Digital Systems and Microprocessors, Programming, Data Structures, Database Management Systems, Computer Organization and Architecture</w:t>
      </w:r>
      <w:r w:rsidDel="00000000" w:rsidR="00000000" w:rsidRPr="00000000">
        <w:rPr>
          <w:rFonts w:ascii="Times New Roman" w:cs="Times New Roman" w:eastAsia="Times New Roman" w:hAnsi="Times New Roman"/>
          <w:sz w:val="24"/>
          <w:szCs w:val="24"/>
          <w:rtl w:val="0"/>
        </w:rPr>
        <w:t xml:space="preserve">, and other core computing areas.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therefore follows a progressive structure: students first develop foundational knowledge, then acquire core computing competencies, and subsequently move towards advanced areas and specialised domains.</w:t>
      </w:r>
    </w:p>
    <w:p w:rsidR="00000000" w:rsidDel="00000000" w:rsidP="00000000" w:rsidRDefault="00000000" w:rsidRPr="00000000" w14:paraId="0000000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608maf9vvza" w:id="4"/>
      <w:bookmarkEnd w:id="4"/>
      <w:r w:rsidDel="00000000" w:rsidR="00000000" w:rsidRPr="00000000">
        <w:rPr>
          <w:rFonts w:ascii="Times New Roman" w:cs="Times New Roman" w:eastAsia="Times New Roman" w:hAnsi="Times New Roman"/>
          <w:b w:val="1"/>
          <w:bCs w:val="1"/>
          <w:sz w:val="28"/>
          <w:szCs w:val="28"/>
          <w:rtl w:val="0"/>
        </w:rPr>
        <w:t xml:space="preserve">From Core Computing to Emerging Technologies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Computer Engineering curriculum reflects the changing technological landscape.</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third and fourth semesters, students encounter core subjects such as </w:t>
      </w:r>
      <w:r w:rsidDel="00000000" w:rsidR="00000000" w:rsidRPr="00000000">
        <w:rPr>
          <w:rFonts w:ascii="Times New Roman" w:cs="Times New Roman" w:eastAsia="Times New Roman" w:hAnsi="Times New Roman"/>
          <w:b w:val="1"/>
          <w:bCs w:val="1"/>
          <w:sz w:val="24"/>
          <w:szCs w:val="24"/>
          <w:rtl w:val="0"/>
        </w:rPr>
        <w:t xml:space="preserve">Discrete Structures and Graph Theory, Database Management Systems, Computer Organization and Architecture, Data Structures, Computer Communications and Networks, Operating Systems, Software Engineering, and Design and Analysis of Algorithms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semester takes students further into contemporary computing through </w:t>
      </w:r>
      <w:r w:rsidDel="00000000" w:rsidR="00000000" w:rsidRPr="00000000">
        <w:rPr>
          <w:rFonts w:ascii="Times New Roman" w:cs="Times New Roman" w:eastAsia="Times New Roman" w:hAnsi="Times New Roman"/>
          <w:b w:val="1"/>
          <w:bCs w:val="1"/>
          <w:sz w:val="24"/>
          <w:szCs w:val="24"/>
          <w:rtl w:val="0"/>
        </w:rPr>
        <w:t xml:space="preserve">Theory of Computation, Artificial Intelligence and Machine Learning, Cryptography and Network Security, and Distributed Computing</w:t>
      </w:r>
      <w:r w:rsidDel="00000000" w:rsidR="00000000" w:rsidRPr="00000000">
        <w:rPr>
          <w:rFonts w:ascii="Times New Roman" w:cs="Times New Roman" w:eastAsia="Times New Roman" w:hAnsi="Times New Roman"/>
          <w:sz w:val="24"/>
          <w:szCs w:val="24"/>
          <w:rtl w:val="0"/>
        </w:rPr>
        <w:t xml:space="preserve">, together with an open elective and Mini Project I.</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progression is particularly significant because it connects fundamental concepts with the technologies that are shaping modern computing.</w:t>
      </w:r>
    </w:p>
    <w:p w:rsidR="00000000" w:rsidDel="00000000" w:rsidP="00000000" w:rsidRDefault="00000000" w:rsidRPr="00000000" w14:paraId="0000001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p0gaufj9sox" w:id="5"/>
      <w:bookmarkEnd w:id="5"/>
      <w:r w:rsidDel="00000000" w:rsidR="00000000" w:rsidRPr="00000000">
        <w:rPr>
          <w:rFonts w:ascii="Times New Roman" w:cs="Times New Roman" w:eastAsia="Times New Roman" w:hAnsi="Times New Roman"/>
          <w:b w:val="1"/>
          <w:bCs w:val="1"/>
          <w:sz w:val="28"/>
          <w:szCs w:val="28"/>
          <w:rtl w:val="0"/>
        </w:rPr>
        <w:t xml:space="preserve">A Strong Emphasis on Artificial Intelligence and Emerging Domains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not treated as an isolated subject in the curriculum. Students are introduced to </w:t>
      </w:r>
      <w:r w:rsidDel="00000000" w:rsidR="00000000" w:rsidRPr="00000000">
        <w:rPr>
          <w:rFonts w:ascii="Times New Roman" w:cs="Times New Roman" w:eastAsia="Times New Roman" w:hAnsi="Times New Roman"/>
          <w:b w:val="1"/>
          <w:bCs w:val="1"/>
          <w:sz w:val="24"/>
          <w:szCs w:val="24"/>
          <w:rtl w:val="0"/>
        </w:rPr>
        <w:t xml:space="preserve">Artificial Intelligence and Machine Learning</w:t>
      </w:r>
      <w:r w:rsidDel="00000000" w:rsidR="00000000" w:rsidRPr="00000000">
        <w:rPr>
          <w:rFonts w:ascii="Times New Roman" w:cs="Times New Roman" w:eastAsia="Times New Roman" w:hAnsi="Times New Roman"/>
          <w:sz w:val="24"/>
          <w:szCs w:val="24"/>
          <w:rtl w:val="0"/>
        </w:rPr>
        <w:t xml:space="preserve"> as part of the programme core and can subsequently specialise through programme electives.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elective basket includes domains such as:</w:t>
      </w:r>
    </w:p>
    <w:p w:rsidR="00000000" w:rsidDel="00000000" w:rsidP="00000000" w:rsidRDefault="00000000" w:rsidRPr="00000000" w14:paraId="00000016">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and Responsible AI</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Mining</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Analytics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Making and Business Intelligence</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Computing</w:t>
      </w:r>
    </w:p>
    <w:p w:rsidR="00000000" w:rsidDel="00000000" w:rsidP="00000000" w:rsidRDefault="00000000" w:rsidRPr="00000000" w14:paraId="0000001F">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Machine Learning</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gives students an opportunity to move from foundational AI knowledge towards specialised and emerging areas.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interested in cybersecurity, the curriculum provides another specialised pathway covering </w:t>
      </w:r>
      <w:r w:rsidDel="00000000" w:rsidR="00000000" w:rsidRPr="00000000">
        <w:rPr>
          <w:rFonts w:ascii="Times New Roman" w:cs="Times New Roman" w:eastAsia="Times New Roman" w:hAnsi="Times New Roman"/>
          <w:b w:val="1"/>
          <w:bCs w:val="1"/>
          <w:sz w:val="24"/>
          <w:szCs w:val="24"/>
          <w:rtl w:val="0"/>
        </w:rPr>
        <w:t xml:space="preserve">Cyber Security and Ethical Hacking, Blockchain, Digital Forensics, and Information and System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students interested in hardware and intelligent systems can explore </w:t>
      </w:r>
      <w:r w:rsidDel="00000000" w:rsidR="00000000" w:rsidRPr="00000000">
        <w:rPr>
          <w:rFonts w:ascii="Times New Roman" w:cs="Times New Roman" w:eastAsia="Times New Roman" w:hAnsi="Times New Roman"/>
          <w:b w:val="1"/>
          <w:bCs w:val="1"/>
          <w:sz w:val="24"/>
          <w:szCs w:val="24"/>
          <w:rtl w:val="0"/>
        </w:rPr>
        <w:t xml:space="preserve">Embedded Systems, IoT and Edge Computing, Robotics and Automation, and Embedded AI and TinyML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also provides pathways in </w:t>
      </w:r>
      <w:r w:rsidDel="00000000" w:rsidR="00000000" w:rsidRPr="00000000">
        <w:rPr>
          <w:rFonts w:ascii="Times New Roman" w:cs="Times New Roman" w:eastAsia="Times New Roman" w:hAnsi="Times New Roman"/>
          <w:b w:val="1"/>
          <w:bCs w:val="1"/>
          <w:sz w:val="24"/>
          <w:szCs w:val="24"/>
          <w:rtl w:val="0"/>
        </w:rPr>
        <w:t xml:space="preserve">Computer Vision, AR/VR, Visual Computing, High Performance Computing, Cloud Computing, Edge Computing, and Wireless Ad-hoc and Sensor Networks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jqie9hlqrux" w:id="6"/>
      <w:bookmarkEnd w:id="6"/>
      <w:r w:rsidDel="00000000" w:rsidR="00000000" w:rsidRPr="00000000">
        <w:rPr>
          <w:rFonts w:ascii="Times New Roman" w:cs="Times New Roman" w:eastAsia="Times New Roman" w:hAnsi="Times New Roman"/>
          <w:b w:val="1"/>
          <w:bCs w:val="1"/>
          <w:sz w:val="28"/>
          <w:szCs w:val="28"/>
          <w:rtl w:val="0"/>
        </w:rPr>
        <w:t xml:space="preserve">Learning Beyond the Boundaries of Computer Engineering</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technological problems rarely belong to a single discipline. Recognising this reality, the curriculum provides a significant multidisciplinary component through Open Electives and Multidisciplinary Minor tracks.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explore areas such as </w:t>
      </w:r>
      <w:r w:rsidDel="00000000" w:rsidR="00000000" w:rsidRPr="00000000">
        <w:rPr>
          <w:rFonts w:ascii="Times New Roman" w:cs="Times New Roman" w:eastAsia="Times New Roman" w:hAnsi="Times New Roman"/>
          <w:b w:val="1"/>
          <w:bCs w:val="1"/>
          <w:sz w:val="24"/>
          <w:szCs w:val="24"/>
          <w:rtl w:val="0"/>
        </w:rPr>
        <w:t xml:space="preserve">Industrial IoT, Signal Processing and Communication, Computer Engineering, Interface and Experience Design, Artificial Intelligence and Machine Learning, Financial and Strategic Management, Banking Technology, Entrepreneurship and Innovation, English Literature, Mathematics, Physics, and Systems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an opportunity for a Computer Engineering student to understand technology in a broader context—for example, combining computing with finance, management, physics, entrepreneurship or user experience design.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exposure is increasingly important in an era where successful technological solutions require an understanding of users, organisations, markets and society alongside technical implementation.</w:t>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nkrmkkrdnh1" w:id="7"/>
      <w:bookmarkEnd w:id="7"/>
      <w:r w:rsidDel="00000000" w:rsidR="00000000" w:rsidRPr="00000000">
        <w:rPr>
          <w:rFonts w:ascii="Times New Roman" w:cs="Times New Roman" w:eastAsia="Times New Roman" w:hAnsi="Times New Roman"/>
          <w:b w:val="1"/>
          <w:bCs w:val="1"/>
          <w:sz w:val="28"/>
          <w:szCs w:val="28"/>
          <w:rtl w:val="0"/>
        </w:rPr>
        <w:t xml:space="preserve">Experiential Learning: From Concepts to Creation</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feature of the curriculum is its emphasis on </w:t>
      </w:r>
      <w:r w:rsidDel="00000000" w:rsidR="00000000" w:rsidRPr="00000000">
        <w:rPr>
          <w:rFonts w:ascii="Times New Roman" w:cs="Times New Roman" w:eastAsia="Times New Roman" w:hAnsi="Times New Roman"/>
          <w:b w:val="1"/>
          <w:bCs w:val="1"/>
          <w:sz w:val="24"/>
          <w:szCs w:val="24"/>
          <w:rtl w:val="0"/>
        </w:rPr>
        <w:t xml:space="preserve">Experiential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undertake </w:t>
      </w:r>
      <w:r w:rsidDel="00000000" w:rsidR="00000000" w:rsidRPr="00000000">
        <w:rPr>
          <w:rFonts w:ascii="Times New Roman" w:cs="Times New Roman" w:eastAsia="Times New Roman" w:hAnsi="Times New Roman"/>
          <w:b w:val="1"/>
          <w:bCs w:val="1"/>
          <w:sz w:val="24"/>
          <w:szCs w:val="24"/>
          <w:rtl w:val="0"/>
        </w:rPr>
        <w:t xml:space="preserve">Mini Project I in Semester V and Mini Project II in Semester VI</w:t>
      </w:r>
      <w:r w:rsidDel="00000000" w:rsidR="00000000" w:rsidRPr="00000000">
        <w:rPr>
          <w:rFonts w:ascii="Times New Roman" w:cs="Times New Roman" w:eastAsia="Times New Roman" w:hAnsi="Times New Roman"/>
          <w:sz w:val="24"/>
          <w:szCs w:val="24"/>
          <w:rtl w:val="0"/>
        </w:rPr>
        <w:t xml:space="preserve">, followed by a Main Project and, depending on the selected pathway, research or industry internships.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progression creates a natural movement from learning concepts to applying them:</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Learn → Explore → Build → Experiment → Solve → Create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restricting project work to the final year, the curriculum introduces project-based learning much earlier. This encourages students to identify problems, experiment with solutions, work collaboratively and gradually develop the ability to convert theoretical knowledge into working systems.</w:t>
      </w:r>
    </w:p>
    <w:p w:rsidR="00000000" w:rsidDel="00000000" w:rsidP="00000000" w:rsidRDefault="00000000" w:rsidRPr="00000000" w14:paraId="0000002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g47rt5odcmew" w:id="8"/>
      <w:bookmarkEnd w:id="8"/>
      <w:r w:rsidDel="00000000" w:rsidR="00000000" w:rsidRPr="00000000">
        <w:rPr>
          <w:rFonts w:ascii="Times New Roman" w:cs="Times New Roman" w:eastAsia="Times New Roman" w:hAnsi="Times New Roman"/>
          <w:b w:val="1"/>
          <w:bCs w:val="1"/>
          <w:sz w:val="28"/>
          <w:szCs w:val="28"/>
          <w:rtl w:val="0"/>
        </w:rPr>
        <w:t xml:space="preserve">Research as a Pathway, Not Just an Outcome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with a strong inclination towards research, the curriculum provides a dedicated </w:t>
      </w:r>
      <w:r w:rsidDel="00000000" w:rsidR="00000000" w:rsidRPr="00000000">
        <w:rPr>
          <w:rFonts w:ascii="Times New Roman" w:cs="Times New Roman" w:eastAsia="Times New Roman" w:hAnsi="Times New Roman"/>
          <w:b w:val="1"/>
          <w:bCs w:val="1"/>
          <w:sz w:val="24"/>
          <w:szCs w:val="24"/>
          <w:rtl w:val="0"/>
        </w:rPr>
        <w:t xml:space="preserve">Honours by Research</w:t>
      </w:r>
      <w:r w:rsidDel="00000000" w:rsidR="00000000" w:rsidRPr="00000000">
        <w:rPr>
          <w:rFonts w:ascii="Times New Roman" w:cs="Times New Roman" w:eastAsia="Times New Roman" w:hAnsi="Times New Roman"/>
          <w:sz w:val="24"/>
          <w:szCs w:val="24"/>
          <w:rtl w:val="0"/>
        </w:rPr>
        <w:t xml:space="preserve"> pathway.</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undertake structured research stages during the summer terms and subsequent semesters. The scheme provides Research Stage I, Research Stage II, Research III and Research IV as part of the research pathway.</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further specifies that students earning 18 additional credits through the prescribed research stages, along with meeting the stipulated CGPA requirement of 8.25, may become eligible for the </w:t>
      </w:r>
      <w:r w:rsidDel="00000000" w:rsidR="00000000" w:rsidRPr="00000000">
        <w:rPr>
          <w:rFonts w:ascii="Times New Roman" w:cs="Times New Roman" w:eastAsia="Times New Roman" w:hAnsi="Times New Roman"/>
          <w:b w:val="1"/>
          <w:bCs w:val="1"/>
          <w:sz w:val="24"/>
          <w:szCs w:val="24"/>
          <w:rtl w:val="0"/>
        </w:rPr>
        <w:t xml:space="preserve">“Honors by Research”</w:t>
      </w:r>
      <w:r w:rsidDel="00000000" w:rsidR="00000000" w:rsidRPr="00000000">
        <w:rPr>
          <w:rFonts w:ascii="Times New Roman" w:cs="Times New Roman" w:eastAsia="Times New Roman" w:hAnsi="Times New Roman"/>
          <w:sz w:val="24"/>
          <w:szCs w:val="24"/>
          <w:rtl w:val="0"/>
        </w:rPr>
        <w:t xml:space="preserve"> degree pathway.</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valuable for students considering postgraduate studies, doctoral research or careers in research and development. It creates an academic environment in which research can become a sustained undergraduate experience rather than something encountered only after graduation.</w:t>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h57uwfi40x9" w:id="9"/>
      <w:bookmarkEnd w:id="9"/>
      <w:r w:rsidDel="00000000" w:rsidR="00000000" w:rsidRPr="00000000">
        <w:rPr>
          <w:rFonts w:ascii="Times New Roman" w:cs="Times New Roman" w:eastAsia="Times New Roman" w:hAnsi="Times New Roman"/>
          <w:b w:val="1"/>
          <w:bCs w:val="1"/>
          <w:sz w:val="28"/>
          <w:szCs w:val="28"/>
          <w:rtl w:val="0"/>
        </w:rPr>
        <w:t xml:space="preserve">Industry and Research Exposure</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also provides pathways for </w:t>
      </w:r>
      <w:r w:rsidDel="00000000" w:rsidR="00000000" w:rsidRPr="00000000">
        <w:rPr>
          <w:rFonts w:ascii="Times New Roman" w:cs="Times New Roman" w:eastAsia="Times New Roman" w:hAnsi="Times New Roman"/>
          <w:b w:val="1"/>
          <w:bCs w:val="1"/>
          <w:sz w:val="24"/>
          <w:szCs w:val="24"/>
          <w:rtl w:val="0"/>
        </w:rPr>
        <w:t xml:space="preserve">Research / Industry Internships</w:t>
      </w:r>
      <w:r w:rsidDel="00000000" w:rsidR="00000000" w:rsidRPr="00000000">
        <w:rPr>
          <w:rFonts w:ascii="Times New Roman" w:cs="Times New Roman" w:eastAsia="Times New Roman" w:hAnsi="Times New Roman"/>
          <w:sz w:val="24"/>
          <w:szCs w:val="24"/>
          <w:rtl w:val="0"/>
        </w:rPr>
        <w:t xml:space="preserve"> during the later semesters. Students can use experiential learning credits to gain exposure beyond the conventional classroom environment.</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opportunities help students understand how engineering knowledge is applied in professional and research settings. They also encourage students to connect classroom learning with contemporary technological challenges.</w:t>
      </w:r>
    </w:p>
    <w:p w:rsidR="00000000" w:rsidDel="00000000" w:rsidP="00000000" w:rsidRDefault="00000000" w:rsidRPr="00000000" w14:paraId="0000003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9eyd29unqw1a" w:id="10"/>
      <w:bookmarkEnd w:id="10"/>
      <w:r w:rsidDel="00000000" w:rsidR="00000000" w:rsidRPr="00000000">
        <w:rPr>
          <w:rFonts w:ascii="Times New Roman" w:cs="Times New Roman" w:eastAsia="Times New Roman" w:hAnsi="Times New Roman"/>
          <w:b w:val="1"/>
          <w:bCs w:val="1"/>
          <w:sz w:val="28"/>
          <w:szCs w:val="28"/>
          <w:rtl w:val="0"/>
        </w:rPr>
        <w:t xml:space="preserve">Engineering with a Human Dimension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does not exist in isolation from society. The curriculum therefore deliberately includes Humanities, Social Sciences, Management and Liberal Learning components.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choose from courses covering areas such as </w:t>
      </w:r>
      <w:r w:rsidDel="00000000" w:rsidR="00000000" w:rsidRPr="00000000">
        <w:rPr>
          <w:rFonts w:ascii="Times New Roman" w:cs="Times New Roman" w:eastAsia="Times New Roman" w:hAnsi="Times New Roman"/>
          <w:b w:val="1"/>
          <w:bCs w:val="1"/>
          <w:sz w:val="24"/>
          <w:szCs w:val="24"/>
          <w:rtl w:val="0"/>
        </w:rPr>
        <w:t xml:space="preserve">microeconomics, law for engineers, psychology, Indian history, political science, philosophy and foreign languages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Liberal Learning basket goes even further, including courses such as </w:t>
      </w:r>
      <w:r w:rsidDel="00000000" w:rsidR="00000000" w:rsidRPr="00000000">
        <w:rPr>
          <w:rFonts w:ascii="Times New Roman" w:cs="Times New Roman" w:eastAsia="Times New Roman" w:hAnsi="Times New Roman"/>
          <w:b w:val="1"/>
          <w:bCs w:val="1"/>
          <w:sz w:val="24"/>
          <w:szCs w:val="24"/>
          <w:rtl w:val="0"/>
        </w:rPr>
        <w:t xml:space="preserve">Yoga, Introduction to Bhagavad Geeta, Film Appreciation, First Aid, Photography, Innovation and Entrepreneurship, Interpersonal Effectiveness and Team Building, Martial Arts and personality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components reflect the philosophy that engineering education should contribute not only to professional competence but also to personal development, social awareness and responsible citizenship.</w:t>
      </w:r>
    </w:p>
    <w:p w:rsidR="00000000" w:rsidDel="00000000" w:rsidP="00000000" w:rsidRDefault="00000000" w:rsidRPr="00000000" w14:paraId="0000003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h1683xxw0rd" w:id="11"/>
      <w:bookmarkEnd w:id="11"/>
      <w:r w:rsidDel="00000000" w:rsidR="00000000" w:rsidRPr="00000000">
        <w:rPr>
          <w:rFonts w:ascii="Times New Roman" w:cs="Times New Roman" w:eastAsia="Times New Roman" w:hAnsi="Times New Roman"/>
          <w:b w:val="1"/>
          <w:bCs w:val="1"/>
          <w:sz w:val="28"/>
          <w:szCs w:val="28"/>
          <w:rtl w:val="0"/>
        </w:rPr>
        <w:t xml:space="preserve">Skills for the Professional World</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also places emphasis on Skill Enhancement Courses. Students encounter areas such as </w:t>
      </w:r>
      <w:r w:rsidDel="00000000" w:rsidR="00000000" w:rsidRPr="00000000">
        <w:rPr>
          <w:rFonts w:ascii="Times New Roman" w:cs="Times New Roman" w:eastAsia="Times New Roman" w:hAnsi="Times New Roman"/>
          <w:b w:val="1"/>
          <w:bCs w:val="1"/>
          <w:sz w:val="24"/>
          <w:szCs w:val="24"/>
          <w:rtl w:val="0"/>
        </w:rPr>
        <w:t xml:space="preserve">Design Thinking, Engineering Exploration, Professional Communication, Corporate Communication, Data Science Laboratory, real-life problem solving in AI, and Computing System and Application Development</w:t>
      </w:r>
      <w:r w:rsidDel="00000000" w:rsidR="00000000" w:rsidRPr="00000000">
        <w:rPr>
          <w:rFonts w:ascii="Times New Roman" w:cs="Times New Roman" w:eastAsia="Times New Roman" w:hAnsi="Times New Roman"/>
          <w:sz w:val="24"/>
          <w:szCs w:val="24"/>
          <w:rtl w:val="0"/>
        </w:rPr>
        <w:t xml:space="preserve"> across the programme.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complement technical subjects by focusing on the skills required to communicate ideas, approach problems systematically and develop practical solutions.</w:t>
      </w:r>
    </w:p>
    <w:p w:rsidR="00000000" w:rsidDel="00000000" w:rsidP="00000000" w:rsidRDefault="00000000" w:rsidRPr="00000000" w14:paraId="0000003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lv6zhrxmdyo" w:id="12"/>
      <w:bookmarkEnd w:id="12"/>
      <w:r w:rsidDel="00000000" w:rsidR="00000000" w:rsidRPr="00000000">
        <w:rPr>
          <w:rFonts w:ascii="Times New Roman" w:cs="Times New Roman" w:eastAsia="Times New Roman" w:hAnsi="Times New Roman"/>
          <w:b w:val="1"/>
          <w:bCs w:val="1"/>
          <w:sz w:val="28"/>
          <w:szCs w:val="28"/>
          <w:rtl w:val="0"/>
        </w:rPr>
        <w:t xml:space="preserve">Multiple Pathways, One Engineering Identity</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aspects of the curriculum is that it recognises that every student does not have the same career aspiration.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choose to develop deep expertise in Artificial Intelligence. Another may explore cybersecurity. A third may combine computing with finance or management. Some may pursue entrepreneurship, while others may choose industry internships. Students with a strong academic and research inclination can pursue the Honours by Research pathway.</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therefore provides </w:t>
      </w:r>
      <w:r w:rsidDel="00000000" w:rsidR="00000000" w:rsidRPr="00000000">
        <w:rPr>
          <w:rFonts w:ascii="Times New Roman" w:cs="Times New Roman" w:eastAsia="Times New Roman" w:hAnsi="Times New Roman"/>
          <w:b w:val="1"/>
          <w:bCs w:val="1"/>
          <w:sz w:val="24"/>
          <w:szCs w:val="24"/>
          <w:rtl w:val="0"/>
        </w:rPr>
        <w:t xml:space="preserve">multiple pathways within a common engineering foundation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scheme allows students to earn credentials at different stages of their academic journey. The curriculum specifies exit pathways after one, two and three years, subject to the prescribed credit and summer-workshop requirements, leading respectively to a Certificate in Engineering, Diploma in Engineering and B.Sc. Engineering.</w:t>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uilxmoerwp45" w:id="13"/>
      <w:bookmarkEnd w:id="13"/>
      <w:r w:rsidDel="00000000" w:rsidR="00000000" w:rsidRPr="00000000">
        <w:rPr>
          <w:rFonts w:ascii="Times New Roman" w:cs="Times New Roman" w:eastAsia="Times New Roman" w:hAnsi="Times New Roman"/>
          <w:b w:val="1"/>
          <w:bCs w:val="1"/>
          <w:sz w:val="28"/>
          <w:szCs w:val="28"/>
          <w:rtl w:val="0"/>
        </w:rPr>
        <w:t xml:space="preserve">Preparing the Engineer of Tomorrow</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curriculum represents a shift from a conventional syllabus-centred approach towards a more flexible, multidisciplinary and experiential model of engineering education.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emphasis on </w:t>
      </w:r>
      <w:r w:rsidDel="00000000" w:rsidR="00000000" w:rsidRPr="00000000">
        <w:rPr>
          <w:rFonts w:ascii="Times New Roman" w:cs="Times New Roman" w:eastAsia="Times New Roman" w:hAnsi="Times New Roman"/>
          <w:b w:val="1"/>
          <w:bCs w:val="1"/>
          <w:sz w:val="24"/>
          <w:szCs w:val="24"/>
          <w:rtl w:val="0"/>
        </w:rPr>
        <w:t xml:space="preserve">strong fundamentals, emerging technologies, choice-based learning, multidisciplinary education, skill enhancement, projects, internships and research</w:t>
      </w:r>
      <w:r w:rsidDel="00000000" w:rsidR="00000000" w:rsidRPr="00000000">
        <w:rPr>
          <w:rFonts w:ascii="Times New Roman" w:cs="Times New Roman" w:eastAsia="Times New Roman" w:hAnsi="Times New Roman"/>
          <w:sz w:val="24"/>
          <w:szCs w:val="24"/>
          <w:rtl w:val="0"/>
        </w:rPr>
        <w:t xml:space="preserve"> creates opportunities for students to design an academic journey that reflects their aspirations.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Computer Engineering students in particular, the curriculum provides a broad technological canvas—from algorithms and systems to AI, cybersecurity, cloud computing, quantum computing, computer vision, robotics and high-performance computing.</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success of any curriculum lies not merely in the number of courses it contains, but in the opportunities it creates for students to </w:t>
      </w:r>
      <w:r w:rsidDel="00000000" w:rsidR="00000000" w:rsidRPr="00000000">
        <w:rPr>
          <w:rFonts w:ascii="Times New Roman" w:cs="Times New Roman" w:eastAsia="Times New Roman" w:hAnsi="Times New Roman"/>
          <w:b w:val="1"/>
          <w:bCs w:val="1"/>
          <w:sz w:val="24"/>
          <w:szCs w:val="24"/>
          <w:rtl w:val="0"/>
        </w:rPr>
        <w:t xml:space="preserve">learn, question, experiment, collaborate and create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Liberal “Pi-Model” seeks to make that journey more flexible and holistic—preparing students not simply to become engineers who understand technology, but professionals who can use technology thoughtfully to address the challenges of tomorrow.</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