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 MAGAZINE  INDEX</w:t>
      </w:r>
    </w:p>
    <w:p w:rsidR="00000000" w:rsidDel="00000000" w:rsidP="00000000" w:rsidRDefault="00000000" w:rsidRPr="00000000" w14:paraId="00000002">
      <w:pPr>
        <w:jc w:val="center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4"/>
          <w:szCs w:val="24"/>
          <w:rtl w:val="0"/>
        </w:rPr>
        <w:t xml:space="preserve">2025-26</w:t>
      </w:r>
    </w:p>
    <w:p w:rsidR="00000000" w:rsidDel="00000000" w:rsidP="00000000" w:rsidRDefault="00000000" w:rsidRPr="00000000" w14:paraId="00000003">
      <w:pPr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025"/>
        <w:gridCol w:w="900"/>
        <w:tblGridChange w:id="0">
          <w:tblGrid>
            <w:gridCol w:w="1140"/>
            <w:gridCol w:w="8025"/>
            <w:gridCol w:w="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Sr.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before="0" w:line="296.52597427368164" w:lineRule="auto"/>
              <w:ind w:left="0" w:right="750" w:firstLine="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From the Principal's Desk.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0" w:line="296.52597427368164" w:lineRule="auto"/>
              <w:ind w:right="75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From the HOD 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0" w:line="296.52597427368164" w:lineRule="auto"/>
              <w:ind w:right="75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Vision and Mission Statement for Department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Program Educational Objectives(PEOs) &amp; Program Outcomes(POs) ,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About the Department- Curriculum and Syllabus Highlights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lab facilities, Smart Classroom, Major Facilities/Instruments/Equipment added in Laboratories during 2025-26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Overview of Academic Programs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"/>
              </w:numPr>
              <w:spacing w:after="0" w:afterAutospacing="0" w:before="11.6448974609375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Department programs: UG/PG/PhD Students Statistical Information 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Result Analysis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2"/>
              </w:numPr>
              <w:spacing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Campus Placements, Internship, 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Faculty and Staff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Additional Responsibilities to the Faculty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Advisory Board and Board of Studies(BoS), DAPC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96.52597427368164" w:lineRule="auto"/>
              <w:ind w:right="75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Consultancy, Grant, Patent and Research Publications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96.52597427368164" w:lineRule="auto"/>
              <w:ind w:left="720" w:right="750" w:hanging="36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Faculty, h-idex, i10 index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96.52597427368164" w:lineRule="auto"/>
              <w:ind w:left="720" w:right="750" w:hanging="36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Consultancy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96.52597427368164" w:lineRule="auto"/>
              <w:ind w:left="720" w:right="750" w:hanging="36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Grant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96.52597427368164" w:lineRule="auto"/>
              <w:ind w:left="720" w:right="750" w:hanging="36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Patent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96.52597427368164" w:lineRule="auto"/>
              <w:ind w:left="720" w:right="750" w:hanging="36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International Journal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96.52597427368164" w:lineRule="auto"/>
              <w:ind w:left="720" w:right="750" w:hanging="36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Book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"/>
              </w:numPr>
              <w:spacing w:line="296.52597427368164" w:lineRule="auto"/>
              <w:ind w:left="720" w:right="750" w:hanging="36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Book Chapter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"/>
              </w:numPr>
              <w:spacing w:line="296.52597427368164" w:lineRule="auto"/>
              <w:ind w:left="720" w:right="750" w:hanging="36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International Conference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 Faculty and Students Achievements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5"/>
              </w:numPr>
              <w:spacing w:after="0" w:afterAutospacing="0" w:before="11.6448974609375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Hackathons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NPTEL- Gold/Silver/Elite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Best paper Award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5"/>
              </w:numPr>
              <w:spacing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Sports, Debate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List of Undergraduate Projects, M.Tech and PhD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Industry Institute Interaction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after="0" w:afterAutospacing="0" w:before="11.6448974609375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Students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Faculty- Industry/Exhibition visits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MOU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Workshops/STTP/FDP/MOOC attended by Faculty Members 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6"/>
              </w:numPr>
              <w:spacing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Expert Talk by Faculty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before="11.6448974609375" w:line="287.1638488769531" w:lineRule="auto"/>
              <w:ind w:left="0" w:right="749.930419921875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Distinguished Alumni of 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Departmental Activities by Faculty, Students and Associations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after="0" w:afterAutospacing="0" w:before="11.6448974609375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Parent Teachers Meeting (PTM)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FACE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STTP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CSI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spacing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IEEE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Student Support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3"/>
              </w:numPr>
              <w:spacing w:after="0" w:afterAutospacing="0" w:before="11.6448974609375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Slow-fast learner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Innovative Teaching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Remedial Teaching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Alumni Connect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spacing w:before="0" w:beforeAutospacing="0" w:line="287.1638488769531" w:lineRule="auto"/>
              <w:ind w:left="720" w:right="749.930419921875" w:hanging="360"/>
              <w:rPr>
                <w:rFonts w:ascii="Century Schoolbook" w:cs="Century Schoolbook" w:eastAsia="Century Schoolbook" w:hAnsi="Century Schoolbook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Co-Teaching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before="11.6448974609375" w:line="287.1638488769531" w:lineRule="auto"/>
              <w:ind w:left="0" w:right="749.930419921875" w:firstLine="0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Departmental Strengths, Weaknesses, Opportunities and Challenges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before="11.6448974609375" w:line="287.1638488769531" w:lineRule="auto"/>
              <w:ind w:right="749.930419921875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96.52597427368164" w:lineRule="auto"/>
              <w:ind w:right="750"/>
              <w:jc w:val="both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4"/>
                <w:szCs w:val="24"/>
                <w:rtl w:val="0"/>
              </w:rPr>
              <w:t xml:space="preserve">Meet The Team(last)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Schoolbook" w:cs="Century Schoolbook" w:eastAsia="Century Schoolbook" w:hAnsi="Century Schoolbook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ind w:left="0" w:firstLine="0"/>
        <w:rPr>
          <w:rFonts w:ascii="Century Schoolbook" w:cs="Century Schoolbook" w:eastAsia="Century Schoolbook" w:hAnsi="Century Schoolbook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