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0547b9b42089caa313b03b3d441cbd9c6fde30"/>
    <w:p>
      <w:pPr>
        <w:pStyle w:val="Heading1"/>
      </w:pPr>
      <w:r>
        <w:t xml:space="preserve">Sparse Mixture-of-Experts Routing Without Auxiliary Losses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Mixture-of-Experts (MoE) language models rely on auxiliary load-balancing losses</w:t>
      </w:r>
      <w:r>
        <w:t xml:space="preserve"> </w:t>
      </w:r>
      <w:r>
        <w:t xml:space="preserve">to keep expert utilisation uniform during training. These losses introduce a</w:t>
      </w:r>
      <w:r>
        <w:t xml:space="preserve"> </w:t>
      </w:r>
      <w:r>
        <w:t xml:space="preserve">hyperparameter that is difficult to tune and that can destabilise learning when</w:t>
      </w:r>
      <w:r>
        <w:t xml:space="preserve"> </w:t>
      </w:r>
      <w:r>
        <w:t xml:space="preserve">set too aggressively. We introduce</w:t>
      </w:r>
      <w:r>
        <w:t xml:space="preserve"> </w:t>
      </w:r>
      <w:r>
        <w:rPr>
          <w:i/>
          <w:iCs/>
        </w:rPr>
        <w:t xml:space="preserve">budget-aware routing</w:t>
      </w:r>
      <w:r>
        <w:t xml:space="preserve"> </w:t>
      </w:r>
      <w:r>
        <w:t xml:space="preserve">(BAR), a routing rule</w:t>
      </w:r>
      <w:r>
        <w:t xml:space="preserve"> </w:t>
      </w:r>
      <w:r>
        <w:t xml:space="preserve">that enforces per-batch expert budgets directly in the routing softmax without</w:t>
      </w:r>
      <w:r>
        <w:t xml:space="preserve"> </w:t>
      </w:r>
      <w:r>
        <w:t xml:space="preserve">any auxiliary loss term. Across three language-model scales (125M, 350M, 1.3B)</w:t>
      </w:r>
      <w:r>
        <w:t xml:space="preserve"> </w:t>
      </w:r>
      <w:r>
        <w:t xml:space="preserve">BAR matches or exceeds the perplexity of switch-transformer style baselines</w:t>
      </w:r>
      <w:r>
        <w:t xml:space="preserve"> </w:t>
      </w:r>
      <w:r>
        <w:t xml:space="preserve">while using 18 percent fewer training steps to reach the same loss. We release</w:t>
      </w:r>
      <w:r>
        <w:t xml:space="preserve"> </w:t>
      </w:r>
      <w:r>
        <w:t xml:space="preserve">code and checkpoints.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Sparse Mixture-of-Experts models activate a small subset of parameters per</w:t>
      </w:r>
      <w:r>
        <w:t xml:space="preserve"> </w:t>
      </w:r>
      <w:r>
        <w:t xml:space="preserve">token, trading compute for a larger effective model. The standard switch-</w:t>
      </w:r>
      <w:r>
        <w:t xml:space="preserve"> </w:t>
      </w:r>
      <w:r>
        <w:t xml:space="preserve">transformer routing layer picks the top-k experts per token with a softmax over</w:t>
      </w:r>
      <w:r>
        <w:t xml:space="preserve"> </w:t>
      </w:r>
      <w:r>
        <w:t xml:space="preserve">gating logits, then adds an auxiliary load-balancing loss to encourage uniform</w:t>
      </w:r>
      <w:r>
        <w:t xml:space="preserve"> </w:t>
      </w:r>
      <w:r>
        <w:t xml:space="preserve">expert usage. Tuning the auxiliary loss coefficient is non-trivial, and recent</w:t>
      </w:r>
      <w:r>
        <w:t xml:space="preserve"> </w:t>
      </w:r>
      <w:r>
        <w:t xml:space="preserve">work (Zoph et al., 2022) shows that it interacts with the learning rate</w:t>
      </w:r>
      <w:r>
        <w:t xml:space="preserve"> </w:t>
      </w:r>
      <w:r>
        <w:t xml:space="preserve">schedule in ways that often require a warm-up period before routing becomes</w:t>
      </w:r>
      <w:r>
        <w:t xml:space="preserve"> </w:t>
      </w:r>
      <w:r>
        <w:t xml:space="preserve">stable.</w:t>
      </w:r>
    </w:p>
    <w:p>
      <w:pPr>
        <w:pStyle w:val="BodyText"/>
      </w:pPr>
      <w:r>
        <w:t xml:space="preserve">We ask: can the balancing constraint be enforced structurally rather than</w:t>
      </w:r>
      <w:r>
        <w:t xml:space="preserve"> </w:t>
      </w:r>
      <w:r>
        <w:t xml:space="preserve">penalised? If expert budgets are hard constraints, training stability should no</w:t>
      </w:r>
      <w:r>
        <w:t xml:space="preserve"> </w:t>
      </w:r>
      <w:r>
        <w:t xml:space="preserve">longer depend on tuning a loss coefficient. We propose budget-aware routing</w:t>
      </w:r>
      <w:r>
        <w:t xml:space="preserve"> </w:t>
      </w:r>
      <w:r>
        <w:t xml:space="preserve">(BAR), which solves a small optimal-transport problem per batch to map tokens</w:t>
      </w:r>
      <w:r>
        <w:t xml:space="preserve"> </w:t>
      </w:r>
      <w:r>
        <w:t xml:space="preserve">to experts under explicit per-expert capacity budgets.</w:t>
      </w:r>
    </w:p>
    <w:bookmarkEnd w:id="21"/>
    <w:bookmarkStart w:id="22" w:name="method"/>
    <w:p>
      <w:pPr>
        <w:pStyle w:val="Heading2"/>
      </w:pPr>
      <w:r>
        <w:t xml:space="preserve">2. Method</w:t>
      </w:r>
    </w:p>
    <w:p>
      <w:pPr>
        <w:pStyle w:val="FirstParagraph"/>
      </w:pPr>
      <w:r>
        <w:t xml:space="preserve">Given a batch of N tokens and E experts each with capacity C, we compute</w:t>
      </w:r>
      <w:r>
        <w:t xml:space="preserve"> </w:t>
      </w:r>
      <w:r>
        <w:t xml:space="preserve">gating logits g_{i,j} for every (token, expert) pair. BAR treats routing as a</w:t>
      </w:r>
      <w:r>
        <w:t xml:space="preserve"> </w:t>
      </w:r>
      <w:r>
        <w:t xml:space="preserve">constrained assignment problem: find an assignment matrix A in R^{N x E} that</w:t>
      </w:r>
      <w:r>
        <w:t xml:space="preserve"> </w:t>
      </w:r>
      <w:r>
        <w:t xml:space="preserve">maximises sum_{i,j} A_{i,j} g_{i,j} subject to row-stochasticity</w:t>
      </w:r>
      <w:r>
        <w:t xml:space="preserve"> </w:t>
      </w:r>
      <w:r>
        <w:t xml:space="preserve">sum_j A_{i,j} = 1 and per-column budget sum_i A_{i,j} &lt;= C. We solve this via</w:t>
      </w:r>
      <w:r>
        <w:t xml:space="preserve"> </w:t>
      </w:r>
      <w:r>
        <w:t xml:space="preserve">three Sinkhorn iterations, which is cheap (O(N E)) and differentiable.</w:t>
      </w:r>
      <w:r>
        <w:t xml:space="preserve"> </w:t>
      </w:r>
      <w:r>
        <w:t xml:space="preserve">Gradients flow through the matrix via the implicit-function theorem.</w:t>
      </w:r>
    </w:p>
    <w:p>
      <w:pPr>
        <w:pStyle w:val="BodyText"/>
      </w:pPr>
      <w:r>
        <w:t xml:space="preserve">The three-iteration Sinkhorn solve adds roughly 4 percent wall-clock overhead</w:t>
      </w:r>
      <w:r>
        <w:t xml:space="preserve"> </w:t>
      </w:r>
      <w:r>
        <w:t xml:space="preserve">relative to a vanilla top-2 router at the 1.3B scale. This is more than offset</w:t>
      </w:r>
      <w:r>
        <w:t xml:space="preserve"> </w:t>
      </w:r>
      <w:r>
        <w:t xml:space="preserve">by the faster convergence described in Section 4.</w:t>
      </w:r>
    </w:p>
    <w:bookmarkEnd w:id="22"/>
    <w:bookmarkStart w:id="23" w:name="related-work"/>
    <w:p>
      <w:pPr>
        <w:pStyle w:val="Heading2"/>
      </w:pPr>
      <w:r>
        <w:t xml:space="preserve">3. Related work</w:t>
      </w:r>
    </w:p>
    <w:p>
      <w:pPr>
        <w:pStyle w:val="FirstParagraph"/>
      </w:pPr>
      <w:r>
        <w:t xml:space="preserve">The closest prior work is</w:t>
      </w:r>
      <w:r>
        <w:t xml:space="preserve"> </w:t>
      </w:r>
      <w:r>
        <w:rPr>
          <w:i/>
          <w:iCs/>
        </w:rPr>
        <w:t xml:space="preserve">expert choice routing</w:t>
      </w:r>
      <w:r>
        <w:t xml:space="preserve"> </w:t>
      </w:r>
      <w:r>
        <w:t xml:space="preserve">(Zhou et al., 2022), which</w:t>
      </w:r>
      <w:r>
        <w:t xml:space="preserve"> </w:t>
      </w:r>
      <w:r>
        <w:t xml:space="preserve">flips the conditioning — experts pick tokens rather than tokens picking</w:t>
      </w:r>
      <w:r>
        <w:t xml:space="preserve"> </w:t>
      </w:r>
      <w:r>
        <w:t xml:space="preserve">experts. BAR is conceptually similar but makes the budget a hard primal</w:t>
      </w:r>
      <w:r>
        <w:t xml:space="preserve"> </w:t>
      </w:r>
      <w:r>
        <w:t xml:space="preserve">constraint instead of an architectural choice. Switch transformers (Fedus et</w:t>
      </w:r>
      <w:r>
        <w:t xml:space="preserve"> </w:t>
      </w:r>
      <w:r>
        <w:t xml:space="preserve">al., 2021) introduced the auxiliary loss we compare against. Recent work by</w:t>
      </w:r>
      <w:r>
        <w:t xml:space="preserve"> </w:t>
      </w:r>
      <w:r>
        <w:t xml:space="preserve">Shazeer et al. (2017) on sparsely-gated MoEs remains a foundational reference.</w:t>
      </w:r>
    </w:p>
    <w:bookmarkEnd w:id="23"/>
    <w:bookmarkStart w:id="24" w:name="experiments"/>
    <w:p>
      <w:pPr>
        <w:pStyle w:val="Heading2"/>
      </w:pPr>
      <w:r>
        <w:t xml:space="preserve">4. Experiments</w:t>
      </w:r>
    </w:p>
    <w:p>
      <w:pPr>
        <w:pStyle w:val="FirstParagraph"/>
      </w:pPr>
      <w:r>
        <w:t xml:space="preserve">We train three model scales on the C4 corpus: 125M parameters, 350M</w:t>
      </w:r>
      <w:r>
        <w:t xml:space="preserve"> </w:t>
      </w:r>
      <w:r>
        <w:t xml:space="preserve">parameters, and 1.3B parameters, each with E=8 experts and k=2. Baselines are</w:t>
      </w:r>
      <w:r>
        <w:t xml:space="preserve"> </w:t>
      </w:r>
      <w:r>
        <w:t xml:space="preserve">switch-transformer variants with load-balancing coefficients tuned via sweep.</w:t>
      </w:r>
    </w:p>
    <w:p>
      <w:pPr>
        <w:pStyle w:val="BodyText"/>
      </w:pPr>
      <w:r>
        <w:t xml:space="preserve">At 1.3B parameters BAR reaches the 2.5 validation loss mark in 82 billion</w:t>
      </w:r>
      <w:r>
        <w:t xml:space="preserve"> </w:t>
      </w:r>
      <w:r>
        <w:t xml:space="preserve">tokens versus 100 billion for the tuned baseline, a 18 percent improvement. At</w:t>
      </w:r>
      <w:r>
        <w:t xml:space="preserve"> </w:t>
      </w:r>
      <w:r>
        <w:t xml:space="preserve">the smaller scales the improvement is smaller (11 percent at 350M, 6 percent</w:t>
      </w:r>
      <w:r>
        <w:t xml:space="preserve"> </w:t>
      </w:r>
      <w:r>
        <w:t xml:space="preserve">at 125M) but consistent. Full numbers are in Table 1.</w:t>
      </w:r>
    </w:p>
    <w:bookmarkEnd w:id="24"/>
    <w:bookmarkStart w:id="25" w:name="limitations"/>
    <w:p>
      <w:pPr>
        <w:pStyle w:val="Heading2"/>
      </w:pPr>
      <w:r>
        <w:t xml:space="preserve">5. Limitations</w:t>
      </w:r>
    </w:p>
    <w:p>
      <w:pPr>
        <w:pStyle w:val="FirstParagraph"/>
      </w:pPr>
      <w:r>
        <w:t xml:space="preserve">Our experiments use English-only training data. Multilingual behaviour is not</w:t>
      </w:r>
      <w:r>
        <w:t xml:space="preserve"> </w:t>
      </w:r>
      <w:r>
        <w:t xml:space="preserve">characterised here. The Sinkhorn-based solve also assumes that per-expert</w:t>
      </w:r>
      <w:r>
        <w:t xml:space="preserve"> </w:t>
      </w:r>
      <w:r>
        <w:t xml:space="preserve">budgets are statically chosen; adapting budgets dynamically during training is</w:t>
      </w:r>
      <w:r>
        <w:t xml:space="preserve"> </w:t>
      </w:r>
      <w:r>
        <w:t xml:space="preserve">future work. We do not report downstream task evaluations at the 1.3B scale</w:t>
      </w:r>
      <w:r>
        <w:t xml:space="preserve"> </w:t>
      </w:r>
      <w:r>
        <w:t xml:space="preserve">due to compute constraints.</w:t>
      </w:r>
    </w:p>
    <w:bookmarkEnd w:id="25"/>
    <w:bookmarkStart w:id="26" w:name="broader-impact"/>
    <w:p>
      <w:pPr>
        <w:pStyle w:val="Heading2"/>
      </w:pPr>
      <w:r>
        <w:t xml:space="preserve">6. Broader impact</w:t>
      </w:r>
    </w:p>
    <w:p>
      <w:pPr>
        <w:pStyle w:val="FirstParagraph"/>
      </w:pPr>
      <w:r>
        <w:t xml:space="preserve">Making MoE training more stable lowers the barrier to entry for research</w:t>
      </w:r>
      <w:r>
        <w:t xml:space="preserve"> </w:t>
      </w:r>
      <w:r>
        <w:t xml:space="preserve">groups with modest compute, which we see as a net positive. BAR does not</w:t>
      </w:r>
      <w:r>
        <w:t xml:space="preserve"> </w:t>
      </w:r>
      <w:r>
        <w:t xml:space="preserve">increase the capacity or capabilities of the resulting models beyond what an</w:t>
      </w:r>
      <w:r>
        <w:t xml:space="preserve"> </w:t>
      </w:r>
      <w:r>
        <w:t xml:space="preserve">equivalent tuned switch-transformer achieves.</w:t>
      </w:r>
    </w:p>
    <w:bookmarkEnd w:id="26"/>
    <w:bookmarkStart w:id="27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Budget-aware routing replaces the auxiliary load-balancing loss in MoE</w:t>
      </w:r>
      <w:r>
        <w:t xml:space="preserve"> </w:t>
      </w:r>
      <w:r>
        <w:t xml:space="preserve">training with a direct primal constraint solved by a cheap Sinkhorn step.</w:t>
      </w:r>
      <w:r>
        <w:t xml:space="preserve"> </w:t>
      </w:r>
      <w:r>
        <w:t xml:space="preserve">It matches or beats tuned baselines on perplexity with 6–18 percent fewer</w:t>
      </w:r>
      <w:r>
        <w:t xml:space="preserve"> </w:t>
      </w:r>
      <w:r>
        <w:t xml:space="preserve">training tokens and removes a notoriously finicky hyperparameter.</w:t>
      </w:r>
    </w:p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Fedus, W., Zoph, B., and Shazeer, N. Switch Transformers: Scaling to</w:t>
      </w:r>
      <w:r>
        <w:t xml:space="preserve"> </w:t>
      </w:r>
      <w:r>
        <w:t xml:space="preserve">Trillion Parameter Models with Simple and Efficient Sparsity. JMLR, 2022.</w:t>
      </w:r>
      <w:r>
        <w:t xml:space="preserve"> </w:t>
      </w:r>
      <w:r>
        <w:t xml:space="preserve">DOI: 10.48550/arXiv.2101.03961.</w:t>
      </w:r>
    </w:p>
    <w:p>
      <w:pPr>
        <w:pStyle w:val="Compact"/>
        <w:numPr>
          <w:ilvl w:val="0"/>
          <w:numId w:val="1001"/>
        </w:numPr>
      </w:pPr>
      <w:r>
        <w:t xml:space="preserve">Shazeer, N. et al. Outrageously Large Neural Networks: The Sparsely-Gated</w:t>
      </w:r>
      <w:r>
        <w:t xml:space="preserve"> </w:t>
      </w:r>
      <w:r>
        <w:t xml:space="preserve">Mixture-of-Experts Layer. ICLR, 2017. DOI: 10.48550/arXiv.1701.06538.</w:t>
      </w:r>
    </w:p>
    <w:p>
      <w:pPr>
        <w:pStyle w:val="Compact"/>
        <w:numPr>
          <w:ilvl w:val="0"/>
          <w:numId w:val="1001"/>
        </w:numPr>
      </w:pPr>
      <w:r>
        <w:t xml:space="preserve">Zhou, Y. et al. Mixture-of-Experts with Expert Choice Routing. NeurIPS,</w:t>
      </w:r>
    </w:p>
    <w:p>
      <w:pPr>
        <w:pStyle w:val="Compact"/>
        <w:numPr>
          <w:ilvl w:val="1"/>
          <w:numId w:val="1002"/>
        </w:numPr>
      </w:pPr>
      <w:r>
        <w:t xml:space="preserve">DOI: 10.48550/arXiv.2202.09368.</w:t>
      </w:r>
    </w:p>
    <w:p>
      <w:pPr>
        <w:pStyle w:val="Compact"/>
        <w:numPr>
          <w:ilvl w:val="0"/>
          <w:numId w:val="1001"/>
        </w:numPr>
      </w:pPr>
      <w:r>
        <w:t xml:space="preserve">Zoph, B. et al. ST-MoE: Designing Stable and Transferable Sparse Expert</w:t>
      </w:r>
      <w:r>
        <w:t xml:space="preserve"> </w:t>
      </w:r>
      <w:r>
        <w:t xml:space="preserve">Models. 2022. DOI: 10.48550/arXiv.2202.08906.</w:t>
      </w:r>
    </w:p>
    <w:p>
      <w:pPr>
        <w:pStyle w:val="Compact"/>
        <w:numPr>
          <w:ilvl w:val="0"/>
          <w:numId w:val="1001"/>
        </w:numPr>
      </w:pPr>
      <w:r>
        <w:t xml:space="preserve">Kingma, D. P. and Ba, J. Adam: A Method for Stochastic Optimization.</w:t>
      </w:r>
      <w:r>
        <w:t xml:space="preserve"> </w:t>
      </w:r>
      <w:r>
        <w:t xml:space="preserve">ICLR, 2015. DOI: 10.48550/arXiv.1412.6980.</w:t>
      </w:r>
    </w:p>
    <w:p>
      <w:pPr>
        <w:pStyle w:val="Compact"/>
        <w:numPr>
          <w:ilvl w:val="0"/>
          <w:numId w:val="1001"/>
        </w:numPr>
      </w:pPr>
      <w:r>
        <w:t xml:space="preserve">Devlin, J. et al. BERT: Pre-training of Deep Bidirectional Transformers</w:t>
      </w:r>
      <w:r>
        <w:t xml:space="preserve"> </w:t>
      </w:r>
      <w:r>
        <w:t xml:space="preserve">for Language Understanding. NAACL, 2019. DOI: 10.18653/v1/N19-1423.</w:t>
      </w:r>
    </w:p>
    <w:p>
      <w:pPr>
        <w:pStyle w:val="Compact"/>
        <w:numPr>
          <w:ilvl w:val="0"/>
          <w:numId w:val="1001"/>
        </w:numPr>
      </w:pPr>
      <w:r>
        <w:t xml:space="preserve">Vaswani, A. et al. Attention Is All You Need. NeurIPS, 2017.</w:t>
      </w:r>
      <w:r>
        <w:t xml:space="preserve"> </w:t>
      </w:r>
      <w:r>
        <w:t xml:space="preserve">DOI: 10.48550/arXiv.1706.03762.</w:t>
      </w:r>
    </w:p>
    <w:p>
      <w:pPr>
        <w:pStyle w:val="Compact"/>
        <w:numPr>
          <w:ilvl w:val="0"/>
          <w:numId w:val="1001"/>
        </w:numPr>
      </w:pPr>
      <w:r>
        <w:t xml:space="preserve">Cuturi, M. Sinkhorn Distances: Lightspeed Computation of Optimal</w:t>
      </w:r>
      <w:r>
        <w:t xml:space="preserve"> </w:t>
      </w:r>
      <w:r>
        <w:t xml:space="preserve">Transport. NeurIPS, 2013. DOI: 10.48550/arXiv.1306.0744.</w:t>
      </w:r>
    </w:p>
    <w:p>
      <w:pPr>
        <w:pStyle w:val="Compact"/>
        <w:numPr>
          <w:ilvl w:val="0"/>
          <w:numId w:val="1001"/>
        </w:numPr>
      </w:pPr>
      <w:r>
        <w:t xml:space="preserve">Loshchilov, I. and Hutter, F. Decoupled Weight Decay Regularization.</w:t>
      </w:r>
      <w:r>
        <w:t xml:space="preserve"> </w:t>
      </w:r>
      <w:r>
        <w:t xml:space="preserve">ICLR, 2019. DOI: 10.48550/arXiv.1711.05101.</w:t>
      </w:r>
    </w:p>
    <w:p>
      <w:pPr>
        <w:pStyle w:val="Compact"/>
        <w:numPr>
          <w:ilvl w:val="0"/>
          <w:numId w:val="1001"/>
        </w:numPr>
      </w:pPr>
      <w:r>
        <w:t xml:space="preserve">Raffel, C. et al. Exploring the Limits of Transfer Learning with a</w:t>
      </w:r>
      <w:r>
        <w:t xml:space="preserve"> </w:t>
      </w:r>
      <w:r>
        <w:t xml:space="preserve">Unified Text-to-Text Transformer. JMLR, 2020.</w:t>
      </w:r>
      <w:r>
        <w:t xml:space="preserve"> </w:t>
      </w:r>
      <w:r>
        <w:t xml:space="preserve">DOI: 10.48550/arXiv.1910.10683.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022">
    <w:nsid w:val="A99412022"/>
    <w:multiLevelType w:val="multilevel"/>
    <w:lvl w:ilvl="0">
      <w:start w:val="2022"/>
      <w:numFmt w:val="decimal"/>
      <w:lvlText w:val="%1."/>
      <w:lvlJc w:val="left"/>
      <w:pPr>
        <w:ind w:left="720" w:hanging="360"/>
      </w:pPr>
    </w:lvl>
    <w:lvl w:ilvl="1">
      <w:start w:val="2022"/>
      <w:numFmt w:val="decimal"/>
      <w:lvlText w:val="%2."/>
      <w:lvlJc w:val="left"/>
      <w:pPr>
        <w:ind w:left="1440" w:hanging="360"/>
      </w:pPr>
    </w:lvl>
    <w:lvl w:ilvl="2">
      <w:start w:val="2022"/>
      <w:numFmt w:val="decimal"/>
      <w:lvlText w:val="%3."/>
      <w:lvlJc w:val="left"/>
      <w:pPr>
        <w:ind w:left="2160" w:hanging="360"/>
      </w:pPr>
    </w:lvl>
    <w:lvl w:ilvl="3">
      <w:start w:val="2022"/>
      <w:numFmt w:val="decimal"/>
      <w:lvlText w:val="%4."/>
      <w:lvlJc w:val="left"/>
      <w:pPr>
        <w:ind w:left="2880" w:hanging="360"/>
      </w:pPr>
    </w:lvl>
    <w:lvl w:ilvl="4">
      <w:start w:val="2022"/>
      <w:numFmt w:val="decimal"/>
      <w:lvlText w:val="%5."/>
      <w:lvlJc w:val="left"/>
      <w:pPr>
        <w:ind w:left="3600" w:hanging="360"/>
      </w:pPr>
    </w:lvl>
    <w:lvl w:ilvl="5">
      <w:start w:val="2022"/>
      <w:numFmt w:val="decimal"/>
      <w:lvlText w:val="%6."/>
      <w:lvlJc w:val="left"/>
      <w:pPr>
        <w:ind w:left="4320" w:hanging="360"/>
      </w:pPr>
    </w:lvl>
    <w:lvl w:ilvl="6">
      <w:start w:val="2022"/>
      <w:numFmt w:val="decimal"/>
      <w:lvlText w:val="%7."/>
      <w:lvlJc w:val="left"/>
      <w:pPr>
        <w:ind w:left="5040" w:hanging="360"/>
      </w:pPr>
    </w:lvl>
    <w:lvl w:ilvl="7">
      <w:start w:val="2022"/>
      <w:numFmt w:val="decimal"/>
      <w:lvlText w:val="%8."/>
      <w:lvlJc w:val="left"/>
      <w:pPr>
        <w:ind w:left="5760" w:hanging="360"/>
      </w:pPr>
    </w:lvl>
    <w:lvl w:ilvl="8">
      <w:start w:val="20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022"/>
    <w:lvlOverride w:ilvl="0">
      <w:startOverride w:val="2022"/>
    </w:lvlOverride>
    <w:lvlOverride w:ilvl="1">
      <w:startOverride w:val="2022"/>
    </w:lvlOverride>
    <w:lvlOverride w:ilvl="2">
      <w:startOverride w:val="2022"/>
    </w:lvlOverride>
    <w:lvlOverride w:ilvl="3">
      <w:startOverride w:val="2022"/>
    </w:lvlOverride>
    <w:lvlOverride w:ilvl="4">
      <w:startOverride w:val="2022"/>
    </w:lvlOverride>
    <w:lvlOverride w:ilvl="5">
      <w:startOverride w:val="2022"/>
    </w:lvlOverride>
    <w:lvlOverride w:ilvl="6">
      <w:startOverride w:val="2022"/>
    </w:lvlOverride>
    <w:lvlOverride w:ilvl="7">
      <w:startOverride w:val="2022"/>
    </w:lvlOverride>
    <w:lvlOverride w:ilvl="8">
      <w:startOverride w:val="20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2026-04-20T06:09:24Z</dcterms:created>
  <dcterms:modified xsi:type="dcterms:W3CDTF">2026-04-20T06:09:24Z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