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2A57"/>
          <w:sz w:val="68"/>
        </w:rPr>
        <w:t>DocShield</w:t>
      </w:r>
    </w:p>
    <w:p>
      <w:pPr>
        <w:jc w:val="center"/>
      </w:pPr>
      <w:r>
        <w:rPr>
          <w:color w:val="205BBE"/>
          <w:sz w:val="36"/>
        </w:rPr>
        <w:t>Mature MVP Product Requirements Document</w:t>
      </w:r>
    </w:p>
    <w:p>
      <w:pPr>
        <w:jc w:val="center"/>
      </w:pPr>
      <w:r>
        <w:rPr>
          <w:i/>
          <w:sz w:val="22"/>
        </w:rPr>
        <w:t>Zero-content document passport, fingerprinting, embedded AI policy tags, signing history, and anomaly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8208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Product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DocShield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Mature MVP PRD v1.0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Product model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Enterprise-hosted application + DocShield blind backend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Tier 1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Fingerprinting with embedded AI policy tags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Tier 2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Monitoring dashboard with anomaly detection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MVP posture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Pilot-ready, privacy-preserving, no raw document ingestion</w:t>
            </w:r>
          </w:p>
        </w:tc>
      </w:tr>
    </w:tbl>
    <w:p>
      <w:r/>
    </w:p>
    <w:p>
      <w:pPr>
        <w:pStyle w:val="Callout"/>
      </w:pPr>
      <w:r>
        <w:rPr>
          <w:b/>
        </w:rPr>
        <w:t xml:space="preserve">Positioning: </w:t>
      </w:r>
      <w:r>
        <w:t>DocShield gives organizations a way to make PDFs verifiable, policy-aware, and trackable through controlled distribution without sending document content to DocShield.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DocShield is a zero-content document passport platform for enterprises that need to prove document origin, attach machine-readable AI and sharing policies, maintain a multi-party signing history, and monitor controlled document distribution. The mature MVP is designed for enterprise pilots where the customer hosts the web application and local processing layer, while DocShield hosts a blind backend that stores only non-content metadata such as hashes, public keys, signed manifests, policy status, and access telemetry.</w:t>
      </w:r>
    </w:p>
    <w:p>
      <w:r>
        <w:t>The product avoids automatic sensitive-data scanning. Customers decide the policy manually or through their own internal rules. DocShield provides the fingerprinting, signing, embedding, verification, and telemetry framework.</w:t>
      </w:r>
    </w:p>
    <w:p>
      <w:r>
        <w:t>The mature MVP has two commercial tiers:</w:t>
      </w:r>
    </w:p>
    <w:p>
      <w:pPr>
        <w:pStyle w:val="ListBullet"/>
      </w:pPr>
      <w:r>
        <w:t>Tier 1 - Fingerprinting + Embedded AI Tags: create a document fingerprint, attach a signed policy manifest, embed AI usage tags into the PDF, verify tamper status, and support layered signing history.</w:t>
      </w:r>
    </w:p>
    <w:p>
      <w:pPr>
        <w:pStyle w:val="ListBullet"/>
      </w:pPr>
      <w:r>
        <w:t>Tier 2 - Dashboard + Anomaly Detection: add secure-link distribution, access telemetry, rules-based exposure scoring, abnormal download detection, geography summaries, and audit views.</w:t>
      </w:r>
    </w:p>
    <w:p>
      <w:pPr>
        <w:pStyle w:val="Heading1"/>
      </w:pPr>
      <w:r>
        <w:t>2. Problem Statement</w:t>
      </w:r>
    </w:p>
    <w:p>
      <w:r>
        <w:t>Enterprises exchange PDFs across vendors, customers, partners, and AI-enabled workflows, but once a file leaves the original system, three controls degrade quickly: provenance, policy enforcement, and visibility. Existing file-sharing and DLP tools can help inside a managed environment, but they do not provide a lightweight, machine-readable passport that travels with the document and can be verified by compatible tools.</w:t>
      </w:r>
    </w:p>
    <w:p>
      <w:r>
        <w:t>The core problem is not that organizations cannot store documents securely; it is that recipients, downstream systems, and AI upload tools lack a simple way to answer four questions:</w:t>
      </w:r>
    </w:p>
    <w:p>
      <w:pPr>
        <w:pStyle w:val="ListNumber"/>
      </w:pPr>
      <w:r>
        <w:t>Who issued this document?</w:t>
      </w:r>
    </w:p>
    <w:p>
      <w:pPr>
        <w:pStyle w:val="ListNumber"/>
      </w:pPr>
      <w:r>
        <w:t>Has the document or policy manifest been changed since signing?</w:t>
      </w:r>
    </w:p>
    <w:p>
      <w:pPr>
        <w:pStyle w:val="ListNumber"/>
      </w:pPr>
      <w:r>
        <w:t>Is this file allowed to be uploaded into external AI tools?</w:t>
      </w:r>
    </w:p>
    <w:p>
      <w:pPr>
        <w:pStyle w:val="ListNumber"/>
      </w:pPr>
      <w:r>
        <w:t>Where has this document been accessed when shared through controlled links?</w:t>
      </w:r>
    </w:p>
    <w:p>
      <w:pPr>
        <w:pStyle w:val="Heading1"/>
      </w:pPr>
      <w:r>
        <w:t>3. Product Goals and Non-Goals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224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252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684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Goal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Zero-content trust layer</w:t>
            </w:r>
          </w:p>
        </w:tc>
        <w:tc>
          <w:tcPr>
            <w:tcW w:type="dxa" w:w="6840"/>
            <w:vAlign w:val="top"/>
          </w:tcPr>
          <w:p>
            <w:r/>
            <w:r>
              <w:rPr>
                <w:b w:val="0"/>
                <w:sz w:val="16"/>
              </w:rPr>
              <w:t>Enable document trust without DocShield reading, storing, or processing raw document content.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Goal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Policy-aware documents</w:t>
            </w:r>
          </w:p>
        </w:tc>
        <w:tc>
          <w:tcPr>
            <w:tcW w:type="dxa" w:w="6840"/>
            <w:vAlign w:val="top"/>
          </w:tcPr>
          <w:p>
            <w:r/>
            <w:r>
              <w:rPr>
                <w:b w:val="0"/>
                <w:sz w:val="16"/>
              </w:rPr>
              <w:t>Attach machine-readable rules such as No External AI, Secure Link Only, No Forwarding, Public Sharing Blocked.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Goal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Layered signing history</w:t>
            </w:r>
          </w:p>
        </w:tc>
        <w:tc>
          <w:tcPr>
            <w:tcW w:type="dxa" w:w="6840"/>
            <w:vAlign w:val="top"/>
          </w:tcPr>
          <w:p>
            <w:r/>
            <w:r>
              <w:rPr>
                <w:b w:val="0"/>
                <w:sz w:val="16"/>
              </w:rPr>
              <w:t>Support multiple signatures over a document lifecycle: issuer, sender, recipient, approver, confirmer, and reissuer.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Goal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Controlled-share visibility</w:t>
            </w:r>
          </w:p>
        </w:tc>
        <w:tc>
          <w:tcPr>
            <w:tcW w:type="dxa" w:w="6840"/>
            <w:vAlign w:val="top"/>
          </w:tcPr>
          <w:p>
            <w:r/>
            <w:r>
              <w:rPr>
                <w:b w:val="0"/>
                <w:sz w:val="16"/>
              </w:rPr>
              <w:t>Provide access telemetry and anomaly signals when customers distribute documents through DocShield-compatible secure links.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Non-goal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Automatic PII detection</w:t>
            </w:r>
          </w:p>
        </w:tc>
        <w:tc>
          <w:tcPr>
            <w:tcW w:type="dxa" w:w="6840"/>
            <w:vAlign w:val="top"/>
          </w:tcPr>
          <w:p>
            <w:r/>
            <w:r>
              <w:rPr>
                <w:b w:val="0"/>
                <w:sz w:val="16"/>
              </w:rPr>
              <w:t>Not included. Customers choose the policy; DocShield does not scan document contents.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Non-goal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Universal tracking</w:t>
            </w:r>
          </w:p>
        </w:tc>
        <w:tc>
          <w:tcPr>
            <w:tcW w:type="dxa" w:w="6840"/>
            <w:vAlign w:val="top"/>
          </w:tcPr>
          <w:p>
            <w:r/>
            <w:r>
              <w:rPr>
                <w:b w:val="0"/>
                <w:sz w:val="16"/>
              </w:rPr>
              <w:t>Cannot reliably track raw PDFs everywhere after offline download, screenshot, print, or metadata stripping.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Non-goal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Dark web removal</w:t>
            </w:r>
          </w:p>
        </w:tc>
        <w:tc>
          <w:tcPr>
            <w:tcW w:type="dxa" w:w="6840"/>
            <w:vAlign w:val="top"/>
          </w:tcPr>
          <w:p>
            <w:r/>
            <w:r>
              <w:rPr>
                <w:b w:val="0"/>
                <w:sz w:val="16"/>
              </w:rPr>
              <w:t>Not included in MVP. Future leak identification can only work when a candidate file is available for extraction/verification.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b w:val="0"/>
                <w:sz w:val="16"/>
              </w:rPr>
              <w:t>Non-goal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Enterprise DLP replacement</w:t>
            </w:r>
          </w:p>
        </w:tc>
        <w:tc>
          <w:tcPr>
            <w:tcW w:type="dxa" w:w="6840"/>
            <w:vAlign w:val="top"/>
          </w:tcPr>
          <w:p>
            <w:r/>
            <w:r>
              <w:rPr>
                <w:b w:val="0"/>
                <w:sz w:val="16"/>
              </w:rPr>
              <w:t>DocShield complements DLP and file-sharing systems; it is not a full policy enforcement suite for every channel.</w:t>
            </w:r>
          </w:p>
        </w:tc>
      </w:tr>
    </w:tbl>
    <w:p>
      <w:pPr>
        <w:pStyle w:val="Heading1"/>
      </w:pPr>
      <w:r>
        <w:t>4. Target Users and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Persona</w:t>
            </w:r>
          </w:p>
        </w:tc>
        <w:tc>
          <w:tcPr>
            <w:tcW w:type="dxa" w:w="4032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Primary Need</w:t>
            </w:r>
          </w:p>
        </w:tc>
        <w:tc>
          <w:tcPr>
            <w:tcW w:type="dxa" w:w="4176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MVP Outcome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Security / Risk Owner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Reduce uncontrolled AI upload and downstream document ambiguity.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Can define default policy templates and see verification/adoption metrics.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Business Document Issuer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Send a document with proof of origin and stated usage policy.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Can issue a protected PDF without understanding cryptography.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Recipient / Partner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Know whether a document is authentic and what policy applies.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Can verify issuer, tamper status, and signing history.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AI Gateway / App Developer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Decide whether a PDF may be uploaded into an AI workflow.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Can read embedded tags and call verification API.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Auditor / Compliance Reviewer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Reconstruct document history and access events.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Can export signing chain and access timeline.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DocShield Admin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Manage tenants, keys, SDK versions, and telemetry health.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Can operate the blind backend without seeing customer data.</w:t>
            </w:r>
          </w:p>
        </w:tc>
      </w:tr>
    </w:tbl>
    <w:p>
      <w:r>
        <w:br w:type="page"/>
      </w:r>
    </w:p>
    <w:p>
      <w:pPr>
        <w:pStyle w:val="Heading1"/>
      </w:pPr>
      <w:r>
        <w:t>5. Mature MVP Architecture</w:t>
      </w:r>
    </w:p>
    <w:p>
      <w:r>
        <w:t>Architecture principle: customer-owned content stays inside the customer's environment. DocShield provides SDKs, manifests, verification services, key registry, telemetry ingestion, and dashboard services. The customer-hosted app and local processor handle raw PDFs and embedding operations.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7241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shield_mature_mvp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24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1. Mature MVP architecture: enterprise-hosted app, local fingerprinting/embedding, blind backend, verifier gateway, and tiered dashboard.</w:t>
      </w:r>
    </w:p>
    <w:p>
      <w:pPr>
        <w:pStyle w:val="Heading1"/>
      </w:pPr>
      <w:r>
        <w:t>6. Deployment and Trust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448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2016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Hosted By</w:t>
            </w:r>
          </w:p>
        </w:tc>
        <w:tc>
          <w:tcPr>
            <w:tcW w:type="dxa" w:w="144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Sees Raw PDF?</w:t>
            </w:r>
          </w:p>
        </w:tc>
        <w:tc>
          <w:tcPr>
            <w:tcW w:type="dxa" w:w="4608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MVP Responsibility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Enterprise Web App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User workflow, PDF upload, policy selection, local processing orchestration.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Local Processing Agent / SDK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Compute hash, create document ID, embed passport, append signing events.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DocShield Backend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DocShield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Tenant registry, public keys, signed manifest registry, verification endpoint, telemetry ingestion.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Secure Share Gateway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Customer or DocShield-managed dedicated tenant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Configurable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Issue links, enforce auth/token checks, serve protected files, emit access events.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Verifier / AI Gateway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Customer, partner, or AI app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Only uploaded file at point of use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Read passport, verify signatures, enforce AI policy tag.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Dashboard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DocShield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No raw content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Display access events, document metadata, policy state, risk signals, audit trails.</w:t>
            </w:r>
          </w:p>
        </w:tc>
      </w:tr>
    </w:tbl>
    <w:p>
      <w:pPr>
        <w:pStyle w:val="Heading1"/>
      </w:pPr>
      <w:r>
        <w:t>7. Product Tiers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008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2304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4608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Included Capabilities</w:t>
            </w:r>
          </w:p>
        </w:tc>
        <w:tc>
          <w:tcPr>
            <w:tcW w:type="dxa" w:w="2592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Buyer Value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Tier 1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Fingerprinting + Embedded AI Tags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Local fingerprinting SDK; document passport schema; AI policy tags; PDF metadata embedding; optional visible footer/QR; signature chain; verification API; sample AI upload gateway.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Makes documents verifiable and policy-aware without content scanning.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Tier 2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Dashboard + Anomaly Detection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Secure-link telemetry; access logs; viewer/IP summary; geography summary; download spike detection; rules-based anomaly score; alert queue; audit export.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Adds visibility into controlled distribution and abnormal sharing patterns.</w:t>
            </w:r>
          </w:p>
        </w:tc>
      </w:tr>
    </w:tbl>
    <w:p>
      <w:pPr>
        <w:pStyle w:val="Heading1"/>
      </w:pPr>
      <w:r>
        <w:t>8. End-to-End User Flow</w:t>
      </w:r>
    </w:p>
    <w:p>
      <w:pPr>
        <w:pStyle w:val="ListNumber"/>
      </w:pPr>
      <w:r>
        <w:t>Tenant administrator installs the DocShield local processing package and configures tenant identity, issuer keys, policy templates, and allowed verifier endpoints.</w:t>
      </w:r>
    </w:p>
    <w:p>
      <w:pPr>
        <w:pStyle w:val="ListNumber"/>
      </w:pPr>
      <w:r>
        <w:t>Issuer opens the customer-hosted DocShield web app and uploads a PDF. The file remains inside the customer's environment.</w:t>
      </w:r>
    </w:p>
    <w:p>
      <w:pPr>
        <w:pStyle w:val="ListNumber"/>
      </w:pPr>
      <w:r>
        <w:t>Issuer enters recipient and chooses a policy template such as No External AI, Secure Link Only, No Forwarding, or Public Sharing Blocked.</w:t>
      </w:r>
    </w:p>
    <w:p>
      <w:pPr>
        <w:pStyle w:val="ListNumber"/>
      </w:pPr>
      <w:r>
        <w:t>Local processor computes a fingerprint, creates a document ID, builds a policy manifest, signs it, and embeds the passport into the PDF metadata plus optional visible footer/QR.</w:t>
      </w:r>
    </w:p>
    <w:p>
      <w:pPr>
        <w:pStyle w:val="ListNumber"/>
      </w:pPr>
      <w:r>
        <w:t>If the document is sent through secure-link mode, the share gateway issues a unique link and logs access events without exposing document contents to the blind backend.</w:t>
      </w:r>
    </w:p>
    <w:p>
      <w:pPr>
        <w:pStyle w:val="ListNumber"/>
      </w:pPr>
      <w:r>
        <w:t>When a compatible AI gateway or verifier receives the PDF, it reads the embedded passport, verifies the signature chain, checks the AI policy tag, and allows or blocks the upload.</w:t>
      </w:r>
    </w:p>
    <w:p>
      <w:pPr>
        <w:pStyle w:val="ListNumber"/>
      </w:pPr>
      <w:r>
        <w:t>Tier 2 dashboard aggregates telemetry and displays document history, access timeline, unusual download patterns, and anomaly score.</w:t>
      </w:r>
    </w:p>
    <w:p>
      <w:pPr>
        <w:pStyle w:val="Heading1"/>
      </w:pPr>
      <w:r>
        <w:t>9. Core Data Objects</w:t>
      </w:r>
    </w:p>
    <w:p>
      <w:r>
        <w:t>DocShield stores only non-content records. The following objects define the mature MVP data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232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Object</w:t>
            </w:r>
          </w:p>
        </w:tc>
        <w:tc>
          <w:tcPr>
            <w:tcW w:type="dxa" w:w="3168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5112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Representative Fields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Tenant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Organization boundary and configuration.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tenant_id, org_name, domain, policy_templates, key_ids, admin_users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Document Manifest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Signed passport attached to a document.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schema_version, document_id, tenant_id, fingerprint, policy, created_at, issuer_key_id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Embedded AI Tags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Machine-readable policy fields used by AI gateways.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external_ai_upload, training_allowed, summarization_allowed, retention_allowed, secure_link_required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Signature History Entry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Append-only lifecycle event.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event_id, action, actor_org, actor_key_id, timestamp, previous_event_hash, signature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Access Event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Telemetry from secure-link distribution.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event_id, document_id, link_id, timestamp, IP hash, user agent hash, country, action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b w:val="0"/>
                <w:sz w:val="16"/>
              </w:rPr>
              <w:t>Risk Signal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Derived anomaly finding.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6"/>
              </w:rPr>
              <w:t>document_id, score, reason_codes, generated_at, severity</w:t>
            </w:r>
          </w:p>
        </w:tc>
      </w:tr>
    </w:tbl>
    <w:p>
      <w:pPr>
        <w:pStyle w:val="Heading1"/>
      </w:pPr>
      <w:r>
        <w:t>10. Manifest and Signing History Example</w:t>
      </w:r>
    </w:p>
    <w:p>
      <w:r>
        <w:rPr>
          <w:rFonts w:ascii="Courier New" w:hAnsi="Courier New" w:eastAsia="Courier New"/>
          <w:sz w:val="14"/>
        </w:rPr>
        <w:t>{</w:t>
        <w:br/>
      </w:r>
      <w:r>
        <w:rPr>
          <w:rFonts w:ascii="Courier New" w:hAnsi="Courier New" w:eastAsia="Courier New"/>
          <w:sz w:val="14"/>
        </w:rPr>
        <w:t xml:space="preserve">  "schema_version": "1.0",</w:t>
        <w:br/>
      </w:r>
      <w:r>
        <w:rPr>
          <w:rFonts w:ascii="Courier New" w:hAnsi="Courier New" w:eastAsia="Courier New"/>
          <w:sz w:val="14"/>
        </w:rPr>
        <w:t xml:space="preserve">  "tenant_id": "tenant_acme",</w:t>
        <w:br/>
      </w:r>
      <w:r>
        <w:rPr>
          <w:rFonts w:ascii="Courier New" w:hAnsi="Courier New" w:eastAsia="Courier New"/>
          <w:sz w:val="14"/>
        </w:rPr>
        <w:t xml:space="preserve">  "document_id": "doc_7f92ab31",</w:t>
        <w:br/>
      </w:r>
      <w:r>
        <w:rPr>
          <w:rFonts w:ascii="Courier New" w:hAnsi="Courier New" w:eastAsia="Courier New"/>
          <w:sz w:val="14"/>
        </w:rPr>
        <w:t xml:space="preserve">  "content_fingerprint": "sha256:&lt;computed-inside-tenant&gt;",</w:t>
        <w:br/>
      </w:r>
      <w:r>
        <w:rPr>
          <w:rFonts w:ascii="Courier New" w:hAnsi="Courier New" w:eastAsia="Courier New"/>
          <w:sz w:val="14"/>
        </w:rPr>
        <w:t xml:space="preserve">  "policy": {</w:t>
        <w:br/>
      </w:r>
      <w:r>
        <w:rPr>
          <w:rFonts w:ascii="Courier New" w:hAnsi="Courier New" w:eastAsia="Courier New"/>
          <w:sz w:val="14"/>
        </w:rPr>
        <w:t xml:space="preserve">    "external_ai_upload": "blocked",</w:t>
        <w:br/>
      </w:r>
      <w:r>
        <w:rPr>
          <w:rFonts w:ascii="Courier New" w:hAnsi="Courier New" w:eastAsia="Courier New"/>
          <w:sz w:val="14"/>
        </w:rPr>
        <w:t xml:space="preserve">    "secure_link_required": true,</w:t>
        <w:br/>
      </w:r>
      <w:r>
        <w:rPr>
          <w:rFonts w:ascii="Courier New" w:hAnsi="Courier New" w:eastAsia="Courier New"/>
          <w:sz w:val="14"/>
        </w:rPr>
        <w:t xml:space="preserve">    "forwarding": "blocked",</w:t>
        <w:br/>
      </w:r>
      <w:r>
        <w:rPr>
          <w:rFonts w:ascii="Courier New" w:hAnsi="Courier New" w:eastAsia="Courier New"/>
          <w:sz w:val="14"/>
        </w:rPr>
        <w:t xml:space="preserve">    "public_sharing": "blocked"</w:t>
        <w:br/>
      </w:r>
      <w:r>
        <w:rPr>
          <w:rFonts w:ascii="Courier New" w:hAnsi="Courier New" w:eastAsia="Courier New"/>
          <w:sz w:val="14"/>
        </w:rPr>
        <w:t xml:space="preserve">  },</w:t>
        <w:br/>
      </w:r>
      <w:r>
        <w:rPr>
          <w:rFonts w:ascii="Courier New" w:hAnsi="Courier New" w:eastAsia="Courier New"/>
          <w:sz w:val="14"/>
        </w:rPr>
        <w:t xml:space="preserve">  "embedded_ai_tags": [</w:t>
        <w:br/>
      </w:r>
      <w:r>
        <w:rPr>
          <w:rFonts w:ascii="Courier New" w:hAnsi="Courier New" w:eastAsia="Courier New"/>
          <w:sz w:val="14"/>
        </w:rPr>
        <w:t xml:space="preserve">    "NO_EXTERNAL_AI",</w:t>
        <w:br/>
      </w:r>
      <w:r>
        <w:rPr>
          <w:rFonts w:ascii="Courier New" w:hAnsi="Courier New" w:eastAsia="Courier New"/>
          <w:sz w:val="14"/>
        </w:rPr>
        <w:t xml:space="preserve">    "SECURE_LINK_ONLY"</w:t>
        <w:br/>
      </w:r>
      <w:r>
        <w:rPr>
          <w:rFonts w:ascii="Courier New" w:hAnsi="Courier New" w:eastAsia="Courier New"/>
          <w:sz w:val="14"/>
        </w:rPr>
        <w:t xml:space="preserve">  ],</w:t>
        <w:br/>
      </w:r>
      <w:r>
        <w:rPr>
          <w:rFonts w:ascii="Courier New" w:hAnsi="Courier New" w:eastAsia="Courier New"/>
          <w:sz w:val="14"/>
        </w:rPr>
        <w:t xml:space="preserve">  "history": [</w:t>
        <w:br/>
      </w:r>
      <w:r>
        <w:rPr>
          <w:rFonts w:ascii="Courier New" w:hAnsi="Courier New" w:eastAsia="Courier New"/>
          <w:sz w:val="14"/>
        </w:rPr>
        <w:t xml:space="preserve">    {</w:t>
        <w:br/>
      </w:r>
      <w:r>
        <w:rPr>
          <w:rFonts w:ascii="Courier New" w:hAnsi="Courier New" w:eastAsia="Courier New"/>
          <w:sz w:val="14"/>
        </w:rPr>
        <w:t xml:space="preserve">      "event": "issued",</w:t>
        <w:br/>
      </w:r>
      <w:r>
        <w:rPr>
          <w:rFonts w:ascii="Courier New" w:hAnsi="Courier New" w:eastAsia="Courier New"/>
          <w:sz w:val="14"/>
        </w:rPr>
        <w:t xml:space="preserve">      "actor_org": "SupplierCo",</w:t>
        <w:br/>
      </w:r>
      <w:r>
        <w:rPr>
          <w:rFonts w:ascii="Courier New" w:hAnsi="Courier New" w:eastAsia="Courier New"/>
          <w:sz w:val="14"/>
        </w:rPr>
        <w:t xml:space="preserve">      "timestamp": "2026-06-20T18:30:00Z",</w:t>
        <w:br/>
      </w:r>
      <w:r>
        <w:rPr>
          <w:rFonts w:ascii="Courier New" w:hAnsi="Courier New" w:eastAsia="Courier New"/>
          <w:sz w:val="14"/>
        </w:rPr>
        <w:t xml:space="preserve">      "signature": "ed25519:&lt;signature&gt;"</w:t>
        <w:br/>
      </w:r>
      <w:r>
        <w:rPr>
          <w:rFonts w:ascii="Courier New" w:hAnsi="Courier New" w:eastAsia="Courier New"/>
          <w:sz w:val="14"/>
        </w:rPr>
        <w:t xml:space="preserve">    },</w:t>
        <w:br/>
      </w:r>
      <w:r>
        <w:rPr>
          <w:rFonts w:ascii="Courier New" w:hAnsi="Courier New" w:eastAsia="Courier New"/>
          <w:sz w:val="14"/>
        </w:rPr>
        <w:t xml:space="preserve">    {</w:t>
        <w:br/>
      </w:r>
      <w:r>
        <w:rPr>
          <w:rFonts w:ascii="Courier New" w:hAnsi="Courier New" w:eastAsia="Courier New"/>
          <w:sz w:val="14"/>
        </w:rPr>
        <w:t xml:space="preserve">      "event": "confirmed_received",</w:t>
        <w:br/>
      </w:r>
      <w:r>
        <w:rPr>
          <w:rFonts w:ascii="Courier New" w:hAnsi="Courier New" w:eastAsia="Courier New"/>
          <w:sz w:val="14"/>
        </w:rPr>
        <w:t xml:space="preserve">      "actor_org": "BuyerCo",</w:t>
        <w:br/>
      </w:r>
      <w:r>
        <w:rPr>
          <w:rFonts w:ascii="Courier New" w:hAnsi="Courier New" w:eastAsia="Courier New"/>
          <w:sz w:val="14"/>
        </w:rPr>
        <w:t xml:space="preserve">      "previous_event_hash": "sha256:&lt;prior-event&gt;",</w:t>
        <w:br/>
      </w:r>
      <w:r>
        <w:rPr>
          <w:rFonts w:ascii="Courier New" w:hAnsi="Courier New" w:eastAsia="Courier New"/>
          <w:sz w:val="14"/>
        </w:rPr>
        <w:t xml:space="preserve">      "timestamp": "2026-06-20T19:10:00Z",</w:t>
        <w:br/>
      </w:r>
      <w:r>
        <w:rPr>
          <w:rFonts w:ascii="Courier New" w:hAnsi="Courier New" w:eastAsia="Courier New"/>
          <w:sz w:val="14"/>
        </w:rPr>
        <w:t xml:space="preserve">      "signature": "ed25519:&lt;signature&gt;"</w:t>
        <w:br/>
      </w:r>
      <w:r>
        <w:rPr>
          <w:rFonts w:ascii="Courier New" w:hAnsi="Courier New" w:eastAsia="Courier New"/>
          <w:sz w:val="14"/>
        </w:rPr>
        <w:t xml:space="preserve">    }</w:t>
        <w:br/>
      </w:r>
      <w:r>
        <w:rPr>
          <w:rFonts w:ascii="Courier New" w:hAnsi="Courier New" w:eastAsia="Courier New"/>
          <w:sz w:val="14"/>
        </w:rPr>
        <w:t xml:space="preserve">  ]</w:t>
        <w:br/>
      </w:r>
      <w:r>
        <w:rPr>
          <w:rFonts w:ascii="Courier New" w:hAnsi="Courier New" w:eastAsia="Courier New"/>
          <w:sz w:val="14"/>
        </w:rPr>
        <w:t>}</w:t>
        <w:br/>
      </w:r>
    </w:p>
    <w:p>
      <w:r>
        <w:br w:type="page"/>
      </w:r>
    </w:p>
    <w:p>
      <w:pPr>
        <w:pStyle w:val="Heading1"/>
      </w:pPr>
      <w:r>
        <w:t>11.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936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88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Capability</w:t>
            </w:r>
          </w:p>
        </w:tc>
        <w:tc>
          <w:tcPr>
            <w:tcW w:type="dxa" w:w="1080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6480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Requirement</w:t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b w:val="0"/>
                <w:sz w:val="15"/>
              </w:rPr>
              <w:t>FR-01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5"/>
              </w:rPr>
              <w:t>Tenant setup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5"/>
              </w:rPr>
              <w:t>P0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5"/>
              </w:rPr>
              <w:t>Admin can register tenant, configure domains, policy templates, issuer identities, and public keys.</w:t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b w:val="0"/>
                <w:sz w:val="15"/>
              </w:rPr>
              <w:t>FR-02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5"/>
              </w:rPr>
              <w:t>Local SDK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5"/>
              </w:rPr>
              <w:t>P0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5"/>
              </w:rPr>
              <w:t>SDK computes hashes, creates document IDs, embeds passports, and appends signing history without sending content to DocShield.</w:t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b w:val="0"/>
                <w:sz w:val="15"/>
              </w:rPr>
              <w:t>FR-03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5"/>
              </w:rPr>
              <w:t>Policy manifest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5"/>
              </w:rPr>
              <w:t>P0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5"/>
              </w:rPr>
              <w:t>Manifest supports issuer, recipient, policy tags, fingerprint, timestamps, schema version, and signature references.</w:t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b w:val="0"/>
                <w:sz w:val="15"/>
              </w:rPr>
              <w:t>FR-04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5"/>
              </w:rPr>
              <w:t>Embedded AI tags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5"/>
              </w:rPr>
              <w:t>P0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5"/>
              </w:rPr>
              <w:t>PDF contains machine-readable tags for No External AI and other policy decisions.</w:t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b w:val="0"/>
                <w:sz w:val="15"/>
              </w:rPr>
              <w:t>FR-05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5"/>
              </w:rPr>
              <w:t>Signature history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5"/>
              </w:rPr>
              <w:t>P0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5"/>
              </w:rPr>
              <w:t>System supports multiple signed lifecycle events with previous-event hash chaining.</w:t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b w:val="0"/>
                <w:sz w:val="15"/>
              </w:rPr>
              <w:t>FR-06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5"/>
              </w:rPr>
              <w:t>Verification API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5"/>
              </w:rPr>
              <w:t>P0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5"/>
              </w:rPr>
              <w:t>Verifier can validate signature chain, tenant key status, policy state, and tamper status using document passport metadata.</w:t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b w:val="0"/>
                <w:sz w:val="15"/>
              </w:rPr>
              <w:t>FR-07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5"/>
              </w:rPr>
              <w:t>AI upload gateway sample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5"/>
              </w:rPr>
              <w:t>P0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5"/>
              </w:rPr>
              <w:t>Reference upload page blocks files tagged No External AI and explains the reason.</w:t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b w:val="0"/>
                <w:sz w:val="15"/>
              </w:rPr>
              <w:t>FR-08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5"/>
              </w:rPr>
              <w:t>Secure link issuance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5"/>
              </w:rPr>
              <w:t>P1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5"/>
              </w:rPr>
              <w:t>Issuer can create recipient-specific secure links with token checks and expiration.</w:t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b w:val="0"/>
                <w:sz w:val="15"/>
              </w:rPr>
              <w:t>FR-09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5"/>
              </w:rPr>
              <w:t>Access telemetry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5"/>
              </w:rPr>
              <w:t>P1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5"/>
              </w:rPr>
              <w:t>System logs open/download events, hashed IP/user-agent, timestamp, action, and derived geography.</w:t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b w:val="0"/>
                <w:sz w:val="15"/>
              </w:rPr>
              <w:t>FR-10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5"/>
              </w:rPr>
              <w:t>Anomaly scoring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5"/>
              </w:rPr>
              <w:t>P1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5"/>
              </w:rPr>
              <w:t>Dashboard flags high download volume, new geography, repeated failures, unusual time, or multiple viewer clusters.</w:t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b w:val="0"/>
                <w:sz w:val="15"/>
              </w:rPr>
              <w:t>FR-11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5"/>
              </w:rPr>
              <w:t>Audit export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5"/>
              </w:rPr>
              <w:t>P1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5"/>
              </w:rPr>
              <w:t>Admin can export manifest, signing history, verification status, and access event timeline.</w:t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b w:val="0"/>
                <w:sz w:val="15"/>
              </w:rPr>
              <w:t>FR-12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5"/>
              </w:rPr>
              <w:t>Revocation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5"/>
              </w:rPr>
              <w:t>P1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5"/>
              </w:rPr>
              <w:t>Admin can revoke a document or signing key; verifiers show revoked status on future checks.</w:t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b w:val="0"/>
                <w:sz w:val="15"/>
              </w:rPr>
              <w:t>FR-13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5"/>
              </w:rPr>
              <w:t>Role-based access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5"/>
              </w:rPr>
              <w:t>P1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5"/>
              </w:rPr>
              <w:t>Admin, issuer, auditor, and viewer roles have distinct access permissions.</w:t>
            </w:r>
          </w:p>
        </w:tc>
      </w:tr>
      <w:tr>
        <w:tc>
          <w:tcPr>
            <w:tcW w:type="dxa" w:w="936"/>
            <w:vAlign w:val="top"/>
          </w:tcPr>
          <w:p>
            <w:r/>
            <w:r>
              <w:rPr>
                <w:b w:val="0"/>
                <w:sz w:val="15"/>
              </w:rPr>
              <w:t>FR-14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5"/>
              </w:rPr>
              <w:t>API keys and webhooks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b w:val="0"/>
                <w:sz w:val="15"/>
              </w:rPr>
              <w:t>P2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5"/>
              </w:rPr>
              <w:t>Integrations can receive verification results, access events, and risk alerts.</w:t>
            </w:r>
          </w:p>
        </w:tc>
      </w:tr>
    </w:tbl>
    <w:p>
      <w:r>
        <w:br w:type="page"/>
      </w:r>
    </w:p>
    <w:p>
      <w:pPr>
        <w:pStyle w:val="Heading1"/>
      </w:pPr>
      <w:r>
        <w:t>12.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8496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Privacy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DocShield backend must never receive raw PDFs, OCR output, extracted text, or document previews. Content fingerprint is computed inside customer environment.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All backend APIs require OAuth2/client credentials or signed requests. Sensitive metadata is encrypted at rest. Key rotation is supported.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Availability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Verification API target availability for pilot: 99.5%. Local verifier should degrade gracefully using cached public keys when backend is unavailable.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Local processing target: protect a typical 10-page PDF in under 5 seconds. Verification target: under 500 ms backend round-trip excluding upload time.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Scalability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MVP target: 10 tenants, 100K document manifests, 1M access events.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Auditability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All administrative actions, key changes, policy changes, revocations, and verification decisions must be logged.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Interoperability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Manifest format should be JSON with stable schema versioning and a documented verifier contract.</w:t>
            </w:r>
          </w:p>
        </w:tc>
      </w:tr>
    </w:tbl>
    <w:p>
      <w:pPr>
        <w:pStyle w:val="Heading1"/>
      </w:pPr>
      <w:r>
        <w:t>13. Anomaly Detection Rules for Mature MVP</w:t>
      </w:r>
    </w:p>
    <w:p>
      <w:r>
        <w:t>The MVP should use transparent, rules-based risk scoring. Do not position it as heavy ML. The score should explain its reasons.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6048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type="dxa" w:w="216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Severity Contribution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Download spike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Downloads exceed tenant-defined threshold within a rolling time window.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Medium to High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New geography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Document accessed from a country not previously observed for the recipient or tenant.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Multiple viewer clusters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Same link accessed from several IP/user-agent clusters.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Repeated failed token checks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Several invalid token attempts against the same document/link.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Revoked document access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Access attempt after document or key revocation.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Policy conflict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Verifier sees No External AI tag but upload attempt continues or override is requested.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</w:tr>
    </w:tbl>
    <w:p>
      <w:r>
        <w:br w:type="page"/>
      </w:r>
    </w:p>
    <w:p>
      <w:pPr>
        <w:pStyle w:val="Heading1"/>
      </w:pPr>
      <w:r>
        <w:t>14. MVP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8064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Acceptance Criteria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Zero-content guarantee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A demo can show that raw PDFs remain in customer-hosted storage and only hashes/manifests/telemetry reach DocShield.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Document protection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User can upload a PDF inside enterprise app, choose policy, generate protected PDF, and download/share it.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Embedded policy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Protected PDF contains readable policy manifest and AI tags that the verifier can extract.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Verification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Verifier confirms issuer, signature validity, policy state, signing history, and revocation status.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AI upload control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Reference AI upload gateway blocks No External AI documents and allows policy-compliant documents.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Signing history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Two or more parties can append signed events and the verifier can show the event chain.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Dashboard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Tier 2 dashboard displays access events, risk score, alert reasons, and audit export.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No impossible claims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Pitch and UI do not claim universal offline tracking, automatic PII detection, dark web removal, or unremovable watermarking.</w:t>
            </w:r>
          </w:p>
        </w:tc>
      </w:tr>
    </w:tbl>
    <w:p>
      <w:pPr>
        <w:pStyle w:val="Heading1"/>
      </w:pPr>
      <w:r>
        <w:t>15. Pilot Demo Scenario</w:t>
      </w:r>
    </w:p>
    <w:p>
      <w:r>
        <w:t>Scenario: SupplierCo sends an invoice PDF to BuyerCo. SupplierCo signs it, BuyerCo confirms receipt, and the document blocks external AI upload. The secure-link dashboard first shows normal access, then flags simulated abnormal downloads from multiple geographies.</w:t>
      </w:r>
    </w:p>
    <w:p>
      <w:r>
        <w:t>1. Protect invoice PDF inside customer-hosted app.</w:t>
      </w:r>
    </w:p>
    <w:p>
      <w:r>
        <w:t>2. Apply policy: No External AI + Secure Link Only.</w:t>
      </w:r>
    </w:p>
    <w:p>
      <w:r>
        <w:t>3. Append SupplierCo issued signature.</w:t>
      </w:r>
    </w:p>
    <w:p>
      <w:r>
        <w:t>4. Append BuyerCo confirmed receipt signature.</w:t>
      </w:r>
    </w:p>
    <w:p>
      <w:r>
        <w:t>5. Upload to AI gateway; gateway blocks with reason.</w:t>
      </w:r>
    </w:p>
    <w:p>
      <w:r>
        <w:t>6. Open through secure link; log events.</w:t>
      </w:r>
    </w:p>
    <w:p>
      <w:r>
        <w:t>7. Simulate abnormal traffic; dashboard raises anomaly alert.</w:t>
      </w:r>
    </w:p>
    <w:p>
      <w:pPr>
        <w:pStyle w:val="Heading1"/>
      </w:pPr>
      <w:r>
        <w:t>16. Metrics and Success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7344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MVP Target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Content privacy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6"/>
              </w:rPr>
              <w:t>0 raw documents, extracted text, or OCR payloads stored by DocShield backend.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Verification success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6"/>
              </w:rPr>
              <w:t>95%+ protected PDFs verify correctly across supported PDF viewers and upload flows.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Policy enforcement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6"/>
              </w:rPr>
              <w:t>95%+ No External AI documents blocked in the reference gateway.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Pilot adoption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6"/>
              </w:rPr>
              <w:t>3 pilot organizations can issue at least 25 protected documents each.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Dashboard value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6"/>
              </w:rPr>
              <w:t>Security/admin users can explain top risk reasons without engineering support.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Time to protect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6"/>
              </w:rPr>
              <w:t>Median protect workflow under 60 seconds for a business user.</w:t>
            </w:r>
          </w:p>
        </w:tc>
      </w:tr>
    </w:tbl>
    <w:p>
      <w:pPr>
        <w:pStyle w:val="Heading1"/>
      </w:pPr>
      <w:r>
        <w:t>17.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736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3024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4752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6"/>
              </w:rPr>
              <w:t>Metadata stripping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Embedded passport may be removed by some tools.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Use layered embedding: metadata, optional footer/QR, sidecar manifest for controlled channels. Be clear that stripped files lose verifiability.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6"/>
              </w:rPr>
              <w:t>False sense of control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Users may assume tracking works after offline redistribution.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UI language must distinguish controlled-link telemetry from universal tracking.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6"/>
              </w:rPr>
              <w:t>Key management complexity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Pilot customers may struggle with signing keys.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Offer simple local key package for MVP and enterprise KMS integration later.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6"/>
              </w:rPr>
              <w:t>AI app adoption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Third-party AI tools may not support DocShield tags.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Provide reference gateway, browser extension prototype, and API spec for integrators.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6"/>
              </w:rPr>
              <w:t>PDF compatibility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PDFs vary by producer and may break metadata embedding.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6"/>
              </w:rPr>
              <w:t>Support a defined PDF compatibility matrix and fallback to sidecar manifest.</w:t>
            </w:r>
          </w:p>
        </w:tc>
      </w:tr>
    </w:tbl>
    <w:p>
      <w:pPr>
        <w:pStyle w:val="Heading1"/>
      </w:pPr>
      <w:r>
        <w:t>18. Release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024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1728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576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Phase 1: Core SDK and manifest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Week 1-2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Fingerprinting, manifest schema, signing, local embed, verify extraction.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Phase 2: Enterprise web workflow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Week 3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Customer-hosted upload, policy selection, protected PDF generation, issuer templates.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Phase 3: Verifier and AI gateway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Week 4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Reference verifier, upload blocker, revocation check, policy explanation.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Phase 4: Signing history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Week 4-5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Multi-party event append, chain validation, history viewer.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Phase 5: Dashboard and anomaly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Week 5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Access telemetry ingestion, dashboard, rules-based risk scoring, alerts.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Phase 6: Pilot hardening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Week 6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Security review, compatibility testing, audit export, demo polish, documentation.</w:t>
            </w:r>
          </w:p>
        </w:tc>
      </w:tr>
    </w:tbl>
    <w:p>
      <w:pPr>
        <w:pStyle w:val="Heading1"/>
      </w:pPr>
      <w:r>
        <w:t>19. Open Questions</w:t>
      </w:r>
    </w:p>
    <w:p>
      <w:pPr>
        <w:pStyle w:val="ListBullet"/>
      </w:pPr>
      <w:r>
        <w:t>Should the mature MVP support only PDF, or include Office documents through sidecar manifests?</w:t>
      </w:r>
    </w:p>
    <w:p>
      <w:pPr>
        <w:pStyle w:val="ListBullet"/>
      </w:pPr>
      <w:r>
        <w:t>Should the secure share gateway be purely customer-hosted, DocShield-hosted per-tenant, or both?</w:t>
      </w:r>
    </w:p>
    <w:p>
      <w:pPr>
        <w:pStyle w:val="ListBullet"/>
      </w:pPr>
      <w:r>
        <w:t>Which AI policy tags should be mandatory in v1: No External AI, No Training, No Retention, No Summarization, or Secure Link Only?</w:t>
      </w:r>
    </w:p>
    <w:p>
      <w:pPr>
        <w:pStyle w:val="ListBullet"/>
      </w:pPr>
      <w:r>
        <w:t>Should signing keys be generated locally by the customer or issued through a DocShield-managed tenant key service?</w:t>
      </w:r>
    </w:p>
    <w:p>
      <w:pPr>
        <w:pStyle w:val="ListBullet"/>
      </w:pPr>
      <w:r>
        <w:t>Should recipient identity be embedded directly, tokenized, or stored only in the customer's environment?</w:t>
      </w:r>
    </w:p>
    <w:p>
      <w:pPr>
        <w:pStyle w:val="Heading1"/>
      </w:pPr>
      <w:r>
        <w:t>20. Mature MVP Positioning</w:t>
      </w:r>
    </w:p>
    <w:p>
      <w:pPr>
        <w:pStyle w:val="Callout"/>
      </w:pPr>
      <w:r>
        <w:rPr>
          <w:b/>
        </w:rPr>
        <w:t xml:space="preserve">One-sentence pitch: </w:t>
      </w:r>
      <w:r>
        <w:t>DocShield is a zero-content document passport that lets enterprises fingerprint PDFs, embed AI usage rules, maintain multi-party signing history, and monitor controlled sharing without exposing document contents to DocShield. Boundary: no universal tracking, automatic PII scanning, or dark web removal.</w:t>
      </w:r>
    </w:p>
    <w:sectPr w:rsidR="00FC693F" w:rsidRPr="0006063C" w:rsidSect="00034616">
      <w:footerReference w:type="default" r:id="rId10"/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DocShield Mature MVP PRD | Zero-content document passport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2A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05BB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575E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20"/>
      <w:ind w:left="216" w:right="216"/>
    </w:pPr>
    <w:rPr>
      <w:rFonts w:ascii="Aptos" w:hAnsi="Apto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