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8iqq1ecm22fl" w:id="0"/>
      <w:bookmarkEnd w:id="0"/>
      <w:r w:rsidDel="00000000" w:rsidR="00000000" w:rsidRPr="00000000">
        <w:rPr>
          <w:b w:val="1"/>
          <w:sz w:val="20"/>
          <w:szCs w:val="20"/>
          <w:rtl w:val="0"/>
        </w:rPr>
        <w:t xml:space="preserve">🤝 Joint Venture (JV) Term Sheet Framework: Local Branch Partnership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framework serves as the basis for negotiation and drafting the formal Joint Venture Agreement (JVA) between </w:t>
      </w:r>
      <w:r w:rsidDel="00000000" w:rsidR="00000000" w:rsidRPr="00000000">
        <w:rPr>
          <w:b w:val="1"/>
          <w:sz w:val="20"/>
          <w:szCs w:val="20"/>
          <w:rtl w:val="0"/>
        </w:rPr>
        <w:t xml:space="preserve">Amenity Pool Services (APS)</w:t>
      </w:r>
      <w:r w:rsidDel="00000000" w:rsidR="00000000" w:rsidRPr="00000000">
        <w:rPr>
          <w:sz w:val="20"/>
          <w:szCs w:val="20"/>
          <w:rtl w:val="0"/>
        </w:rPr>
        <w:t xml:space="preserve"> and the </w:t>
      </w:r>
      <w:r w:rsidDel="00000000" w:rsidR="00000000" w:rsidRPr="00000000">
        <w:rPr>
          <w:b w:val="1"/>
          <w:sz w:val="20"/>
          <w:szCs w:val="20"/>
          <w:rtl w:val="0"/>
        </w:rPr>
        <w:t xml:space="preserve">General Manager (GM)</w:t>
      </w:r>
      <w:r w:rsidDel="00000000" w:rsidR="00000000" w:rsidRPr="00000000">
        <w:rPr>
          <w:sz w:val="20"/>
          <w:szCs w:val="20"/>
          <w:rtl w:val="0"/>
        </w:rPr>
        <w:t xml:space="preserve"> of the local branch, effective January 1, 2027.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8.849840255591"/>
        <w:gridCol w:w="4221.4696485623"/>
        <w:gridCol w:w="3219.6805111821086"/>
        <w:tblGridChange w:id="0">
          <w:tblGrid>
            <w:gridCol w:w="1918.849840255591"/>
            <w:gridCol w:w="4221.4696485623"/>
            <w:gridCol w:w="3219.680511182108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Key Terms &amp;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Strategic Rationale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1. JV Partnership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Amenity Pool Services (APS)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will be the Majority Partner (typically ≥80% ownership). The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General Manager (GM)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will be the Minority Equity Partner (target ownership between 10% and 20%).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Ensures corporate control, brand consistency, and financing capability while giving the GM significant equity upside.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2. Branch 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Valuation Date: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 branch will be valued following the external audit of the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2026 Fiscal Year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financial statements.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Valuation is based on the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clean P&amp;L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 GM is tasked with creating in the foundation year.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2.2 Valuation 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fair market value of the branch will be calculated as: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2026 Audited Local Branch EBITDA × Multiple (4.0x to 5.0x)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standard industry multiple ensures a fair and clear valuation metric based on profitability, not just revenue.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3. GM Equity Stake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Target Stake: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 GM can acquire up to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15% equity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in the local JV branch.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highly motivating percentage tied to a manageable, small business unit.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3.1 Acquisition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price of the GM's 15% stake is 15% of the total 2026 valuation (as determined in 2.2).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Establishes the transparent cost of the equity.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4. Acquisition Mechanism (Earn-In)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Since GMs may lack the capital for a direct buy-in, the primary method for acquisition will be a performance-based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"Earn-In."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Aligns ownership directly with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value creation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rather than initial capital.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4.1 Earn-In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GM will earn the full 15% stake over 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three (3) year performance period (2027 – 2029)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Provides a clear timeline for commitment and results.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4.2 Annual Vesting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 of the 15% equity (one-third) will vest annually, contingent upon meeting a mandatory performance target in the preceding year.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Provides measurable, yearly goals toward full partnership.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4.3 Mandatory Vesting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Annual Condition: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 the GM's equity portion to vest in any given year, the branch must achieve and maintain 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minimum of 10% Local Branch EBITDA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in the preceding fiscal year.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Ensures the GM remains hyper-focused on the core strategic goal: sustained profitability.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4.4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the branch hits 10% EBITDA in 2026, the GM can begin the Earn-In in 2027. If the branch hits 10% EBITDA in 2027, 5% of the equity vests at the start of 2028.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Keeps the incentive clear and performance-driven.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5. Profit Distributions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Method: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Quarterly or Semi-Annual distributions of the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Local Branch Net Profit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Allows the GM to receive immediate financial rewards based on their equity stake (e.g., a GM with 10% equity receives 10% of the quarterly net profit).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5.2 Reinvestment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APS (Majority Partner) retains the right to withhold a portion of net profit (e.g., 10%) for necessary branch reinvestment (CapEx) before distribution.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Protects the branch's long-term health and prevents the GM from extracting all cash at the expense of necessary equipment upgrades.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6. Exit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JVA will define clear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Buy/Sell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clauses (e.g., upon GM resignation, termination, death, or retirement) ensuring APS has the right of first refusal to repurchase the GM's vested equity based on a new, current valuation formula.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Protects APS from the GM selling their stake to an outside party.</w:t>
            </w:r>
          </w:p>
        </w:tc>
      </w:tr>
    </w:tbl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to Sheets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