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en-GB"/>
              </w:rPr>
            </w:pPr>
            <w:r w:rsidRPr="00295FC6">
              <w:rPr>
                <w:b/>
                <w:bCs/>
                <w:color w:val="156082" w:themeColor="accent1"/>
                <w:sz w:val="96"/>
                <w:szCs w:val="96"/>
                <w:lang w:val="en-GB"/>
              </w:rPr>
              <w:t>NIS2PME</w:t>
            </w:r>
          </w:p>
          <w:p w14:paraId="090375FB" w14:textId="77777777" w:rsidR="00DF3B5F" w:rsidRPr="00295FC6" w:rsidRDefault="00DF3B5F"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5F42BF20" w14:textId="77777777" w:rsidR="00DF3B5F" w:rsidRPr="00295FC6" w:rsidRDefault="00DF3B5F" w:rsidP="00DF3B5F">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DOCUMENT TEMPLATE</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08470227" w14:textId="77777777" w:rsidR="00DF3B5F" w:rsidRPr="00295FC6" w:rsidRDefault="00DF3B5F" w:rsidP="00DF3B5F">
      <w:pPr>
        <w:spacing w:before="320"/>
        <w:rPr>
          <w:lang w:val="en-GB"/>
        </w:rPr>
      </w:pPr>
    </w:p>
    <w:p w14:paraId="272A4E0A" w14:textId="77777777" w:rsidR="00DF3B5F" w:rsidRPr="00295FC6" w:rsidRDefault="00DF3B5F" w:rsidP="00DF3B5F">
      <w:pPr>
        <w:pBdr>
          <w:bottom w:val="single" w:sz="6" w:space="1" w:color="D6E4F0"/>
        </w:pBdr>
        <w:rPr>
          <w:lang w:val="en-GB"/>
        </w:rPr>
      </w:pPr>
    </w:p>
    <w:p w14:paraId="1D008E22" w14:textId="77777777" w:rsidR="00DF3B5F" w:rsidRPr="00295FC6" w:rsidRDefault="00DF3B5F" w:rsidP="00DF3B5F">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en-GB"/>
              </w:rPr>
            </w:pPr>
            <w:r w:rsidRPr="00295FC6">
              <w:rPr>
                <w:b/>
                <w:bCs/>
                <w:color w:val="1F4E79"/>
                <w:sz w:val="20"/>
                <w:szCs w:val="20"/>
                <w:lang w:val="en-GB"/>
              </w:rPr>
              <w:t>USAGE NOTICE</w:t>
            </w:r>
          </w:p>
          <w:p w14:paraId="34CB9689" w14:textId="77777777" w:rsidR="00DF3B5F" w:rsidRPr="00295FC6" w:rsidRDefault="00DF3B5F" w:rsidP="002D3290">
            <w:pPr>
              <w:spacing w:after="80"/>
              <w:jc w:val="center"/>
              <w:rPr>
                <w:lang w:val="en-GB"/>
              </w:rPr>
            </w:pPr>
            <w:proofErr w:type="spellStart"/>
            <w:proofErr w:type="spellEnd"/>
            <w:proofErr w:type="spellStart"/>
            <w:proofErr w:type="spellEnd"/>
            <w:r>
              <w:rPr>
                <w:sz w:val="19"/>
                <w:szCs w:val="19"/>
                <w:lang w:val="en-GB"/>
              </w:rPr>
              <w:t>The documents in the NIS2PME repository are reference templates developed to help small and medium-sized enterprises implement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15AC6BD" w14:textId="77777777" w:rsidR="00DF3B5F" w:rsidRPr="00295FC6" w:rsidRDefault="00DF3B5F"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1286E048" w14:textId="77777777" w:rsidR="00DF3B5F" w:rsidRPr="00295FC6" w:rsidRDefault="00DF3B5F"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324181D5" w14:textId="77777777" w:rsidR="00DF3B5F" w:rsidRPr="00295FC6" w:rsidRDefault="00DF3B5F" w:rsidP="00DF3B5F">
      <w:pPr>
        <w:spacing w:before="320"/>
        <w:rPr>
          <w:lang w:val="en-GB"/>
        </w:rPr>
      </w:pPr>
    </w:p>
    <w:p w14:paraId="161E8EAA" w14:textId="77777777" w:rsidR="00DF3B5F" w:rsidRPr="00295FC6" w:rsidRDefault="00DF3B5F" w:rsidP="00DF3B5F">
      <w:pPr>
        <w:pBdr>
          <w:bottom w:val="single" w:sz="6" w:space="1" w:color="D6E4F0"/>
        </w:pBdr>
        <w:rPr>
          <w:lang w:val="en-GB"/>
        </w:rPr>
      </w:pPr>
    </w:p>
    <w:p w14:paraId="2D53D1C5" w14:textId="77777777" w:rsidR="00DF3B5F" w:rsidRPr="00295FC6" w:rsidRDefault="00DF3B5F" w:rsidP="00DF3B5F">
      <w:pPr>
        <w:spacing w:before="320"/>
        <w:rPr>
          <w:lang w:val="en-GB"/>
        </w:rPr>
      </w:pPr>
    </w:p>
    <w:p w14:paraId="03A34D62" w14:textId="77777777" w:rsidR="00DF3B5F" w:rsidRPr="00ED4E00" w:rsidRDefault="00DF3B5F" w:rsidP="00DF3B5F">
      <w:pPr>
        <w:jc w:val="center"/>
        <w:rPr>
          <w:lang w:val="en-GB"/>
        </w:rPr>
      </w:pPr>
      <w:r w:rsidRPr="00ED4E00">
        <w:rPr>
          <w:b/>
          <w:bCs/>
          <w:color w:val="2E75B6"/>
          <w:sz w:val="18"/>
          <w:szCs w:val="18"/>
          <w:lang w:val="en-GB"/>
        </w:rPr>
        <w:t>NIS2PME</w:t>
      </w:r>
      <w:r w:rsidRPr="00ED4E00">
        <w:rPr>
          <w:color w:val="888888"/>
          <w:sz w:val="18"/>
          <w:szCs w:val="18"/>
          <w:lang w:val="en-GB"/>
        </w:rPr>
        <w:t xml:space="preserve">  |  Internal Use  |  Confidential</w:t>
      </w:r>
    </w:p>
    <w:p w14:paraId="34ED8EC8" w14:textId="588B6BD0" w:rsidR="00DF3B5F" w:rsidRDefault="00DF3B5F">
      <w:pPr>
        <w:rPr>
          <w:lang w:val="en-GB"/>
        </w:rPr>
      </w:pPr>
      <w:r>
        <w:rPr>
          <w:lang w:val="en-GB"/>
        </w:rPr>
        <w:br w:type="page"/>
      </w:r>
    </w:p>
    <w:p w14:paraId="77B3FC3A" w14:textId="77777777" w:rsidR="001C069E" w:rsidRPr="00DF3B5F" w:rsidRDefault="001C069E">
      <w:pPr>
        <w:spacing w:before="2400" w:after="400"/>
        <w:rPr>
          <w:lang w:val="en-GB"/>
        </w:rPr>
      </w:pPr>
    </w:p>
    <w:p w14:paraId="188B6606" w14:textId="77777777" w:rsidR="001C069E" w:rsidRPr="00DF3B5F" w:rsidRDefault="00000000">
      <w:pPr>
        <w:spacing w:after="200"/>
        <w:jc w:val="center"/>
        <w:rPr>
          <w:lang w:val="en-GB"/>
        </w:rPr>
      </w:pPr>
      <w:r w:rsidRPr="00DF3B5F">
        <w:rPr>
          <w:b/>
          <w:bCs/>
          <w:color w:val="1F4E79"/>
          <w:sz w:val="52"/>
          <w:szCs w:val="52"/>
          <w:lang w:val="en-GB"/>
        </w:rPr>
        <w:t>[ORGANISATION NAME]</w:t>
      </w:r>
    </w:p>
    <w:p w14:paraId="36D5C614" w14:textId="77777777" w:rsidR="001C069E" w:rsidRPr="00DF3B5F" w:rsidRDefault="00000000">
      <w:pPr>
        <w:spacing w:after="80"/>
        <w:jc w:val="center"/>
        <w:rPr>
          <w:lang w:val="en-GB"/>
        </w:rPr>
      </w:pPr>
      <w:r w:rsidRPr="00DF3B5F">
        <w:rPr>
          <w:i/>
          <w:iCs/>
          <w:color w:val="888888"/>
          <w:lang w:val="en-GB"/>
        </w:rPr>
        <w:t>[Address | Tax ID (NIF) | Contact]</w:t>
      </w:r>
    </w:p>
    <w:p w14:paraId="421CB532" w14:textId="77777777" w:rsidR="001C069E" w:rsidRPr="00DF3B5F" w:rsidRDefault="001C069E">
      <w:pPr>
        <w:pBdr>
          <w:bottom w:val="single" w:sz="10" w:space="1" w:color="2E75B6"/>
        </w:pBdr>
        <w:spacing w:before="400" w:after="400"/>
        <w:rPr>
          <w:lang w:val="en-GB"/>
        </w:rPr>
      </w:pPr>
    </w:p>
    <w:p w14:paraId="62602763" w14:textId="77777777" w:rsidR="001C069E" w:rsidRPr="00DF3B5F" w:rsidRDefault="00000000">
      <w:pPr>
        <w:spacing w:before="300" w:after="80"/>
        <w:jc w:val="center"/>
        <w:rPr>
          <w:lang w:val="en-GB"/>
        </w:rPr>
      </w:pPr>
      <w:r>
        <w:rPr>
          <w:b/>
          <w:bCs/>
          <w:color w:val="1F4E79"/>
          <w:sz w:val="40"/>
          <w:szCs w:val="40"/>
          <w:lang w:val="en-GB"/>
        </w:rPr>
        <w:t>SUPPLY CHAIN RISK MANAGEMENT POLICY</w:t>
      </w:r>
    </w:p>
    <w:p w14:paraId="1DD3F435" w14:textId="77777777" w:rsidR="001C069E" w:rsidRPr="00DF3B5F" w:rsidRDefault="00000000">
      <w:pPr>
        <w:spacing w:after="80"/>
        <w:jc w:val="center"/>
        <w:rPr>
          <w:lang w:val="en-GB"/>
        </w:rPr>
      </w:pPr>
      <w:proofErr w:type="spellStart"/>
      <w:proofErr w:type="spellEnd"/>
      <w:proofErr w:type="spellStart"/>
      <w:proofErr w:type="spellEnd"/>
      <w:r>
        <w:rPr>
          <w:i/>
          <w:iCs/>
          <w:color w:val="2E75B6"/>
          <w:sz w:val="28"/>
          <w:szCs w:val="28"/>
          <w:lang w:val="en-GB"/>
        </w:rPr>
        <w:t>Política de Gestão do Risco da Cadeia de Abastecimento</w:t>
      </w:r>
    </w:p>
    <w:p w14:paraId="674C56AA" w14:textId="77777777" w:rsidR="001C069E" w:rsidRPr="00DF3B5F" w:rsidRDefault="001C069E">
      <w:pPr>
        <w:pBdr>
          <w:bottom w:val="single" w:sz="10" w:space="1" w:color="2E75B6"/>
        </w:pBdr>
        <w:spacing w:before="200" w:after="200"/>
        <w:rPr>
          <w:lang w:val="en-GB"/>
        </w:rPr>
      </w:pPr>
    </w:p>
    <w:p w14:paraId="76A5A78C" w14:textId="77777777" w:rsidR="001C069E" w:rsidRPr="00DF3B5F" w:rsidRDefault="00000000">
      <w:pPr>
        <w:spacing w:before="200" w:after="80"/>
        <w:jc w:val="center"/>
        <w:rPr>
          <w:lang w:val="en-GB"/>
        </w:rPr>
      </w:pPr>
      <w:r>
        <w:rPr>
          <w:color w:val="555555"/>
          <w:sz w:val="20"/>
          <w:szCs w:val="20"/>
          <w:lang w:val="en-GB"/>
        </w:rPr>
        <w:t xml:space="preserve">Version 1.0   |   [Date]   |   Classification: Confidential - Internal Use</w:t>
      </w:r>
    </w:p>
    <w:p w14:paraId="4C19A65C" w14:textId="77777777" w:rsidR="001C069E" w:rsidRPr="00DF3B5F" w:rsidRDefault="00000000">
      <w:pPr>
        <w:spacing w:before="80" w:after="80"/>
        <w:jc w:val="center"/>
        <w:rPr>
          <w:lang w:val="en-GB"/>
        </w:rPr>
      </w:pPr>
      <w:proofErr w:type="spellStart"/>
      <w:proofErr w:type="spellEnd"/>
      <w:r>
        <w:rPr>
          <w:color w:val="777777"/>
          <w:sz w:val="18"/>
          <w:szCs w:val="18"/>
          <w:lang w:val="en-GB"/>
        </w:rPr>
        <w:t>Aligned with: NIS2 (Portuguese Cybersecurity Legal Framework and CNCS Regulation No. 756/2026) | QNRCS | ISO/IEC 27002 | GDPR</w:t>
      </w:r>
    </w:p>
    <w:p w14:paraId="0F10050C" w14:textId="77777777" w:rsidR="001C069E" w:rsidRPr="00DF3B5F" w:rsidRDefault="001C069E">
      <w:pPr>
        <w:rPr>
          <w:lang w:val="en-GB"/>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en-GB"/>
        </w:rPr>
      </w:pPr>
      <w:r w:rsidRPr="00DF3B5F">
        <w:rPr>
          <w:lang w:val="en-GB"/>
        </w:rPr>
        <w:lastRenderedPageBreak/>
        <w:t>1. Document Control</w:t>
      </w:r>
    </w:p>
    <w:p w14:paraId="7711A49D" w14:textId="77777777" w:rsidR="001C069E" w:rsidRPr="00DF3B5F" w:rsidRDefault="00000000">
      <w:pPr>
        <w:spacing w:before="60" w:after="120"/>
        <w:rPr>
          <w:lang w:val="en-GB"/>
        </w:rPr>
      </w:pPr>
      <w:r w:rsidRPr="00DF3B5F">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en-GB"/>
              </w:rPr>
            </w:pPr>
            <w:r w:rsidRPr="00DF3B5F">
              <w:rPr>
                <w:i/>
                <w:iCs/>
                <w:color w:val="888888"/>
                <w:sz w:val="20"/>
                <w:szCs w:val="20"/>
                <w:lang w:val="en-GB"/>
              </w:rPr>
              <w:t>[dd/mm/yyyy] by [name]</w:t>
            </w:r>
            <w:proofErr w:type="spellStart"/>
            <w:r w:rsidRPr="00DF3B5F">
              <w:rPr>
                <w:i/>
                <w:iCs/>
                <w:color w:val="888888"/>
                <w:sz w:val="20"/>
                <w:szCs w:val="20"/>
                <w:lang w:val="en-GB"/>
              </w:rPr>
            </w:r>
            <w:proofErr w:type="spellEnd"/>
            <w:r w:rsidRPr="00DF3B5F">
              <w:rPr>
                <w:i/>
                <w:iCs/>
                <w:color w:val="888888"/>
                <w:sz w:val="20"/>
                <w:szCs w:val="20"/>
                <w:lang w:val="en-GB"/>
              </w:rPr>
            </w:r>
            <w:proofErr w:type="spellStart"/>
            <w:r w:rsidRPr="00DF3B5F">
              <w:rPr>
                <w:i/>
                <w:iCs/>
                <w:color w:val="888888"/>
                <w:sz w:val="20"/>
                <w:szCs w:val="20"/>
                <w:lang w:val="en-GB"/>
              </w:rPr>
            </w:r>
            <w:proofErr w:type="spellEnd"/>
            <w:r w:rsidRPr="00DF3B5F">
              <w:rPr>
                <w:i/>
                <w:iCs/>
                <w:color w:val="888888"/>
                <w:sz w:val="20"/>
                <w:szCs w:val="20"/>
                <w:lang w:val="en-GB"/>
              </w:rPr>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10A06B15" w14:textId="77777777" w:rsidR="001C069E"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Description</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1890E4EB" w14:textId="77777777" w:rsidR="001C069E" w:rsidRDefault="001C069E">
      <w:pPr>
        <w:pBdr>
          <w:bottom w:val="single" w:sz="6" w:space="1" w:color="2E75B6"/>
        </w:pBdr>
        <w:spacing w:before="80" w:after="80"/>
      </w:pPr>
    </w:p>
    <w:p w14:paraId="749E46DE" w14:textId="77777777" w:rsidR="001C069E" w:rsidRPr="00DF3B5F" w:rsidRDefault="00000000">
      <w:pPr>
        <w:pStyle w:val="Heading1"/>
        <w:keepNext/>
        <w:rPr>
          <w:lang w:val="en-GB"/>
        </w:rPr>
      </w:pPr>
      <w:r>
        <w:rPr>
          <w:lang w:val="en-GB"/>
        </w:rPr>
        <w:t>2. Purpose and Scope</w:t>
      </w:r>
    </w:p>
    <w:p w14:paraId="770C3521" w14:textId="77777777" w:rsidR="001C069E" w:rsidRPr="00DF3B5F" w:rsidRDefault="00000000">
      <w:pPr>
        <w:spacing w:before="80" w:after="80"/>
        <w:rPr>
          <w:lang w:val="en-GB"/>
        </w:rPr>
      </w:pPr>
      <w:proofErr w:type="spellStart"/>
      <w:proofErr w:type="spellEnd"/>
      <w:r>
        <w:rPr>
          <w:lang w:val="en-GB"/>
        </w:rPr>
        <w:t>This policy sets out how [ORGANISATION] identifies, assesses and manages the cybersecurity risks that come from its suppliers and service providers, from selection to the end of the contract. Many SMEs depend on third parties for almost all of their IT (cloud services, IT support, business software, telecommunications): an incident at one of these suppliers can bring the organisation to a halt or expose its data.</w:t>
      </w:r>
    </w:p>
    <w:p w14:paraId="770C3521" w14:textId="77777777" w:rsidR="001C069E" w:rsidRPr="00DF3B5F" w:rsidRDefault="00000000">
      <w:pPr>
        <w:spacing w:before="80" w:after="80"/>
        <w:rPr>
          <w:lang w:val="en-GB"/>
        </w:rPr>
      </w:pPr>
      <w:proofErr w:type="spellStart"/>
      <w:proofErr w:type="spellEnd"/>
      <w:r>
        <w:rPr>
          <w:lang w:val="en-GB"/>
        </w:rPr>
        <w:t>It applies to all direct suppliers and service providers of information and communication technology (ICT) products or services and to any other supplier with access to the organisation's systems, information or premises, or whose failure could affect critical services (for example, maintenance of equipment with remote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en-GB"/>
              </w:rPr>
            </w:pPr>
            <w:r>
              <w:rPr>
                <w:b/>
                <w:bCs/>
                <w:color w:val="1F4E79"/>
                <w:sz w:val="20"/>
                <w:szCs w:val="20"/>
                <w:lang w:val="en-GB"/>
              </w:rPr>
              <w:t xml:space="preserve">Normative reference: </w:t>
            </w:r>
            <w:r>
              <w:rPr>
                <w:sz w:val="20"/>
                <w:szCs w:val="20"/>
                <w:lang w:val="en-GB"/>
              </w:rPr>
              <w:t>RJC, Article 27(1)(c) (supply chain security, including relationships with direct suppliers and service providers) and Article 28; QNRCS GR.CA-7 (Basic level), GR.CA-3, GR.CA-5 and GR.CA-8 (Substantial level), GR.CA-1 and GR.CA-6 (High level) (Regulation No. 756/2026, Annex III) - The entity assesses supply chain cybersecurity risks at least once a year or whenever relevant, includes cybersecurity requirements in contracts and, at the High level, adopts an approved policy and procedure and carries out due diligence before contracting. Good practice: ISO/IEC 27002:2022, controls 5.19 to 5.23 (supplier relationships and cloud services).</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3.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keepNext/>
              <w:jc w:val="center"/>
            </w:pPr>
            <w:proofErr w:type="spellStart"/>
            <w:proofErr w:type="spellEnd"/>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keepNext/>
              <w:jc w:val="center"/>
            </w:pPr>
            <w:proofErr w:type="spellStart"/>
            <w:proofErr w:type="spellEnd"/>
            <w:r>
              <w:rPr>
                <w:b/>
                <w:bCs/>
                <w:color w:val="FFFFFF"/>
                <w:sz w:val="20"/>
                <w:szCs w:val="20"/>
              </w:rPr>
              <w:t>Responsibilities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Approve this policy and the supply chain risk management measures (RJC, Article 25(1)(a)). Approve the contracting of high-criticality suppliers and formally accept the residual risks that cannot be reduced.</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Propose the risk management measures, including at supply chain level (RJC, Article 31(2)(a)). Coordinate the classification and annual assessment of suppliers, keep the supplier register and review the security clauses before contracts are signed.</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IT Manager (internal or external)</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Grant, review and remove supplier access and monitor remote connections. If IT is outsourced, the provider itself is a critical supplier covered by this policy.</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Involve the Cybersecurity Officer before contracting ICT products or services, even free or low-value ones, and report security problems with suppliers.</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en-GB"/>
        </w:rPr>
      </w:pPr>
      <w:proofErr w:type="spellStart"/>
      <w:proofErr w:type="spellEnd"/>
      <w:r>
        <w:rPr>
          <w:lang w:val="en-GB"/>
        </w:rPr>
        <w:t>Person responsible for supplier management: [name / role] (may be the Cybersecurity Officer).</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4. Supplier Classification</w:t>
      </w:r>
    </w:p>
    <w:p w14:paraId="770C3521" w14:textId="77777777" w:rsidR="001C069E" w:rsidRPr="00DF3B5F" w:rsidRDefault="00000000">
      <w:pPr>
        <w:spacing w:before="80" w:after="80"/>
        <w:rPr>
          <w:lang w:val="en-GB"/>
        </w:rPr>
      </w:pPr>
      <w:proofErr w:type="spellStart"/>
      <w:proofErr w:type="spellEnd"/>
      <w:r>
        <w:rPr>
          <w:lang w:val="en-GB"/>
        </w:rPr>
        <w:t>Each supplier is classified according to its criticality, taking into account: (1) the exposure of the organisation's information to the supplier; (2) the impact of a supplier failure on the business and on critical services; (3) the type of goods or services supplied (QNRCS GR.CA-7). Criticality determines the minimum requirements.</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100"/>
        <w:gridCol w:w="36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Criticality</w:t>
            </w:r>
          </w:p>
        </w:tc>
        <w:tc>
          <w:tcPr>
            <w:tcW w:w="4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When it applies (one criterion is enough)</w:t>
            </w:r>
          </w:p>
        </w:tc>
        <w:tc>
          <w:tcPr>
            <w:tcW w:w="3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Minimum requirements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High</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Privileged or remote access to systems; stores or processes confidential information or large amounts of personal data; its failure stops a critical service (e.g. outsourced IT, cloud hosting, main business software, Internet access).</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Assessment before contracting and every year; all the clauses in section 7; identified security contact; exit plan; approval by the Management Body.</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Medium</w:t>
            </w:r>
          </w:p>
        </w:tc>
        <w:tc>
          <w:tcPr>
            <w:tcW w:w="4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Limited access to systems or to internal information; failure with a significant impact, but which can be worked around within a short time.</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Questionnaire before contracting; clauses in section 7 indicated for medium criticality; annual review.</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Low</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No access to systems or to non-public information; failure without significant impact.</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Registration; confidentiality clause where applicable.</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5. Supplier Register</w:t>
      </w:r>
    </w:p>
    <w:p w14:paraId="770C3521" w14:textId="77777777" w:rsidR="001C069E" w:rsidRPr="00DF3B5F" w:rsidRDefault="00000000">
      <w:pPr>
        <w:spacing w:before="80" w:after="80"/>
        <w:rPr>
          <w:lang w:val="en-GB"/>
        </w:rPr>
      </w:pPr>
      <w:proofErr w:type="spellStart"/>
      <w:proofErr w:type="spellEnd"/>
      <w:r>
        <w:rPr>
          <w:lang w:val="en-GB"/>
        </w:rPr>
        <w:t>The Cybersecurity Officer keeps an up-to-date register of the suppliers and services on which the organisation depends. Services provided by suppliers are also included in the asset inventory (QNRCS ID.GA-4, Basic level) and critical external services are identified and prioritised (QNRCS GR.CO-6, Basic level). The register can be kept in the NIS2PME platform; in that case, state the location: [location].</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100"/>
        <w:gridCol w:w="1700"/>
        <w:gridCol w:w="1700"/>
        <w:gridCol w:w="1226"/>
      </w:tblGrid>
      <w:tr w:rsidR="001C069E" w14:paraId="546BAB90" w14:textId="77777777">
        <w:trPr>
          <w:cantSplit/>
          <w:tblHeader/>
        </w:trPr>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Supplier</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Product / service</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Criticality</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Access to systems / data</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Security contact and key personnel</w:t>
            </w:r>
          </w:p>
        </w:tc>
        <w:tc>
          <w:tcPr>
            <w:tcW w:w="1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Last assessment</w:t>
            </w:r>
          </w:p>
        </w:tc>
      </w:tr>
      <w:tr w:rsidR="001C069E" w:rsidRPr="00ED4E00" w14:paraId="73CFA470"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[e.g. IT service provider]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[Systems support and administration]</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High</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[Remote administration access]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[name, phone, email]</w:t>
            </w:r>
          </w:p>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[dd/mm/yyyy]</w:t>
            </w:r>
          </w:p>
        </w:tc>
      </w:tr>
      <w:tr w:rsidR="001C069E" w:rsidRPr="00ED4E00" w14:paraId="7EF85202"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[e.g. cloud email and files]</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High</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[Data of the whole organisation]</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c>
          <w:tcPr>
            <w:tcW w:w="1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[dd/mm/yyyy]</w:t>
            </w:r>
          </w:p>
        </w:tc>
      </w:tr>
      <w:tr w:rsidR="001C069E" w:rsidRPr="00ED4E00" w14:paraId="73CFA470"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[supplier]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[dd/mm/yyyy]</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en-GB"/>
        </w:rPr>
      </w:pPr>
      <w:proofErr w:type="spellStart"/>
      <w:proofErr w:type="spellEnd"/>
      <w:r>
        <w:rPr>
          <w:lang w:val="en-GB"/>
        </w:rPr>
        <w:t>For suppliers that take part in incident response or disaster recovery, the register identifies the key personnel to be involved in those plans (mandatory from the Substantial level onwards, QNRCS GR.CA-8).</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6. Before Contracting</w:t>
      </w:r>
    </w:p>
    <w:p w14:paraId="770C3521" w14:textId="77777777" w:rsidR="001C069E" w:rsidRPr="00DF3B5F" w:rsidRDefault="00000000">
      <w:pPr>
        <w:spacing w:before="80" w:after="80"/>
        <w:rPr>
          <w:lang w:val="en-GB"/>
        </w:rPr>
      </w:pPr>
      <w:proofErr w:type="spellStart"/>
      <w:proofErr w:type="spellEnd"/>
      <w:r>
        <w:rPr>
          <w:lang w:val="en-GB"/>
        </w:rPr>
        <w:t>Before contracting a medium- or high-criticality supplier, the organisation assesses its risks in a proportionate way. At the High level, this due diligence is mandatory and is recorded (QNRCS GR.CA-6); at the other levels it is the recommended practice.</w:t>
      </w:r>
    </w:p>
    <w:p w14:paraId="63234B35" w14:textId="77777777" w:rsidR="001C069E" w:rsidRPr="00DF3B5F" w:rsidRDefault="00000000">
      <w:pPr>
        <w:pStyle w:val="ListParagraph"/>
        <w:numPr>
          <w:ilvl w:val="0"/>
          <w:numId w:val="2"/>
        </w:numPr>
        <w:rPr>
          <w:lang w:val="en-GB"/>
        </w:rPr>
      </w:pPr>
      <w:r>
        <w:rPr>
          <w:lang w:val="en-GB"/>
        </w:rPr>
        <w:t>Send the supplier a security questionnaire ([location of the template]). Ask, at least: whether it uses MFA, how it applies security updates, whether it makes backups and tests recovery, where the data is kept (country), whether it uses subcontractors, what incidents it has had and how it informs customers.</w:t>
      </w:r>
    </w:p>
    <w:p w14:paraId="63234B35" w14:textId="77777777" w:rsidR="001C069E" w:rsidRPr="00DF3B5F" w:rsidRDefault="00000000">
      <w:pPr>
        <w:pStyle w:val="ListParagraph"/>
        <w:numPr>
          <w:ilvl w:val="0"/>
          <w:numId w:val="2"/>
        </w:numPr>
        <w:rPr>
          <w:lang w:val="en-GB"/>
        </w:rPr>
      </w:pPr>
      <w:r>
        <w:rPr>
          <w:lang w:val="en-GB"/>
        </w:rPr>
        <w:t>Ask for evidence proportionate to criticality: certifications (e.g. ISO/IEC 27001), the Digital Maturity Seal (Selo de Maturidade Digital) certificate, independent audit reports or security test results.</w:t>
      </w:r>
    </w:p>
    <w:p w14:paraId="63234B35" w14:textId="77777777" w:rsidR="001C069E" w:rsidRPr="00DF3B5F" w:rsidRDefault="00000000">
      <w:pPr>
        <w:pStyle w:val="ListParagraph"/>
        <w:numPr>
          <w:ilvl w:val="0"/>
          <w:numId w:val="2"/>
        </w:numPr>
        <w:rPr>
          <w:lang w:val="en-GB"/>
        </w:rPr>
      </w:pPr>
      <w:r>
        <w:rPr>
          <w:lang w:val="en-GB"/>
        </w:rPr>
        <w:t>Confirm that the supplier accepts the minimum clauses in section 7.</w:t>
      </w:r>
    </w:p>
    <w:p w14:paraId="63234B35" w14:textId="77777777" w:rsidR="001C069E" w:rsidRPr="00DF3B5F" w:rsidRDefault="00000000">
      <w:pPr>
        <w:pStyle w:val="ListParagraph"/>
        <w:numPr>
          <w:ilvl w:val="0"/>
          <w:numId w:val="2"/>
        </w:numPr>
        <w:rPr>
          <w:lang w:val="en-GB"/>
        </w:rPr>
      </w:pPr>
      <w:r>
        <w:rPr>
          <w:lang w:val="en-GB"/>
        </w:rPr>
        <w:t>In this assessment and in subsequent reviews, consider in particular (RJC, Article 28):</w:t>
      </w:r>
    </w:p>
    <w:p w14:paraId="770C3521" w14:textId="77777777" w:rsidR="001C069E" w:rsidRPr="00DF3B5F" w:rsidRDefault="00000000">
      <w:pPr>
        <w:spacing w:before="80" w:after="80"/>
        <w:ind w:left="567"/>
        <w:rPr>
          <w:lang w:val="en-GB"/>
        </w:rPr>
      </w:pPr>
      <w:proofErr w:type="spellStart"/>
      <w:proofErr w:type="spellEnd"/>
      <w:r>
        <w:rPr>
          <w:lang w:val="en-GB"/>
        </w:rPr>
        <w:t>a) the specific vulnerabilities of each direct supplier and service provider;</w:t>
      </w:r>
    </w:p>
    <w:p w14:paraId="770C3521" w14:textId="77777777" w:rsidR="001C069E" w:rsidRPr="00DF3B5F" w:rsidRDefault="00000000">
      <w:pPr>
        <w:spacing w:before="80" w:after="80"/>
        <w:ind w:left="567"/>
        <w:rPr>
          <w:lang w:val="en-GB"/>
        </w:rPr>
      </w:pPr>
      <w:proofErr w:type="spellStart"/>
      <w:proofErr w:type="spellEnd"/>
      <w:r>
        <w:rPr>
          <w:lang w:val="en-GB"/>
        </w:rPr>
        <w:t>b) the overall quality of their products in terms of cybersecurity;</w:t>
      </w:r>
    </w:p>
    <w:p w14:paraId="770C3521" w14:textId="77777777" w:rsidR="001C069E" w:rsidRPr="00DF3B5F" w:rsidRDefault="00000000">
      <w:pPr>
        <w:spacing w:before="80" w:after="80"/>
        <w:ind w:left="567"/>
        <w:rPr>
          <w:lang w:val="en-GB"/>
        </w:rPr>
      </w:pPr>
      <w:proofErr w:type="spellStart"/>
      <w:proofErr w:type="spellEnd"/>
      <w:r>
        <w:rPr>
          <w:lang w:val="en-GB"/>
        </w:rPr>
        <w:t>c) the cybersecurity practices of suppliers and service providers, including their secure development procedures;</w:t>
      </w:r>
    </w:p>
    <w:p w14:paraId="770C3521" w14:textId="77777777" w:rsidR="001C069E" w:rsidRPr="00DF3B5F" w:rsidRDefault="00000000">
      <w:pPr>
        <w:spacing w:before="80" w:after="80"/>
        <w:ind w:left="567"/>
        <w:rPr>
          <w:lang w:val="en-GB"/>
        </w:rPr>
      </w:pPr>
      <w:proofErr w:type="spellStart"/>
      <w:proofErr w:type="spellEnd"/>
      <w:r>
        <w:rPr>
          <w:lang w:val="en-GB"/>
        </w:rPr>
        <w:t>d) the coordinated risk assessments of critical ICT supply chains carried out at EU level (Directive (EU) 2022/2555 (NIS2), Article 22);</w:t>
      </w:r>
    </w:p>
    <w:p w14:paraId="770C3521" w14:textId="77777777" w:rsidR="001C069E" w:rsidRPr="00DF3B5F" w:rsidRDefault="00000000">
      <w:pPr>
        <w:spacing w:before="80" w:after="80"/>
        <w:ind w:left="567"/>
        <w:rPr>
          <w:lang w:val="en-GB"/>
        </w:rPr>
      </w:pPr>
      <w:proofErr w:type="spellStart"/>
      <w:proofErr w:type="spellEnd"/>
      <w:r>
        <w:rPr>
          <w:lang w:val="en-GB"/>
        </w:rPr>
        <w:t>e) decisions to restrict, stop the use of or exclude ICT equipment, components or services taken under RJC, Article 18(3).</w:t>
      </w:r>
    </w:p>
    <w:p w14:paraId="770C3521" w14:textId="77777777" w:rsidR="001C069E" w:rsidRPr="00DF3B5F" w:rsidRDefault="00000000">
      <w:pPr>
        <w:spacing w:before="80" w:after="80"/>
        <w:rPr>
          <w:lang w:val="en-GB"/>
        </w:rPr>
      </w:pPr>
      <w:proofErr w:type="spellStart"/>
      <w:proofErr w:type="spellEnd"/>
      <w:r>
        <w:rPr>
          <w:lang w:val="en-GB"/>
        </w:rPr>
        <w:t>The outcome (approve, approve with conditions or reject) is recorded in the assessments table in section 8.</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7. Minimum Contractual Requirements</w:t>
      </w:r>
    </w:p>
    <w:p w14:paraId="770C3521" w14:textId="77777777" w:rsidR="001C069E" w:rsidRPr="00DF3B5F" w:rsidRDefault="00000000">
      <w:pPr>
        <w:spacing w:before="80" w:after="80"/>
        <w:rPr>
          <w:lang w:val="en-GB"/>
        </w:rPr>
      </w:pPr>
      <w:proofErr w:type="spellStart"/>
      <w:proofErr w:type="spellEnd"/>
      <w:r>
        <w:rPr>
          <w:lang w:val="en-GB"/>
        </w:rPr>
        <w:t>Contracts and other agreements with medium- and high-criticality suppliers include cybersecurity clauses and define the secure means of sharing sensitive information. These clauses are mandatory from the Substantial level onwards (QNRCS GR.CA-5); the clause on ongoing assessment and remediation of weaknesses is mandatory at the High level. Having an approved clause template is recommended: [location of the template].</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226"/>
        <w:gridCol w:w="1700"/>
      </w:tblGrid>
      <w:tr w:rsidR="001C069E" w14:paraId="546BAB90" w14:textId="77777777">
        <w:trPr>
          <w:cantSplit/>
          <w:tblHeader/>
        </w:trPr>
        <w:tc>
          <w:tcPr>
            <w:tcW w:w="2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Clause</w:t>
            </w:r>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Minimum content</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Criticality</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Confidentiality</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Duty of secrecy regarding the organisation's information, which continues after the end of the contract.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All</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Security requirements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Supplier's minimum measures: MFA for access, security updates, backups, encryption of sensitive data, training of its staff and, in the case of software, secure development.</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Medium and high</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Sharing of sensitive information</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Approved means for exchanging sensitive information (e.g. shared area with MFA, encrypted files); sending credentials by email is prohibited.</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Medium and high</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Incident notification</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Notify the organisation without undue delay and, at the latest, [__] hours after detecting an incident that affects or may affect the organisation, its data or the services provided; send updates and cooperate in the response (technical information, logs, key personnel).</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Medium and high</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Vulnerabilities</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Inform the organisation of serious vulnerabilities in the products supplied and make fixes available within a timeframe compatible with the Vulnerability and Patch Management Policy.</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Medium and high</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Access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Named accounts, only the access needed, MFA, remote access only through the approved means and logged; access removed when it is no longer needed.</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Medium and high</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Subcontracting</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Subcontract only with the organisation's prior authorisation and with the same security obligations; keep the list of relevant subcontractors up to date.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Medium and high</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Personal data protection</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If the supplier processes personal data on behalf of the organisation: contract with the content required by GDPR, Article 28; data location stated and transfers outside the European Union only under GDPR, Chapter V.</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Where applicable</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Service continuity</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Service levels and restoration times compatible with the Business Continuity Plan; backups of the organisation's data.</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High</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Assessment and remediation of weaknesses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Right of the organisation (or of an independent auditor) to assess the supplier's security, by questionnaire, request for evidence or audit, and obligation to remediate the weaknesses found within an agreed timeframe.</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High</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End of contract</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Return of data in a usable format, secure deletion of copies with a written statement, removal of access and transition support for [__] days.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Medium and high</w:t>
            </w:r>
          </w:p>
        </w:tc>
      </w:tr>
    </w:tbl>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en-GB"/>
              </w:rPr>
            </w:pPr>
            <w:r>
              <w:rPr>
                <w:b/>
                <w:bCs/>
                <w:color w:val="7D5200"/>
                <w:sz w:val="20"/>
                <w:szCs w:val="20"/>
                <w:lang w:val="en-GB"/>
              </w:rPr>
              <w:t xml:space="preserve">Supplier notification deadline: </w:t>
            </w:r>
            <w:r>
              <w:rPr>
                <w:sz w:val="20"/>
                <w:szCs w:val="20"/>
                <w:lang w:val="en-GB"/>
              </w:rPr>
              <w:t>the organisation must send the initial notification of a significant incident within 24 hours of concluding that the incident is, or may become, significant (RJC, Article 42). The supplier's contractual deadline must be clearly shorter, to give the organisation time to assess and notify. The full regime is set out in the Incident Response Plan.</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8. Annual Assessment and Monitoring</w:t>
      </w:r>
    </w:p>
    <w:p w14:paraId="770C3521" w14:textId="77777777" w:rsidR="001C069E" w:rsidRPr="00DF3B5F" w:rsidRDefault="00000000">
      <w:pPr>
        <w:spacing w:before="80" w:after="80"/>
        <w:rPr>
          <w:lang w:val="en-GB"/>
        </w:rPr>
      </w:pPr>
      <w:proofErr w:type="spellStart"/>
      <w:proofErr w:type="spellEnd"/>
      <w:r>
        <w:rPr>
          <w:lang w:val="en-GB"/>
        </w:rPr>
        <w:t>The organisation assesses supply chain risk at least once a year and whenever relevant: an incident at the supplier, a major change to the service or the contract, a new subcontractor, or a warning from the CNCS or another authority about a threat or a product (QNRCS GR.CA-7, Basic level). The assessment can be scheduled as a recurring task in the NIS2PME platform.</w:t>
      </w:r>
    </w:p>
    <w:p w14:paraId="63234B35" w14:textId="77777777" w:rsidR="001C069E" w:rsidRPr="00DF3B5F" w:rsidRDefault="00000000">
      <w:pPr>
        <w:pStyle w:val="ListParagraph"/>
        <w:numPr>
          <w:ilvl w:val="0"/>
          <w:numId w:val="2"/>
        </w:numPr>
        <w:rPr>
          <w:lang w:val="en-GB"/>
        </w:rPr>
      </w:pPr>
      <w:r>
        <w:rPr>
          <w:lang w:val="en-GB"/>
          <w:b/>
          <w:bCs/>
        </w:rPr>
        <w:t>Basic level:</w:t>
      </w:r>
      <w:r>
        <w:rPr>
          <w:lang w:val="en-GB"/>
        </w:rPr>
        <w:t xml:space="preserve"> review the classification and risks of each supplier and record the assessment in the table below.</w:t>
      </w:r>
    </w:p>
    <w:p w14:paraId="63234B35" w14:textId="77777777" w:rsidR="001C069E" w:rsidRPr="00DF3B5F" w:rsidRDefault="00000000">
      <w:pPr>
        <w:pStyle w:val="ListParagraph"/>
        <w:numPr>
          <w:ilvl w:val="0"/>
          <w:numId w:val="2"/>
        </w:numPr>
        <w:rPr>
          <w:lang w:val="en-GB"/>
        </w:rPr>
      </w:pPr>
      <w:r>
        <w:rPr>
          <w:lang w:val="en-GB"/>
          <w:b/>
          <w:bCs/>
        </w:rPr>
        <w:t>From the Substantial level onwards:</w:t>
      </w:r>
      <w:r>
        <w:rPr>
          <w:lang w:val="en-GB"/>
        </w:rPr>
        <w:t xml:space="preserve"> define and record the mitigation measures for the risks identified (QNRCS GR.CA-7); include these risks in the organisation's risk register, approved and updated whenever there are changes (QNRCS GR.CA-3); monitor supplier connections to the systems and periodically assess the providers with access (QNRCS DE.MC-6); identify the suppliers' key personnel in the incident response and disaster recovery plans (QNRCS GR.CA-8).</w:t>
      </w:r>
    </w:p>
    <w:p w14:paraId="63234B35" w14:textId="77777777" w:rsidR="001C069E" w:rsidRPr="00DF3B5F" w:rsidRDefault="00000000">
      <w:pPr>
        <w:pStyle w:val="ListParagraph"/>
        <w:numPr>
          <w:ilvl w:val="0"/>
          <w:numId w:val="2"/>
        </w:numPr>
        <w:rPr>
          <w:lang w:val="en-GB"/>
        </w:rPr>
      </w:pPr>
      <w:r>
        <w:rPr>
          <w:lang w:val="en-GB"/>
          <w:b/>
          <w:bCs/>
        </w:rPr>
        <w:t>At the High level:</w:t>
      </w:r>
      <w:r>
        <w:rPr>
          <w:lang w:val="en-GB"/>
        </w:rPr>
        <w:t xml:space="preserve"> assess suppliers' cybersecurity with evidence (valid certificates, such as the Digital Maturity Seal, audit reports, test results) and include the suppliers' key personnel in the tests and exercises of those plans (QNRCS GR.CA-7 and GR.CA-8).</w:t>
      </w:r>
    </w:p>
    <w:p w14:paraId="63234B35" w14:textId="77777777" w:rsidR="001C069E" w:rsidRPr="00DF3B5F" w:rsidRDefault="00000000">
      <w:pPr>
        <w:pStyle w:val="ListParagraph"/>
        <w:numPr>
          <w:ilvl w:val="0"/>
          <w:numId w:val="2"/>
        </w:numPr>
        <w:rPr>
          <w:lang w:val="en-GB"/>
        </w:rPr>
      </w:pPr>
      <w:r>
        <w:rPr>
          <w:lang w:val="en-GB"/>
          <w:b/>
          <w:bCs/>
        </w:rPr>
        <w:t>At all levels:</w:t>
      </w:r>
      <w:r>
        <w:rPr>
          <w:lang w:val="en-GB"/>
        </w:rPr>
        <w:t xml:space="preserve"> review supplier access every six months, together with the organisation's access review, and remove any access that is no longer needed.</w:t>
      </w:r>
    </w:p>
    <w:p w14:paraId="7711A49D" w14:textId="77777777" w:rsidR="001C069E" w:rsidRPr="00DF3B5F" w:rsidRDefault="00000000">
      <w:pPr>
        <w:keepNext/>
        <w:spacing w:before="60" w:after="120"/>
        <w:rPr>
          <w:lang w:val="en-GB"/>
        </w:rPr>
      </w:pPr>
      <w:r>
        <w:rPr>
          <w:b/>
          <w:bCs/>
          <w:color w:val="1F4E79"/>
          <w:lang w:val="en-GB"/>
        </w:rPr>
        <w:t>Record of supplier assessments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2000"/>
        <w:gridCol w:w="2126"/>
        <w:gridCol w:w="1200"/>
        <w:gridCol w:w="1000"/>
      </w:tblGrid>
      <w:tr w:rsidR="001C069E" w14:paraId="546BAB90" w14:textId="77777777">
        <w:trPr>
          <w:cantSplit/>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Supplier</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Date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Risks identified</w:t>
            </w:r>
          </w:p>
        </w:tc>
        <w:tc>
          <w:tcPr>
            <w:tcW w:w="21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Mitigation measures (owner, deadline)</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Residual risk accepted by</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Next assessment</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[supplier]</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[dd/mm/yyyy]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[name / Management Body]</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[dd/mm/yyyy]</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[supplier]</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[dd/mm/yyyy]</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c>
          <w:tcPr>
            <w:tcW w:w="21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[dd/mm/yyyy]</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9. Incidents Originating from Suppliers</w:t>
      </w:r>
    </w:p>
    <w:p w14:paraId="770C3521" w14:textId="77777777" w:rsidR="001C069E" w:rsidRPr="00DF3B5F" w:rsidRDefault="00000000">
      <w:pPr>
        <w:spacing w:before="80" w:after="80"/>
        <w:rPr>
          <w:lang w:val="en-GB"/>
        </w:rPr>
      </w:pPr>
      <w:proofErr w:type="spellStart"/>
      <w:proofErr w:type="spellEnd"/>
      <w:r>
        <w:rPr>
          <w:lang w:val="en-GB"/>
        </w:rPr>
        <w:t>When a supplier reports an incident, or the organisation detects an incident involving a supplier, the Incident Response Plan applies: immediately assess whether the incident is significant for the organisation and, if so, meet the notification deadlines on the CNCS electronic platform (MyCiber). The organisation remains responsible for its own notifications, even if the incident originated at the supplier. The access of a compromised supplier is suspended until there are guarantees, and the incident is taken into account in that supplier's next assessment.</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10. End of the Relationship and Supplier Exit</w:t>
      </w:r>
    </w:p>
    <w:p w14:paraId="770C3521" w14:textId="77777777" w:rsidR="001C069E" w:rsidRPr="00DF3B5F" w:rsidRDefault="00000000">
      <w:pPr>
        <w:spacing w:before="80" w:after="80"/>
        <w:rPr>
          <w:lang w:val="en-GB"/>
        </w:rPr>
      </w:pPr>
      <w:proofErr w:type="spellStart"/>
      <w:proofErr w:type="spellEnd"/>
      <w:r>
        <w:rPr>
          <w:lang w:val="en-GB"/>
        </w:rPr>
        <w:t>The end of a contract is planned. For high-criticality suppliers there is an exit plan that states how the service will continue (another supplier or in-house means) and how the data will be recovered (QNRCS GR.CA-10, Supplementary level). At termination, use the following checklist:</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rsidRPr="00ED4E00" w14:paraId="2BE3627E" w14:textId="77777777">
        <w:trPr>
          <w:cantSplit/>
          <w:tblHeader/>
        </w:trPr>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C53086" w14:textId="77777777" w:rsidR="001C069E" w:rsidRPr="00DF3B5F" w:rsidRDefault="00000000">
            <w:pPr>
              <w:keepNext/>
              <w:jc w:val="center"/>
              <w:rPr>
                <w:lang w:val="en-GB"/>
              </w:rPr>
            </w:pPr>
            <w:r>
              <w:rPr>
                <w:b/>
                <w:bCs/>
                <w:color w:val="FFFFFF"/>
                <w:sz w:val="20"/>
                <w:szCs w:val="20"/>
                <w:lang w:val="en-GB"/>
              </w:rPr>
              <w:t>Supplier exit checklist</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The supplier's accounts, credentials, application access keys, certificates and VPN access disabled; shared passwords changed.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The organisation's equipment, cards and documents returned.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The organisation's data returned in a usable format and checked.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Copies of the data deleted by the supplier and its subcontractors, with a written statement.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Service transferred to the new supplier or to in-house means, without interruption of critical services.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Supplier register, asset inventory and response and recovery plans updated.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en-GB"/>
              </w:rPr>
            </w:pPr>
            <w:proofErr w:type="spellStart"/>
            <w:proofErr w:type="spellEnd"/>
            <w:proofErr w:type="spellStart"/>
            <w:proofErr w:type="spellEnd"/>
            <w:r>
              <w:rPr>
                <w:sz w:val="20"/>
                <w:szCs w:val="20"/>
                <w:lang w:val="en-GB"/>
              </w:rPr>
              <w:t>Supplier reminded of the duty of confidentiality after the end of the contract.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en-GB"/>
        </w:rPr>
      </w:pPr>
      <w:proofErr w:type="spellStart"/>
      <w:proofErr w:type="spellEnd"/>
      <w:r>
        <w:rPr>
          <w:lang w:val="en-GB"/>
        </w:rPr>
        <w:t xml:space="preserve">Person responsible for termination: [name / role]   |   Completion date: [dd/mm/yyyy]</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11. QNRCS Controls Covered</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2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Code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Level</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Where in this document</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8 (annual assessment or whenever relevant) and assessments record table; classification criteria in section 4.</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8 (mitigation measures recorded in the assessments table).</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Sections 6 and 8 (evidence). In part: supplier evidence is kept outside this document.</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GR.CA-5</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7 (clauses and means of sharing sensitive information). In part: the contract or clause template with this content is missing.</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7 (assessment and remediation of weaknesses). In part: as above.</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GR.CA-3</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8. In part: the organisation's risk register is kept outside this document.</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GR.CA-8</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5 (key personnel in the supplier register) and section 8.</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GR.CA-8</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8. In part: the record of tests is in the incident response and disaster recovery plans.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6 and the record table in section 8.</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GR.CA-1</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Approved policy (section 12) and procedure in sections 4 to 10.</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ID.GA-4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5. In part: the services must also be included in the asset inventory.</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GR.CO-6</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Sections 4 and 5 (identification, classification and prioritisation). In part: recording the communication of these services to stakeholders is missing.</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8. In part: connection monitoring is technical evidence kept by the IT Manager.</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GR.CA-4</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Supplementary</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8 (periodic assessment).</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GR.CA-10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Supplementary</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10 (exit plan and checklist).</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12. Review and Approval</w:t>
      </w:r>
    </w:p>
    <w:p w14:paraId="770C3521" w14:textId="77777777" w:rsidR="001C069E" w:rsidRPr="00DF3B5F" w:rsidRDefault="00000000">
      <w:pPr>
        <w:spacing w:before="80" w:after="80"/>
        <w:rPr>
          <w:lang w:val="en-GB"/>
        </w:rPr>
      </w:pPr>
      <w:proofErr w:type="spellStart"/>
      <w:proofErr w:type="spellEnd"/>
      <w:r>
        <w:rPr>
          <w:lang w:val="en-GB"/>
        </w:rPr>
        <w:t>This policy is reviewed at least once a year, or whenever there are significant changes in the organisation, the critical suppliers, the threats or the law. Approval rests with the Management Body (RJC, Article 25(1)(a)). The review can be scheduled as a recurring task in the NIS2PME platform.</w:t>
      </w:r>
    </w:p>
    <w:p w14:paraId="770C3521" w14:textId="77777777" w:rsidR="001C069E" w:rsidRPr="00DF3B5F" w:rsidRDefault="00000000">
      <w:pPr>
        <w:spacing w:before="80" w:after="80"/>
        <w:rPr>
          <w:lang w:val="en-GB"/>
        </w:rPr>
      </w:pPr>
      <w:proofErr w:type="spellStart"/>
      <w:proofErr w:type="spellEnd"/>
      <w:r>
        <w:rPr>
          <w:lang w:val="en-GB"/>
        </w:rPr>
        <w:t>Next review: [dd/mm/yyyy]</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rPr>
          <w:cantSplit/>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keepNext/>
              <w:jc w:val="center"/>
            </w:pPr>
            <w:proofErr w:type="spellStart"/>
            <w:proofErr w:type="spellEnd"/>
            <w:proofErr w:type="spellStart"/>
            <w:proofErr w:type="spellEnd"/>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keepNext/>
              <w:jc w:val="center"/>
            </w:pPr>
            <w:proofErr w:type="spellStart"/>
            <w:proofErr w:type="spellEnd"/>
            <w:proofErr w:type="spellStart"/>
            <w:proofErr w:type="spellEnd"/>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keepNext/>
              <w:jc w:val="center"/>
            </w:pPr>
            <w:proofErr w:type="spellStart"/>
            <w:proofErr w:type="spellEnd"/>
            <w:proofErr w:type="spellStart"/>
            <w:proofErr w:type="spellEnd"/>
            <w:r>
              <w:rPr>
                <w:b/>
                <w:bCs/>
                <w:color w:val="FFFFFF"/>
                <w:sz w:val="20"/>
                <w:szCs w:val="20"/>
              </w:rPr>
              <w:t>Approved by the Management Body</w:t>
            </w:r>
          </w:p>
        </w:tc>
      </w:tr>
      <w:tr w:rsidR="001C069E" w14:paraId="0CC4E50D" w14:textId="77777777">
        <w:trPr>
          <w:cantSplit/>
        </w:trPr>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proofErr w:type="spellStart"/>
            <w:proofErr w:type="spellEnd"/>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proofErr w:type="spellStart"/>
            <w:proofErr w:type="spellEnd"/>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[Name] [Position] [Date]</w:t>
            </w:r>
          </w:p>
        </w:tc>
      </w:tr>
    </w:tbl>
    <w:p w14:paraId="382F58C5" w14:textId="77777777" w:rsidR="001C069E" w:rsidRDefault="001C069E">
      <w:pPr>
        <w:spacing w:before="0" w:after="0" w:line="240" w:lineRule="auto"/>
        <w:rPr>
          <w:sz w:val="2"/>
          <w:szCs w:val="2"/>
        </w:rPr>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en-GB"/>
      </w:rPr>
    </w:pPr>
    <w:r w:rsidRPr="00DF3B5F">
      <w:rPr>
        <w:color w:val="888888"/>
        <w:sz w:val="16"/>
        <w:szCs w:val="16"/>
        <w:lang w:val="en-GB"/>
      </w:rPr>
      <w:t>Internal Use - Do not share externally without authorisation</w:t>
      <w:tab/>
      <w:t xml:space="preserve">Page </w:t>
    </w:r>
    <w:r w:rsidRPr="00DF3B5F">
      <w:rPr>
        <w:color w:val="888888"/>
        <w:sz w:val="16"/>
        <w:szCs w:val="16"/>
        <w:lang w:val="en-GB"/>
      </w:rPr>
    </w:r>
    <w:r w:rsidR="00DF3B5F" w:rsidRPr="00DF3B5F">
      <w:rPr>
        <w:color w:val="888888"/>
        <w:sz w:val="16"/>
        <w:szCs w:val="16"/>
        <w:lang w:val="en-GB"/>
      </w:rPr>
      <w:fldChar w:fldCharType="begin"/>
    </w:r>
    <w:r w:rsidR="00DF3B5F" w:rsidRPr="00DF3B5F">
      <w:rPr>
        <w:color w:val="888888"/>
        <w:sz w:val="16"/>
        <w:szCs w:val="16"/>
        <w:lang w:val="en-GB"/>
      </w:rPr>
      <w:instrText xml:space="preserve"> PAGE   \* MERGEFORMAT </w:instrText>
    </w:r>
    <w:r w:rsidR="00DF3B5F" w:rsidRPr="00DF3B5F">
      <w:rPr>
        <w:color w:val="888888"/>
        <w:sz w:val="16"/>
        <w:szCs w:val="16"/>
        <w:lang w:val="en-GB"/>
      </w:rPr>
      <w:fldChar w:fldCharType="separate"/>
    </w:r>
    <w:r w:rsidR="00DF3B5F" w:rsidRPr="00DF3B5F">
      <w:rPr>
        <w:noProof/>
        <w:color w:val="888888"/>
        <w:sz w:val="16"/>
        <w:szCs w:val="16"/>
        <w:lang w:val="en-GB"/>
      </w:rPr>
      <w:t>1</w:t>
    </w:r>
    <w:r w:rsidR="00DF3B5F" w:rsidRPr="00DF3B5F">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DF3B5F">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en-GB"/>
      </w:rPr>
    </w:pPr>
    <w:r w:rsidRPr="00DF3B5F">
      <w:rPr>
        <w:b/>
        <w:bCs/>
        <w:color w:val="1F4E79"/>
        <w:sz w:val="18"/>
        <w:szCs w:val="18"/>
        <w:lang w:val="en-GB"/>
      </w:rPr>
      <w:t>[ORGANISATION NAME]</w:t>
    </w:r>
    <w:r w:rsidRPr="00DF3B5F">
      <w:rPr>
        <w:sz w:val="18"/>
        <w:szCs w:val="18"/>
        <w:lang w:val="en-GB"/>
      </w:rPr>
      <w:tab/>
    </w:r>
    <w:r w:rsidRPr="00DF3B5F">
      <w:rPr>
        <w:color w:val="888888"/>
        <w:sz w:val="18"/>
        <w:szCs w:val="18"/>
        <w:lang w:val="en-GB"/>
      </w:rPr>
      <w:t xml:space="preserve">Supply Chain Risk Management Policy  |  v1.0  |  Confidential</w:t>
    </w:r>
    <w:r w:rsidRPr="00DF3B5F">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Supply Chain Risk Management Policy</dc:title>
</cp:coreProperties>
</file>