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CODEALPHA INTERNSHIP</w:t>
      </w:r>
    </w:p>
    <w:p>
      <w:pPr>
        <w:pStyle w:val="Title"/>
      </w:pPr>
      <w:r>
        <w:t>Iris Flower Classification</w:t>
      </w:r>
    </w:p>
    <w:p>
      <w:pPr>
        <w:pStyle w:val="Subtitle"/>
      </w:pPr>
      <w:r>
        <w:t>Project design, findings, and reproducibility</w:t>
      </w:r>
    </w:p>
    <w:p>
      <w:r>
        <w:t>Prepared for nisa3131</w:t>
        <w:br/>
        <w:t>19 October 2026 · Asia/Dhaka</w:t>
      </w:r>
    </w:p>
    <w:p>
      <w:r>
        <w:t>Standard design report layout approved by the user. Findings use the uploaded datasets and measured outputs from the accompanying projects.</w:t>
      </w:r>
    </w:p>
    <w:p>
      <w:pPr>
        <w:pStyle w:val="Heading1"/>
        <w:pageBreakBefore/>
      </w:pPr>
      <w:r>
        <w:t>Iris Flower Classification</w:t>
      </w:r>
    </w:p>
    <w:p>
      <w:r>
        <w:rPr>
          <w:b/>
        </w:rPr>
        <w:t xml:space="preserve">REPOSITORY  </w:t>
      </w:r>
      <w:r>
        <w:t>CodeAlpha_IrisFlowerClassification</w:t>
      </w:r>
    </w:p>
    <w:p>
      <w:pPr>
        <w:pStyle w:val="Heading2"/>
      </w:pPr>
      <w:r>
        <w:t>1  Objective</w:t>
      </w:r>
    </w:p>
    <w:p>
      <w:r>
        <w:t>Classify setosa, versicolor, and virginica flowers from sepal length, sepal width, petal length, and petal width. The task covers supervised classification, preprocessing, model comparison, and evaluation on held-out examples.</w:t>
      </w:r>
    </w:p>
    <w:p>
      <w:pPr>
        <w:pStyle w:val="Heading2"/>
      </w:pPr>
      <w:r>
        <w:t>2  Data and provenance</w:t>
      </w:r>
    </w:p>
    <w:p>
      <w:r>
        <w:t>Input: the user-supplied archive.zip, containing Iris.csv. The task document links to https://www.kaggle.com/datasets/saurabh00007/iriscsv. That link is cited as the assignment’s dataset reference; these analyses use the uploaded files rather than a new download. Original collection details and redistribution licensing were not independently verified. No dataset license is asserted.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Attribute</w:t>
            </w:r>
          </w:p>
        </w:tc>
        <w:tc>
          <w:tcPr>
            <w:tcW w:type="dxa" w:w="4802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Observed data / treatment</w:t>
            </w:r>
          </w:p>
        </w:tc>
      </w:tr>
      <w:tr>
        <w:trPr>
          <w:cantSplit/>
        </w:trPr>
        <w:tc>
          <w:tcPr>
            <w:tcW w:type="dxa" w:w="48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Observations</w:t>
            </w:r>
          </w:p>
        </w:tc>
        <w:tc>
          <w:tcPr>
            <w:tcW w:type="dxa" w:w="48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150; 50 per species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keepNext/>
              <w:keepLines/>
            </w:pPr>
            <w:r>
              <w:rPr>
                <w:sz w:val="18"/>
              </w:rPr>
              <w:t>Predictors</w:t>
            </w:r>
          </w:p>
        </w:tc>
        <w:tc>
          <w:tcPr>
            <w:tcW w:type="dxa" w:w="4802"/>
          </w:tcPr>
          <w:p>
            <w:pPr>
              <w:keepNext/>
              <w:keepLines/>
            </w:pPr>
            <w:r>
              <w:rPr>
                <w:sz w:val="18"/>
              </w:rPr>
              <w:t>Four flower measurements in centimetres; Id excluded</w:t>
            </w:r>
          </w:p>
        </w:tc>
      </w:tr>
      <w:tr>
        <w:trPr>
          <w:cantSplit/>
        </w:trPr>
        <w:tc>
          <w:tcPr>
            <w:tcW w:type="dxa" w:w="48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Data quality</w:t>
            </w:r>
          </w:p>
        </w:tc>
        <w:tc>
          <w:tcPr>
            <w:tcW w:type="dxa" w:w="48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No missing values or duplicate complete rows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keepNext/>
              <w:keepLines/>
            </w:pPr>
            <w:r>
              <w:rPr>
                <w:sz w:val="18"/>
              </w:rPr>
              <w:t>Repeated measurements</w:t>
            </w:r>
          </w:p>
        </w:tc>
        <w:tc>
          <w:tcPr>
            <w:tcW w:type="dxa" w:w="4802"/>
          </w:tcPr>
          <w:p>
            <w:pPr>
              <w:keepNext/>
              <w:keepLines/>
            </w:pPr>
            <w:r>
              <w:rPr>
                <w:sz w:val="18"/>
              </w:rPr>
              <w:t>3 repeated measurement rows; 147 unique measurement groups</w:t>
            </w:r>
          </w:p>
        </w:tc>
      </w:tr>
      <w:tr>
        <w:trPr>
          <w:cantSplit/>
        </w:trPr>
        <w:tc>
          <w:tcPr>
            <w:tcW w:type="dxa" w:w="4802"/>
            <w:shd w:fill="EDF5F6"/>
          </w:tcPr>
          <w:p>
            <w:pPr>
              <w:keepNext w:val="0"/>
              <w:keepLines/>
            </w:pPr>
            <w:r>
              <w:rPr>
                <w:sz w:val="18"/>
              </w:rPr>
              <w:t>Duplicate treatment</w:t>
            </w:r>
          </w:p>
        </w:tc>
        <w:tc>
          <w:tcPr>
            <w:tcW w:type="dxa" w:w="4802"/>
            <w:shd w:fill="EDF5F6"/>
          </w:tcPr>
          <w:p>
            <w:pPr>
              <w:keepNext w:val="0"/>
              <w:keepLines/>
            </w:pPr>
            <w:r>
              <w:rPr>
                <w:sz w:val="18"/>
              </w:rPr>
              <w:t>Retain observations; keep identical measurement groups together in every split</w:t>
            </w:r>
          </w:p>
        </w:tc>
      </w:tr>
    </w:tbl>
    <w:p>
      <w:r>
        <w:t>Identical measurements can represent separate flowers, so they are retained. Their group identity is used for both the train/test partition and cross-validation to prevent the same measurement vector appearing on both sides. No identical measurement group has conflicting species labels.</w:t>
      </w:r>
    </w:p>
    <w:p>
      <w:pPr>
        <w:pStyle w:val="Heading2"/>
      </w:pPr>
      <w:r>
        <w:t>3  Method and evaluation</w:t>
      </w:r>
    </w:p>
    <w:p>
      <w:r>
        <w:t>With random seed 42, the first fold from a shuffled five-fold StratifiedGroupKFold creates 120 training and 30 held-out observations. Each held-out species has 10 examples, and no measurement group crosses the partition. Group constraints make stratification approximate in general.</w:t>
      </w:r>
    </w:p>
    <w:p>
      <w:r>
        <w:t>Four candidates are compared: a most-frequent-class baseline, logistic regression, k-nearest neighbours, and a radial-basis support vector classifier. Numeric scaling is inside each estimator’s pipeline and therefore fit only on the training portion of each fold. Predefined grids are C = 0.1, 1, 10 for logistic regression and SVM, and k = 3, 5, 7 for neighbours.</w:t>
      </w:r>
    </w:p>
    <w:p>
      <w:r>
        <w:t>Training-only, five-fold group-aware cross-validation selects hyperparameters using mean macro F1. Model-level ties use mean CV accuracy and then model name. The winner is fit on the full training partition and evaluated once on the held-out partition. The test score does not choose the model.</w:t>
      </w:r>
    </w:p>
    <w:p>
      <w:pPr>
        <w:pStyle w:val="Heading2"/>
      </w:pPr>
      <w:r>
        <w:t>4  Results and interpretation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Candidate</w:t>
            </w:r>
          </w:p>
        </w:tc>
        <w:tc>
          <w:tcPr>
            <w:tcW w:type="dxa" w:w="3202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CV macro F1</w:t>
              <w:br/>
              <w:t>mean ± SD</w:t>
            </w:r>
          </w:p>
        </w:tc>
        <w:tc>
          <w:tcPr>
            <w:tcW w:type="dxa" w:w="3202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CV accuracy</w:t>
            </w:r>
          </w:p>
        </w:tc>
      </w:tr>
      <w:tr>
        <w:trPr>
          <w:cantSplit/>
        </w:trPr>
        <w:tc>
          <w:tcPr>
            <w:tcW w:type="dxa" w:w="32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logistic regression</w:t>
            </w:r>
          </w:p>
        </w:tc>
        <w:tc>
          <w:tcPr>
            <w:tcW w:type="dxa" w:w="32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0.9666 ± 0.0312</w:t>
            </w:r>
          </w:p>
        </w:tc>
        <w:tc>
          <w:tcPr>
            <w:tcW w:type="dxa" w:w="32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0.9667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keepNext/>
              <w:keepLines/>
            </w:pPr>
            <w:r>
              <w:rPr>
                <w:sz w:val="18"/>
              </w:rPr>
              <w:t>knn</w:t>
            </w:r>
          </w:p>
        </w:tc>
        <w:tc>
          <w:tcPr>
            <w:tcW w:type="dxa" w:w="3202"/>
          </w:tcPr>
          <w:p>
            <w:pPr>
              <w:keepNext/>
              <w:keepLines/>
            </w:pPr>
            <w:r>
              <w:rPr>
                <w:sz w:val="18"/>
              </w:rPr>
              <w:t>0.9582 ± 0.0264</w:t>
            </w:r>
          </w:p>
        </w:tc>
        <w:tc>
          <w:tcPr>
            <w:tcW w:type="dxa" w:w="3202"/>
          </w:tcPr>
          <w:p>
            <w:pPr>
              <w:keepNext/>
              <w:keepLines/>
            </w:pPr>
            <w:r>
              <w:rPr>
                <w:sz w:val="18"/>
              </w:rPr>
              <w:t>0.9583</w:t>
            </w:r>
          </w:p>
        </w:tc>
      </w:tr>
      <w:tr>
        <w:trPr>
          <w:cantSplit/>
        </w:trPr>
        <w:tc>
          <w:tcPr>
            <w:tcW w:type="dxa" w:w="32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rbf svm</w:t>
            </w:r>
          </w:p>
        </w:tc>
        <w:tc>
          <w:tcPr>
            <w:tcW w:type="dxa" w:w="32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0.9582 ± 0.0264</w:t>
            </w:r>
          </w:p>
        </w:tc>
        <w:tc>
          <w:tcPr>
            <w:tcW w:type="dxa" w:w="3202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0.9583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keepNext w:val="0"/>
              <w:keepLines/>
            </w:pPr>
            <w:r>
              <w:rPr>
                <w:sz w:val="18"/>
              </w:rPr>
              <w:t>dummy most frequent</w:t>
            </w:r>
          </w:p>
        </w:tc>
        <w:tc>
          <w:tcPr>
            <w:tcW w:type="dxa" w:w="3202"/>
          </w:tcPr>
          <w:p>
            <w:pPr>
              <w:keepNext w:val="0"/>
              <w:keepLines/>
            </w:pPr>
            <w:r>
              <w:rPr>
                <w:sz w:val="18"/>
              </w:rPr>
              <w:t>0.1667 ± 0.0000</w:t>
            </w:r>
          </w:p>
        </w:tc>
        <w:tc>
          <w:tcPr>
            <w:tcW w:type="dxa" w:w="3202"/>
          </w:tcPr>
          <w:p>
            <w:pPr>
              <w:keepNext w:val="0"/>
              <w:keepLines/>
            </w:pPr>
            <w:r>
              <w:rPr>
                <w:sz w:val="18"/>
              </w:rPr>
              <w:t>0.3333</w:t>
            </w:r>
          </w:p>
        </w:tc>
      </w:tr>
    </w:tbl>
    <w:p>
      <w:pPr>
        <w:pStyle w:val="Caption"/>
      </w:pPr>
      <w:r>
        <w:t>Training cross-validation scores. The standard deviation describes variation across five folds, not a confidence interval.</w:t>
      </w:r>
    </w:p>
    <w:p>
      <w:r/>
      <w:r>
        <w:rPr>
          <w:b/>
        </w:rPr>
        <w:t>Selected model: logistic regression (C = 10).</w:t>
      </w:r>
      <w:r>
        <w:t xml:space="preserve"> Its mean CV macro F1 is 0.9666. Held-out accuracy and macro F1 are 1.000 and 1.000, respectively. The most-frequent baseline reaches 0.333 accuracy and 0.167 macro F1.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1921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Species</w:t>
            </w:r>
          </w:p>
        </w:tc>
        <w:tc>
          <w:tcPr>
            <w:tcW w:type="dxa" w:w="1921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Test n</w:t>
            </w:r>
          </w:p>
        </w:tc>
        <w:tc>
          <w:tcPr>
            <w:tcW w:type="dxa" w:w="1921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921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921"/>
            <w:shd w:fill="15324D"/>
          </w:tcPr>
          <w:p>
            <w:pPr>
              <w:keepNext/>
              <w:keepLines/>
            </w:pPr>
            <w:r>
              <w:rPr>
                <w:b/>
                <w:color w:val="FFFFFF"/>
              </w:rPr>
              <w:t>F1</w:t>
            </w:r>
          </w:p>
        </w:tc>
      </w:tr>
      <w:tr>
        <w:trPr>
          <w:cantSplit/>
        </w:trPr>
        <w:tc>
          <w:tcPr>
            <w:tcW w:type="dxa" w:w="1921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setosa</w:t>
            </w:r>
          </w:p>
        </w:tc>
        <w:tc>
          <w:tcPr>
            <w:tcW w:type="dxa" w:w="1921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10</w:t>
            </w:r>
          </w:p>
        </w:tc>
        <w:tc>
          <w:tcPr>
            <w:tcW w:type="dxa" w:w="1921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1.000</w:t>
            </w:r>
          </w:p>
        </w:tc>
        <w:tc>
          <w:tcPr>
            <w:tcW w:type="dxa" w:w="1921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1.000</w:t>
            </w:r>
          </w:p>
        </w:tc>
        <w:tc>
          <w:tcPr>
            <w:tcW w:type="dxa" w:w="1921"/>
            <w:shd w:fill="EDF5F6"/>
          </w:tcPr>
          <w:p>
            <w:pPr>
              <w:keepNext/>
              <w:keepLines/>
            </w:pPr>
            <w:r>
              <w:rPr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921"/>
          </w:tcPr>
          <w:p>
            <w:pPr>
              <w:keepNext/>
              <w:keepLines/>
            </w:pPr>
            <w:r>
              <w:rPr>
                <w:sz w:val="18"/>
              </w:rPr>
              <w:t>versicolor</w:t>
            </w:r>
          </w:p>
        </w:tc>
        <w:tc>
          <w:tcPr>
            <w:tcW w:type="dxa" w:w="1921"/>
          </w:tcPr>
          <w:p>
            <w:pPr>
              <w:keepNext/>
              <w:keepLines/>
            </w:pPr>
            <w:r>
              <w:rPr>
                <w:sz w:val="18"/>
              </w:rPr>
              <w:t>10</w:t>
            </w:r>
          </w:p>
        </w:tc>
        <w:tc>
          <w:tcPr>
            <w:tcW w:type="dxa" w:w="1921"/>
          </w:tcPr>
          <w:p>
            <w:pPr>
              <w:keepNext/>
              <w:keepLines/>
            </w:pPr>
            <w:r>
              <w:rPr>
                <w:sz w:val="18"/>
              </w:rPr>
              <w:t>1.000</w:t>
            </w:r>
          </w:p>
        </w:tc>
        <w:tc>
          <w:tcPr>
            <w:tcW w:type="dxa" w:w="1921"/>
          </w:tcPr>
          <w:p>
            <w:pPr>
              <w:keepNext/>
              <w:keepLines/>
            </w:pPr>
            <w:r>
              <w:rPr>
                <w:sz w:val="18"/>
              </w:rPr>
              <w:t>1.000</w:t>
            </w:r>
          </w:p>
        </w:tc>
        <w:tc>
          <w:tcPr>
            <w:tcW w:type="dxa" w:w="1921"/>
          </w:tcPr>
          <w:p>
            <w:pPr>
              <w:keepNext/>
              <w:keepLines/>
            </w:pPr>
            <w:r>
              <w:rPr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1921"/>
            <w:shd w:fill="EDF5F6"/>
          </w:tcPr>
          <w:p>
            <w:pPr>
              <w:keepNext w:val="0"/>
              <w:keepLines/>
            </w:pPr>
            <w:r>
              <w:rPr>
                <w:sz w:val="18"/>
              </w:rPr>
              <w:t>virginica</w:t>
            </w:r>
          </w:p>
        </w:tc>
        <w:tc>
          <w:tcPr>
            <w:tcW w:type="dxa" w:w="1921"/>
            <w:shd w:fill="EDF5F6"/>
          </w:tcPr>
          <w:p>
            <w:pPr>
              <w:keepNext w:val="0"/>
              <w:keepLines/>
            </w:pPr>
            <w:r>
              <w:rPr>
                <w:sz w:val="18"/>
              </w:rPr>
              <w:t>10</w:t>
            </w:r>
          </w:p>
        </w:tc>
        <w:tc>
          <w:tcPr>
            <w:tcW w:type="dxa" w:w="1921"/>
            <w:shd w:fill="EDF5F6"/>
          </w:tcPr>
          <w:p>
            <w:pPr>
              <w:keepNext w:val="0"/>
              <w:keepLines/>
            </w:pPr>
            <w:r>
              <w:rPr>
                <w:sz w:val="18"/>
              </w:rPr>
              <w:t>1.000</w:t>
            </w:r>
          </w:p>
        </w:tc>
        <w:tc>
          <w:tcPr>
            <w:tcW w:type="dxa" w:w="1921"/>
            <w:shd w:fill="EDF5F6"/>
          </w:tcPr>
          <w:p>
            <w:pPr>
              <w:keepNext w:val="0"/>
              <w:keepLines/>
            </w:pPr>
            <w:r>
              <w:rPr>
                <w:sz w:val="18"/>
              </w:rPr>
              <w:t>1.000</w:t>
            </w:r>
          </w:p>
        </w:tc>
        <w:tc>
          <w:tcPr>
            <w:tcW w:type="dxa" w:w="1921"/>
            <w:shd w:fill="EDF5F6"/>
          </w:tcPr>
          <w:p>
            <w:pPr>
              <w:keepNext w:val="0"/>
              <w:keepLines/>
            </w:pPr>
            <w:r>
              <w:rPr>
                <w:sz w:val="18"/>
              </w:rPr>
              <w:t>1.000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l_measure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Descriptive petal measurements in the supplied dataset. Setosa is visibly separated; versicolor and virginica overlap more.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Held-out confusion matrix for the CV-selected model. All 30 test observations are correctly classified in this split.</w:t>
      </w:r>
    </w:p>
    <w:p>
      <w:pPr>
        <w:pStyle w:val="Heading2"/>
      </w:pPr>
      <w:r>
        <w:t>5  Limitations and next steps</w:t>
      </w:r>
    </w:p>
    <w:p>
      <w:pPr>
        <w:pStyle w:val="ListBullet"/>
      </w:pPr>
      <w:r>
        <w:t>A perfect score on 30 held-out examples has substantial sampling uncertainty. It does not establish performance on flowers from new locations, instruments, or populations.</w:t>
      </w:r>
    </w:p>
    <w:p>
      <w:pPr>
        <w:pStyle w:val="ListBullet"/>
      </w:pPr>
      <w:r>
        <w:t>Grouping identical vectors reduces direct duplicate leakage; unrecorded biological or collection relationships may still remain.</w:t>
      </w:r>
    </w:p>
    <w:p>
      <w:pPr>
        <w:pStyle w:val="ListBullet"/>
      </w:pPr>
      <w:r>
        <w:t>The labels and measurements are not independently verified. This is an educational model, with no external validation or deployment assessment.</w:t>
      </w:r>
    </w:p>
    <w:p>
      <w:pPr>
        <w:pStyle w:val="ListBullet"/>
      </w:pPr>
      <w:r>
        <w:t>The next evaluation should use an independently collected, well-documented flower dataset and report uncertainty before relying on predictions operationally.</w:t>
      </w:r>
    </w:p>
    <w:p>
      <w:pPr>
        <w:pStyle w:val="Heading2"/>
      </w:pPr>
      <w:r>
        <w:t>6  Reproducibility</w:t>
      </w:r>
    </w:p>
    <w:p>
      <w:r>
        <w:t>Validation recorded on 19 October 2026: the delivered notebook executed 4 code cells with 0 recorded errors. The analysis pipeline and its built-in data/evaluation checks completed successfully. The project’s 2 unit tests also passed.</w:t>
      </w:r>
    </w:p>
    <w:p>
      <w:r>
        <w:t>Install the pinned requirements and rerun from the repository root. The notebook calls the same analysis pipeline.</w:t>
      </w:r>
    </w:p>
    <w:p>
      <w:pPr>
        <w:keepLines/>
        <w:ind w:left="216"/>
      </w:pPr>
      <w:r>
        <w:rPr>
          <w:rFonts w:ascii="Consolas" w:hAnsi="Consolas"/>
          <w:sz w:val="16"/>
        </w:rPr>
        <w:t>python -m venv .venv</w:t>
      </w:r>
      <w:r>
        <w:rPr>
          <w:rFonts w:ascii="Consolas" w:hAnsi="Consolas"/>
          <w:sz w:val="16"/>
        </w:rPr>
        <w:br/>
        <w:t>. .venv/bin/activate</w:t>
      </w:r>
      <w:r>
        <w:rPr>
          <w:rFonts w:ascii="Consolas" w:hAnsi="Consolas"/>
          <w:sz w:val="16"/>
        </w:rPr>
        <w:br/>
        <w:t>python -m pip install -r requirements.txt</w:t>
      </w:r>
      <w:r>
        <w:rPr>
          <w:rFonts w:ascii="Consolas" w:hAnsi="Consolas"/>
          <w:sz w:val="16"/>
        </w:rPr>
        <w:br/>
        <w:t>python analysis.py</w:t>
      </w:r>
      <w:r>
        <w:rPr>
          <w:rFonts w:ascii="Consolas" w:hAnsi="Consolas"/>
          <w:sz w:val="16"/>
        </w:rPr>
        <w:br/>
        <w:t>python -m unittest discover -s tests -v</w:t>
      </w:r>
    </w:p>
    <w:p>
      <w:r>
        <w:t>outputs/metrics.json records versions, split sizes, selected parameters, and per-class evaluation. outputs/data_audit.json records the source SHA-256 and quality checks. split_assignments.csv and cv_results.csv expose group membership and every tried configuration; test_predictions.csv records held-out outcomes. The final estimator is fit on training data only.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nisa3131  •  19 October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CODEALPHA  /  DATA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color w:val="2536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5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5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7F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15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6" w:lineRule="auto"/>
    </w:pPr>
    <w:rPr>
      <w:rFonts w:ascii="Calibri" w:hAnsi="Calibri"/>
      <w:color w:val="253648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Calibri" w:hAnsi="Calibri"/>
      <w:color w:val="25364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264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Flower Classification</dc:title>
  <dc:subject>CodeAlpha Data Science task design and evaluation</dc:subject>
  <dc:creator>nisa3131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