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B95F" w14:textId="77777777" w:rsidR="009236AE" w:rsidRDefault="00000000">
      <w:pPr>
        <w:spacing w:before="1800"/>
        <w:jc w:val="center"/>
      </w:pPr>
      <w:r>
        <w:rPr>
          <w:b/>
          <w:color w:val="275C43"/>
          <w:sz w:val="56"/>
        </w:rPr>
        <w:t>LEXILAND</w:t>
      </w:r>
    </w:p>
    <w:p w14:paraId="2DC72164" w14:textId="1AEDEB0B" w:rsidR="009236AE" w:rsidRDefault="00000000">
      <w:pPr>
        <w:jc w:val="center"/>
      </w:pPr>
      <w:r>
        <w:rPr>
          <w:b/>
          <w:sz w:val="32"/>
        </w:rPr>
        <w:t xml:space="preserve">A Bilingual Gamified Learning </w:t>
      </w:r>
      <w:r w:rsidR="00A361A8">
        <w:rPr>
          <w:b/>
          <w:sz w:val="32"/>
        </w:rPr>
        <w:t xml:space="preserve">Platform </w:t>
      </w:r>
      <w:r w:rsidR="00A361A8">
        <w:rPr>
          <w:b/>
          <w:sz w:val="32"/>
        </w:rPr>
        <w:t xml:space="preserve">to </w:t>
      </w:r>
      <w:r>
        <w:rPr>
          <w:b/>
          <w:sz w:val="32"/>
        </w:rPr>
        <w:t xml:space="preserve">Support Sri Lankan </w:t>
      </w:r>
      <w:r w:rsidR="00A361A8">
        <w:rPr>
          <w:b/>
          <w:sz w:val="32"/>
        </w:rPr>
        <w:t>Dyslexi</w:t>
      </w:r>
      <w:r w:rsidR="00A361A8">
        <w:rPr>
          <w:b/>
          <w:sz w:val="32"/>
        </w:rPr>
        <w:t>c</w:t>
      </w:r>
      <w:r w:rsidR="00A361A8">
        <w:rPr>
          <w:b/>
          <w:sz w:val="32"/>
        </w:rPr>
        <w:t xml:space="preserve"> </w:t>
      </w:r>
      <w:r>
        <w:rPr>
          <w:b/>
          <w:sz w:val="32"/>
        </w:rPr>
        <w:t>Primary Students</w:t>
      </w:r>
    </w:p>
    <w:p w14:paraId="4B58D5CA" w14:textId="44570903" w:rsidR="009236AE" w:rsidRDefault="00000000">
      <w:pPr>
        <w:spacing w:before="500"/>
        <w:jc w:val="center"/>
      </w:pPr>
      <w:r>
        <w:rPr>
          <w:b/>
        </w:rPr>
        <w:t>Condensed Common Research Thesis</w:t>
      </w:r>
    </w:p>
    <w:p w14:paraId="2A0E85C5" w14:textId="77777777" w:rsidR="009236AE" w:rsidRDefault="00000000">
      <w:pPr>
        <w:spacing w:before="360"/>
        <w:jc w:val="center"/>
      </w:pPr>
      <w:r>
        <w:t>Project ID: R26-IT-130</w:t>
      </w:r>
    </w:p>
    <w:p w14:paraId="0A2E92D0" w14:textId="603ACBAA" w:rsidR="009236AE" w:rsidRDefault="00000000">
      <w:pPr>
        <w:spacing w:before="440"/>
        <w:jc w:val="center"/>
      </w:pPr>
      <w:r>
        <w:t xml:space="preserve">Dewminie W.T.M </w:t>
      </w:r>
      <w:r w:rsidR="00E37466">
        <w:t xml:space="preserve">- </w:t>
      </w:r>
      <w:r>
        <w:t>IT22127150</w:t>
      </w:r>
      <w:r>
        <w:br/>
        <w:t xml:space="preserve">Fernando K.H.D.M </w:t>
      </w:r>
      <w:r w:rsidR="00E37466">
        <w:t xml:space="preserve">- </w:t>
      </w:r>
      <w:r>
        <w:t>IT22141088</w:t>
      </w:r>
      <w:r>
        <w:br/>
        <w:t xml:space="preserve">Khan N.A.B </w:t>
      </w:r>
      <w:r w:rsidR="00E37466">
        <w:t xml:space="preserve">- </w:t>
      </w:r>
      <w:r>
        <w:t>IT22266064</w:t>
      </w:r>
      <w:r>
        <w:br/>
        <w:t xml:space="preserve">Navod J.N </w:t>
      </w:r>
      <w:r w:rsidR="00E37466">
        <w:t xml:space="preserve">- </w:t>
      </w:r>
      <w:r>
        <w:t>IT22027542</w:t>
      </w:r>
    </w:p>
    <w:p w14:paraId="37C2EA8A" w14:textId="6B304C15" w:rsidR="009236AE" w:rsidRDefault="00000000">
      <w:pPr>
        <w:spacing w:before="560"/>
        <w:jc w:val="center"/>
      </w:pPr>
      <w:r>
        <w:t>Department of Information Technology</w:t>
      </w:r>
      <w:r>
        <w:br/>
        <w:t>Sri Lanka Institute of Information Technology</w:t>
      </w:r>
      <w:r>
        <w:br/>
        <w:t>October 2026</w:t>
      </w:r>
    </w:p>
    <w:p w14:paraId="4BAC73B8" w14:textId="77777777" w:rsidR="009236AE" w:rsidRDefault="00000000">
      <w:pPr>
        <w:spacing w:before="700"/>
        <w:jc w:val="center"/>
      </w:pPr>
      <w:r>
        <w:rPr>
          <w:i/>
          <w:sz w:val="20"/>
        </w:rPr>
        <w:t>This is a shortened overview prepared for the LexiLand website. It is not the fully completed dissertation.</w:t>
      </w:r>
    </w:p>
    <w:p w14:paraId="31E02D8A" w14:textId="77777777" w:rsidR="009236AE" w:rsidRDefault="00000000">
      <w:r>
        <w:br w:type="page"/>
      </w:r>
    </w:p>
    <w:p w14:paraId="003FDCDB" w14:textId="77777777" w:rsidR="009236AE" w:rsidRDefault="00000000">
      <w:pPr>
        <w:pStyle w:val="Heading1"/>
      </w:pPr>
      <w:r>
        <w:lastRenderedPageBreak/>
        <w:t>Abstract</w:t>
      </w:r>
    </w:p>
    <w:p w14:paraId="2D08693E" w14:textId="77777777" w:rsidR="009236AE" w:rsidRDefault="00000000">
      <w:pPr>
        <w:spacing w:line="259" w:lineRule="auto"/>
      </w:pPr>
      <w:r>
        <w:t>Dyslexia-related difficulties can affect children’s reading accuracy, fluency, spelling and processing of spoken and written language. In Sri Lanka, identification may be delayed because awareness and Sinhala screening resources are limited, while many digital tools focus on English or a single skill. LexiLand is a bilingual (Sinhala and English), gamified web platform designed to screen for possible dyslexia-related difficulties among Grade 2–4 students and provide personalised learning support.</w:t>
      </w:r>
    </w:p>
    <w:p w14:paraId="36BA4565" w14:textId="77777777" w:rsidR="009236AE" w:rsidRDefault="00000000">
      <w:pPr>
        <w:spacing w:line="259" w:lineRule="auto"/>
      </w:pPr>
      <w:r>
        <w:t>The platform integrates four components: Working Memory, Phonological Awareness, Reading Processing and Speech Processing. Each follows an identification, results, support-level, improvement and progress-reporting cycle within one learner profile. LexiLand uses transparent weighted scoring and Random Forest models. Reading Processing adds webcam-based gaze analysis using MediaPipe, while Speech Processing uses Whisper-based speech recognition and analysis of oral-reading errors. The platform was developed using React, Node.js, Express, MongoDB and Python services, with a child-friendly, audio-first interface designed under specialist guidance.</w:t>
      </w:r>
    </w:p>
    <w:p w14:paraId="2304FBB3" w14:textId="77777777" w:rsidR="009236AE" w:rsidRDefault="00000000">
      <w:pPr>
        <w:spacing w:line="259" w:lineRule="auto"/>
      </w:pPr>
      <w:r>
        <w:t>School-based screening was conducted at Malabe Primary School with permission from the Department of Education, Western Province, and additional testing took place at Sounds Mind Academy, Rajagiriya. Automated verification passed 35 of 35 backend tests and 1,303 of 1,303 frontend tests. Five-fold cross-validation reported accuracies of 99.8% for Working Memory and 91.8% for Phonological Awareness. The Speech Processing prototype reached 67.8% accuracy on public data with proxy labels, while final Reading Processing results remain pending. LexiLand provides support indicators, not clinical diagnoses.</w:t>
      </w:r>
    </w:p>
    <w:p w14:paraId="1138CADC" w14:textId="77777777" w:rsidR="009236AE" w:rsidRDefault="00000000">
      <w:pPr>
        <w:spacing w:line="259" w:lineRule="auto"/>
      </w:pPr>
      <w:r>
        <w:t>Keywords: Dyslexia, bilingual learning, gamified screening, personalised intervention, machine learning.</w:t>
      </w:r>
    </w:p>
    <w:p w14:paraId="4ACB22AD" w14:textId="77777777" w:rsidR="009236AE" w:rsidRDefault="00000000">
      <w:pPr>
        <w:pStyle w:val="Heading1"/>
      </w:pPr>
      <w:r>
        <w:t>1. Introduction and Background</w:t>
      </w:r>
    </w:p>
    <w:p w14:paraId="6DFE2EFF" w14:textId="77777777" w:rsidR="009236AE" w:rsidRDefault="00000000">
      <w:pPr>
        <w:spacing w:line="259" w:lineRule="auto"/>
      </w:pPr>
      <w:r>
        <w:t>Reading difficulties can affect a child’s ability to follow lessons, complete written work and keep pace with classmates. Dyslexia is associated with difficulties in accurate or fluent word recognition, spelling and decoding. Research describes dyslexia-related difficulties as multi-dimensional: children may experience different combinations of challenges involving phonological processing, working memory, reading behaviour and oral reading.</w:t>
      </w:r>
    </w:p>
    <w:p w14:paraId="4B5DD8E8" w14:textId="77777777" w:rsidR="009236AE" w:rsidRDefault="00000000">
      <w:pPr>
        <w:spacing w:line="259" w:lineRule="auto"/>
      </w:pPr>
      <w:r>
        <w:t>This is particularly relevant in Sri Lanka, where Sinhala has a distinct writing system and reading difficulties may not be adequately addressed by tools designed only for English. The literature identifies a need for culturally appropriate screening instruments, greater awareness among teachers and caregivers, and accessible resources that connect identification with structured practice.</w:t>
      </w:r>
    </w:p>
    <w:p w14:paraId="6A572840" w14:textId="77777777" w:rsidR="009236AE" w:rsidRDefault="00000000">
      <w:pPr>
        <w:spacing w:line="259" w:lineRule="auto"/>
      </w:pPr>
      <w:r>
        <w:t>Existing digital systems demonstrate the potential of gamified screening, phonics activities, eye-movement analysis and speech recognition. However, these capabilities are often distributed across separate tools. LexiLand addresses this gap by bringing four complementary skill areas together in one Sinhala–English platform for Grade 2–4 learners, with progress information for parents, teachers and schools.</w:t>
      </w:r>
    </w:p>
    <w:p w14:paraId="2CB015A3" w14:textId="77777777" w:rsidR="009236AE" w:rsidRDefault="00000000">
      <w:pPr>
        <w:spacing w:line="259" w:lineRule="auto"/>
      </w:pPr>
      <w:r>
        <w:t>The interface uses short activities, audio-supported instructions, clear typography, predictable navigation, colour-coded levels and supportive feedback. These design choices aim to make activities accessible to children who may find text-heavy interfaces difficult.</w:t>
      </w:r>
    </w:p>
    <w:p w14:paraId="7A3AE7C0" w14:textId="77777777" w:rsidR="009236AE" w:rsidRDefault="00000000">
      <w:pPr>
        <w:pStyle w:val="Heading1"/>
      </w:pPr>
      <w:r>
        <w:t>2. Research Problem, Objectives and Scope</w:t>
      </w:r>
    </w:p>
    <w:p w14:paraId="40D9B346" w14:textId="77777777" w:rsidR="009236AE" w:rsidRDefault="00000000">
      <w:pPr>
        <w:spacing w:line="259" w:lineRule="auto"/>
      </w:pPr>
      <w:r>
        <w:t>The common research problem is that Sri Lankan primary students in Grades 2–4 who experience dyslexia-related difficulties may be identified late and lack accessible Sinhala–English means of identifying specific skill weaknesses and receiving matched, monitored practice.</w:t>
      </w:r>
    </w:p>
    <w:p w14:paraId="7ABF6E73" w14:textId="77777777" w:rsidR="009236AE" w:rsidRDefault="00000000">
      <w:pPr>
        <w:spacing w:line="259" w:lineRule="auto"/>
      </w:pPr>
      <w:r>
        <w:t>The main objective is to design, develop and evaluate an integrated, bilingual and gamified web platform that screens possible dyslexia-related difficulties across four skill areas and provides personalised, progressive learning support with progress monitoring.</w:t>
      </w:r>
    </w:p>
    <w:p w14:paraId="1CFD32CE" w14:textId="77777777" w:rsidR="009236AE" w:rsidRDefault="00000000">
      <w:pPr>
        <w:pStyle w:val="Heading2"/>
      </w:pPr>
      <w:r>
        <w:lastRenderedPageBreak/>
        <w:t>2.1 Four research components</w:t>
      </w:r>
    </w:p>
    <w:p w14:paraId="3892DA95" w14:textId="77777777" w:rsidR="009236AE" w:rsidRDefault="00000000">
      <w:pPr>
        <w:pStyle w:val="ListBullet"/>
        <w:spacing w:after="40"/>
      </w:pPr>
      <w:r>
        <w:t>Working Memory: examines the ability to hold and sequence information such as numbers, words, pictures and instructions.</w:t>
      </w:r>
    </w:p>
    <w:p w14:paraId="74D8667C" w14:textId="77777777" w:rsidR="009236AE" w:rsidRDefault="00000000">
      <w:pPr>
        <w:pStyle w:val="ListBullet"/>
        <w:spacing w:after="40"/>
      </w:pPr>
      <w:r>
        <w:t>Phonological Awareness: focuses on sound, letter, visual-letter and spelling awareness in Sinhala and English.</w:t>
      </w:r>
    </w:p>
    <w:p w14:paraId="2CE09384" w14:textId="77777777" w:rsidR="009236AE" w:rsidRDefault="00000000">
      <w:pPr>
        <w:pStyle w:val="ListBullet"/>
        <w:spacing w:after="40"/>
      </w:pPr>
      <w:r>
        <w:t>Reading Processing: examines reading behaviour, including accuracy, response timing and webcam-based gaze evidence.</w:t>
      </w:r>
    </w:p>
    <w:p w14:paraId="3E87FB28" w14:textId="77777777" w:rsidR="009236AE" w:rsidRDefault="00000000">
      <w:pPr>
        <w:pStyle w:val="ListBullet"/>
        <w:spacing w:after="40"/>
      </w:pPr>
      <w:r>
        <w:t>Speech Processing: analyses reading aloud using recordings, transcripts, word- and sentence-level errors and acoustic features.</w:t>
      </w:r>
    </w:p>
    <w:p w14:paraId="01BAFCF6" w14:textId="77777777" w:rsidR="009236AE" w:rsidRDefault="00000000">
      <w:pPr>
        <w:spacing w:line="259" w:lineRule="auto"/>
      </w:pPr>
      <w:r>
        <w:t>The platform is intended for Grade 2–4 students, approximately 7–9 years old, and supports Sinhala and English. It includes learner, parent/teacher, school-administrator and super-administrator roles, as well as screening, improvement activities and progress reports. Clinical diagnosis, Tamil-medium content, students outside the target grades and native mobile applications are outside the current scope.</w:t>
      </w:r>
    </w:p>
    <w:p w14:paraId="7D870B28" w14:textId="77777777" w:rsidR="009236AE" w:rsidRDefault="00000000">
      <w:pPr>
        <w:spacing w:line="259" w:lineRule="auto"/>
      </w:pPr>
      <w:r>
        <w:t>LexiLand’s results are support indicators rather than diagnoses. A high-support result means that performance crossed a defined activity threshold; it does not confirm dyslexia. Children who continue to experience difficulties should be referred to a qualified professional.</w:t>
      </w:r>
    </w:p>
    <w:p w14:paraId="40C3FAAA" w14:textId="77777777" w:rsidR="009236AE" w:rsidRDefault="00000000">
      <w:pPr>
        <w:pStyle w:val="Heading1"/>
      </w:pPr>
      <w:r>
        <w:t>3. Proposed Solution and Methodology</w:t>
      </w:r>
    </w:p>
    <w:p w14:paraId="3974235A" w14:textId="77777777" w:rsidR="009236AE" w:rsidRDefault="00000000">
      <w:pPr>
        <w:spacing w:line="259" w:lineRule="auto"/>
      </w:pPr>
      <w:r>
        <w:t>LexiLand is one integrated web platform rather than four separate applications. A learner signs in once and accesses four mascot-guided learning areas through a shared profile that stores grade, preferred language, stars and activity history. Each component contributes a separate view of the learner’s abilities while using a common identification-to-improvement workflow.</w:t>
      </w:r>
    </w:p>
    <w:p w14:paraId="377CF422" w14:textId="77777777" w:rsidR="009236AE" w:rsidRDefault="00000000">
      <w:pPr>
        <w:spacing w:line="259" w:lineRule="auto"/>
      </w:pPr>
      <w:r>
        <w:t>The project followed a design-and-evaluate methodology: requirements were identified through literature review and stakeholder discussions; grade- and language-specific activities were designed and reviewed under specialist guidance; transparent weighted rules were defined for scores, weak areas and starting levels; machine-learning models were trained; the components were integrated; and the platform was evaluated through automated tests, model evaluation, pilot activities and stakeholder validation.</w:t>
      </w:r>
    </w:p>
    <w:p w14:paraId="4FAE9E48" w14:textId="77777777" w:rsidR="009236AE" w:rsidRDefault="00000000">
      <w:pPr>
        <w:spacing w:line="259" w:lineRule="auto"/>
      </w:pPr>
      <w:r>
        <w:t>Random Forest classifiers were used across the four components to predict three-level risk or support classes. The rule-based scores remain the interpretable explanation shown to adults. The sensor-based components add separate evidence streams: Reading Processing uses webcam gaze data, while Speech Processing uses recordings of children reading aloud. Quality checks are intended to prevent technical problems, such as poor recordings or missing gaze data, from being interpreted as learning difficulties.</w:t>
      </w:r>
    </w:p>
    <w:p w14:paraId="78FB1981" w14:textId="77777777" w:rsidR="009236AE" w:rsidRDefault="00000000">
      <w:pPr>
        <w:pStyle w:val="Heading1"/>
      </w:pPr>
      <w:r>
        <w:t>4. Platform Architecture and Integration</w:t>
      </w:r>
    </w:p>
    <w:p w14:paraId="540E528A" w14:textId="77777777" w:rsidR="009236AE" w:rsidRDefault="00000000">
      <w:pPr>
        <w:spacing w:line="259" w:lineRule="auto"/>
      </w:pPr>
      <w:r>
        <w:t>The shared platform combines a React frontend, a Node.js and Express API, MongoDB data storage and Python services for machine-learning and media-processing tasks. Authentication, learner profiles, reporting, interface conventions and common data structures are shared across the components.</w:t>
      </w:r>
    </w:p>
    <w:p w14:paraId="44814888" w14:textId="77777777" w:rsidR="009236AE" w:rsidRDefault="00000000">
      <w:pPr>
        <w:spacing w:line="259" w:lineRule="auto"/>
      </w:pPr>
      <w:r>
        <w:t>The integrated workflow begins when a learner completes identification activities. Responses are analysed and converted into a component-level support indication, after which the platform provides a suitable starting level for improvement games. Progress is recorded and made available through reports for adults supporting the learner.</w:t>
      </w:r>
    </w:p>
    <w:p w14:paraId="2EC85F6D" w14:textId="77777777" w:rsidR="009236AE" w:rsidRDefault="00000000">
      <w:pPr>
        <w:spacing w:line="259" w:lineRule="auto"/>
      </w:pPr>
      <w:r>
        <w:t>The shared design system uses a jungle theme, animal mascots, audio-first instructions, consistent navigation, colour-coded levels and encouraging retry feedback. The common structure is intended to provide a coherent experience for children while giving adults component-specific results instead of one overall score.</w:t>
      </w:r>
    </w:p>
    <w:p w14:paraId="5801A027" w14:textId="77777777" w:rsidR="009236AE" w:rsidRDefault="00000000">
      <w:pPr>
        <w:pStyle w:val="Heading1"/>
      </w:pPr>
      <w:r>
        <w:lastRenderedPageBreak/>
        <w:t>5. Implementation and Evaluation</w:t>
      </w:r>
    </w:p>
    <w:p w14:paraId="5169E3EA" w14:textId="77777777" w:rsidR="009236AE" w:rsidRDefault="00000000">
      <w:pPr>
        <w:spacing w:line="259" w:lineRule="auto"/>
      </w:pPr>
      <w:r>
        <w:t>LexiLand was implemented as a single platform with four feature modules and shared services. The project includes learner-facing activities and reporting features for parents, teachers and school administrators. School-based screening took place at Malabe Primary School with permission from the Department of Education, Western Province, and further testing was carried out at Sounds Mind Academy, Rajagiriya.</w:t>
      </w:r>
    </w:p>
    <w:p w14:paraId="6659697D" w14:textId="77777777" w:rsidR="009236AE" w:rsidRDefault="00000000">
      <w:pPr>
        <w:spacing w:line="259" w:lineRule="auto"/>
      </w:pPr>
      <w:r>
        <w:t>Automated verification passed 35 of 35 backend tests and 1,303 of 1,303 frontend tests. Five-fold cross-validation reported 99.8% accuracy for the Working Memory model and 91.8% for Phonological Awareness. The Speech Processing prototype reached 67.8% accuracy using public data with proxy labels. Final Reading Processing model results and complete screening/improvement outcome figures remain pending in the source dissertation.</w:t>
      </w:r>
    </w:p>
    <w:p w14:paraId="0F30C651" w14:textId="77777777" w:rsidR="009236AE" w:rsidRDefault="00000000">
      <w:pPr>
        <w:spacing w:line="259" w:lineRule="auto"/>
      </w:pPr>
      <w:r>
        <w:t>These results should be interpreted cautiously. The Working Memory model uses augmented data whose labels require confirmation; the Phonological Awareness dataset contains 49 records; the Speech Processing prototype uses public data and proxy labels; and final Reading Processing metrics are pending. The models have not yet been validated against independent specialist judgements on Sri Lankan children. The pilot sites and sample may not represent all schools, regions or language groups.</w:t>
      </w:r>
    </w:p>
    <w:p w14:paraId="5D34C619" w14:textId="77777777" w:rsidR="009236AE" w:rsidRDefault="00000000">
      <w:pPr>
        <w:pStyle w:val="Heading1"/>
      </w:pPr>
      <w:r>
        <w:t>6. Responsible Use and Sustainability</w:t>
      </w:r>
    </w:p>
    <w:p w14:paraId="4CA0A185" w14:textId="77777777" w:rsidR="009236AE" w:rsidRDefault="00000000">
      <w:pPr>
        <w:spacing w:line="259" w:lineRule="auto"/>
      </w:pPr>
      <w:r>
        <w:t>LexiLand’s intended value is to connect screening, personalised practice and progress monitoring in one bilingual platform. Potential beneficiaries include primary learners, parents and guardians, teachers, learning-support centres and schools. The proposed sustainability approach considers school and family access, partnerships with learning-support centres, educational awareness content and possible support from community or corporate social responsibility programmes.</w:t>
      </w:r>
    </w:p>
    <w:p w14:paraId="49614F7F" w14:textId="77777777" w:rsidR="009236AE" w:rsidRDefault="00000000">
      <w:pPr>
        <w:spacing w:line="259" w:lineRule="auto"/>
      </w:pPr>
      <w:r>
        <w:t>Children’s personal information, audio recordings and gaze-related data require careful handling. The source dissertation identifies parental consent, age-appropriate child assent, data minimisation, role-based access, secure data handling and clear retention periods as important safeguards. Privacy and legal compliance should be reviewed before wider deployment. Model performance should also be monitored for differences across languages, grades and genders.</w:t>
      </w:r>
    </w:p>
    <w:p w14:paraId="35338F5B" w14:textId="77777777" w:rsidR="009236AE" w:rsidRDefault="00000000">
      <w:pPr>
        <w:spacing w:line="259" w:lineRule="auto"/>
      </w:pPr>
      <w:r>
        <w:t>LexiLand may contribute to inclusive and equitable education by making structured support available in Sinhala and English. This contribution is intended rather than guaranteed and requires further evaluation of learning outcomes and responsible implementation.</w:t>
      </w:r>
    </w:p>
    <w:p w14:paraId="160F7632" w14:textId="77777777" w:rsidR="009236AE" w:rsidRDefault="00000000">
      <w:pPr>
        <w:pStyle w:val="Heading1"/>
      </w:pPr>
      <w:r>
        <w:t>7. Conclusion and Future Directions</w:t>
      </w:r>
    </w:p>
    <w:p w14:paraId="6A36115C" w14:textId="77777777" w:rsidR="009236AE" w:rsidRDefault="00000000">
      <w:pPr>
        <w:spacing w:line="259" w:lineRule="auto"/>
      </w:pPr>
      <w:r>
        <w:t>LexiLand demonstrates an integrated approach to screening support and personalised practice across Working Memory, Phonological Awareness, Reading Processing and Speech Processing. The four components share one learner profile, a common activity cycle and a reporting layer, while preserving separate component-level evidence. The platform combines bilingual activities, a child-centred interface and progress monitoring for adults.</w:t>
      </w:r>
    </w:p>
    <w:p w14:paraId="3744F547" w14:textId="77777777" w:rsidR="009236AE" w:rsidRDefault="00000000">
      <w:pPr>
        <w:spacing w:line="259" w:lineRule="auto"/>
      </w:pPr>
      <w:r>
        <w:t>The current evidence supports LexiLand as a screening-support and learning-support tool, not a diagnostic instrument. Larger and more diverse studies are needed to validate the screening thresholds and models, compare support levels with standardised assessments, and measure learning gains over time.</w:t>
      </w:r>
    </w:p>
    <w:p w14:paraId="6B826C1F" w14:textId="77777777" w:rsidR="009236AE" w:rsidRDefault="00000000">
      <w:pPr>
        <w:spacing w:line="259" w:lineRule="auto"/>
      </w:pPr>
      <w:r>
        <w:t>Priority future work includes:</w:t>
      </w:r>
    </w:p>
    <w:p w14:paraId="057ADE79" w14:textId="77777777" w:rsidR="009236AE" w:rsidRDefault="00000000">
      <w:pPr>
        <w:pStyle w:val="ListBullet"/>
        <w:spacing w:after="40"/>
      </w:pPr>
      <w:r>
        <w:t>Conducting ethically approved studies in more schools and provinces, with specialist comparison and longer-term outcome measurement.</w:t>
      </w:r>
    </w:p>
    <w:p w14:paraId="55B56926" w14:textId="77777777" w:rsidR="009236AE" w:rsidRDefault="00000000">
      <w:pPr>
        <w:pStyle w:val="ListBullet"/>
        <w:spacing w:after="40"/>
      </w:pPr>
      <w:r>
        <w:t>Improving privacy, security and server-side validation before large-scale deployment.</w:t>
      </w:r>
    </w:p>
    <w:p w14:paraId="2B8FC28E" w14:textId="77777777" w:rsidR="009236AE" w:rsidRDefault="00000000">
      <w:pPr>
        <w:pStyle w:val="ListBullet"/>
        <w:spacing w:after="40"/>
      </w:pPr>
      <w:r>
        <w:t>Extending language coverage, including future Tamil-medium content and improvements to Sinhala reading and speech capabilities.</w:t>
      </w:r>
    </w:p>
    <w:p w14:paraId="45277CB4" w14:textId="77777777" w:rsidR="009236AE" w:rsidRDefault="00000000">
      <w:pPr>
        <w:pStyle w:val="ListBullet"/>
        <w:spacing w:after="40"/>
      </w:pPr>
      <w:r>
        <w:lastRenderedPageBreak/>
        <w:t>Training and evaluating models using larger, consented local datasets with independent labels and fairness checks.</w:t>
      </w:r>
    </w:p>
    <w:p w14:paraId="16E7EB4C" w14:textId="77777777" w:rsidR="009236AE" w:rsidRDefault="00000000">
      <w:pPr>
        <w:pStyle w:val="ListBullet"/>
        <w:spacing w:after="40"/>
      </w:pPr>
      <w:r>
        <w:t>Supporting adoption through teacher guidance, school partnerships and access options for less-resourced communities.</w:t>
      </w:r>
    </w:p>
    <w:p w14:paraId="5A3A7748" w14:textId="77777777" w:rsidR="009236AE" w:rsidRDefault="00000000">
      <w:pPr>
        <w:pStyle w:val="Heading1"/>
      </w:pPr>
      <w:r>
        <w:t>Selected References</w:t>
      </w:r>
    </w:p>
    <w:p w14:paraId="0FFEF999" w14:textId="77777777" w:rsidR="009236AE" w:rsidRDefault="00000000">
      <w:pPr>
        <w:spacing w:after="60"/>
        <w:ind w:left="259" w:hanging="259"/>
      </w:pPr>
      <w:r>
        <w:t>[1] International Dyslexia Association, “Definition of dyslexia.” Available: https://dyslexiaida.org/definition-of-dyslexia/</w:t>
      </w:r>
    </w:p>
    <w:p w14:paraId="43BA2066" w14:textId="77777777" w:rsidR="009236AE" w:rsidRDefault="00000000">
      <w:pPr>
        <w:spacing w:after="60"/>
        <w:ind w:left="259" w:hanging="259"/>
      </w:pPr>
      <w:r>
        <w:t>[2] R. L. Peterson and B. F. Pennington, “Developmental dyslexia,” Annual Review of Clinical Psychology, vol. 11, pp. 283–307, 2015.</w:t>
      </w:r>
    </w:p>
    <w:p w14:paraId="5679BD46" w14:textId="77777777" w:rsidR="009236AE" w:rsidRDefault="00000000">
      <w:pPr>
        <w:spacing w:after="60"/>
        <w:ind w:left="259" w:hanging="259"/>
      </w:pPr>
      <w:r>
        <w:t>[3] C. Hulme and M. J. Snowling, “Reading disorders and dyslexia,” Current Opinion in Pediatrics, vol. 28, no. 6, pp. 731–735, 2016.</w:t>
      </w:r>
    </w:p>
    <w:p w14:paraId="175F0691" w14:textId="77777777" w:rsidR="009236AE" w:rsidRDefault="00000000">
      <w:pPr>
        <w:spacing w:after="60"/>
        <w:ind w:left="259" w:hanging="259"/>
      </w:pPr>
      <w:r>
        <w:t>[4] H. L. Swanson, X. Zheng, and O. Jerman, “Working memory, short-term memory, and reading disabilities: A selective meta-analysis of the literature,” Journal of Learning Disabilities, vol. 42, no. 3, pp. 260–287, 2009.</w:t>
      </w:r>
    </w:p>
    <w:p w14:paraId="338B9DE0" w14:textId="77777777" w:rsidR="009236AE" w:rsidRDefault="00000000">
      <w:pPr>
        <w:spacing w:after="60"/>
        <w:ind w:left="259" w:hanging="259"/>
      </w:pPr>
      <w:r>
        <w:t>[9] U. G. Karunaratne et al., “Refinement of scale items for a screening tool for specific learning disorders in Sinhala-medium primary school children: A Delphi study,” Journal of Multidisciplinary and Translational Research, vol. 11, no. 1, pp. 59–73, 2026.</w:t>
      </w:r>
    </w:p>
    <w:p w14:paraId="0E3472DE" w14:textId="77777777" w:rsidR="009236AE" w:rsidRDefault="00000000">
      <w:pPr>
        <w:spacing w:after="60"/>
        <w:ind w:left="259" w:hanging="259"/>
      </w:pPr>
      <w:r>
        <w:t>[10] Ministry of Education, Sri Lanka, School Census 2023 – Summary Report. Battaramulla, Sri Lanka, 2024.</w:t>
      </w:r>
    </w:p>
    <w:p w14:paraId="0D2775FC" w14:textId="77777777" w:rsidR="009236AE" w:rsidRDefault="00000000">
      <w:pPr>
        <w:spacing w:after="60"/>
        <w:ind w:left="259" w:hanging="259"/>
      </w:pPr>
      <w:r>
        <w:t>[17] L. Rello et al., “Predicting risk of dyslexia with an online gamified test,” PLOS ONE, vol. 15, no. 12, e0241687, 2020.</w:t>
      </w:r>
    </w:p>
    <w:p w14:paraId="3DE5F507" w14:textId="77777777" w:rsidR="009236AE" w:rsidRDefault="00000000">
      <w:pPr>
        <w:spacing w:after="60"/>
        <w:ind w:left="259" w:hanging="259"/>
      </w:pPr>
      <w:r>
        <w:t>[20] A. Papoutsaki et al., “WebGazer: Scalable webcam eye tracking using user interactions,” in Proceedings of IJCAI, 2016, pp. 3839–3845.</w:t>
      </w:r>
    </w:p>
    <w:p w14:paraId="39F5D506" w14:textId="77777777" w:rsidR="009236AE" w:rsidRDefault="00000000">
      <w:pPr>
        <w:spacing w:after="60"/>
        <w:ind w:left="259" w:hanging="259"/>
      </w:pPr>
      <w:r>
        <w:t>[24] A. Radford et al., “Robust speech recognition via large-scale weak supervision,” in Proceedings of ICML, 2023, pp. 28492–28518.</w:t>
      </w:r>
    </w:p>
    <w:p w14:paraId="26FA2BF6" w14:textId="77777777" w:rsidR="009236AE" w:rsidRDefault="00000000">
      <w:pPr>
        <w:spacing w:after="60"/>
        <w:ind w:left="259" w:hanging="259"/>
      </w:pPr>
      <w:r>
        <w:t>[31] L. Sandathara et al., “Arunalu: Learning ecosystem to overcome Sinhala reading weakness due to dyslexia,” in Proceedings of ICAC, 2020.</w:t>
      </w:r>
    </w:p>
    <w:p w14:paraId="66753B9B" w14:textId="77777777" w:rsidR="009236AE" w:rsidRDefault="00000000">
      <w:pPr>
        <w:spacing w:after="60"/>
        <w:ind w:left="259" w:hanging="259"/>
      </w:pPr>
      <w:r>
        <w:t>[32] R. Kariyawasam et al., “Pubudu: Deep learning based screening and intervention of dyslexia, dysgraphia and dyscalculia,” in Proceedings of ICIIS, 2019, pp. 476–481.</w:t>
      </w:r>
    </w:p>
    <w:p w14:paraId="3A7C8ED6" w14:textId="77777777" w:rsidR="009236AE" w:rsidRDefault="00000000">
      <w:pPr>
        <w:spacing w:after="60"/>
        <w:ind w:left="259" w:hanging="259"/>
      </w:pPr>
      <w:r>
        <w:t>[34] British Dyslexia Association, Dyslexia Style Guide 2018: Creating Dyslexia Friendly Content. Bracknell, U.K., 2018.</w:t>
      </w:r>
    </w:p>
    <w:p w14:paraId="5780864D" w14:textId="77777777" w:rsidR="009236AE" w:rsidRDefault="00000000">
      <w:pPr>
        <w:spacing w:after="60"/>
        <w:ind w:left="259" w:hanging="259"/>
      </w:pPr>
      <w:r>
        <w:t>[35] World Wide Web Consortium, “Web Content Accessibility Guidelines (WCAG) 2.2,” W3C Recommendation, October 2023. Available: https://www.w3.org/TR/WCAG22/</w:t>
      </w:r>
    </w:p>
    <w:p w14:paraId="78AD1AA6" w14:textId="77777777" w:rsidR="009236AE" w:rsidRDefault="00000000">
      <w:pPr>
        <w:spacing w:after="60"/>
        <w:ind w:left="259" w:hanging="259"/>
      </w:pPr>
      <w:r>
        <w:t>[36] United Nations General Assembly, “Transforming our world: The 2030 Agenda for Sustainable Development,” Resolution A/RES/70/1, 2015.</w:t>
      </w:r>
    </w:p>
    <w:p w14:paraId="23E45AFA" w14:textId="77777777" w:rsidR="009236AE" w:rsidRDefault="00000000">
      <w:pPr>
        <w:spacing w:after="60"/>
        <w:ind w:left="259" w:hanging="259"/>
      </w:pPr>
      <w:r>
        <w:t>[37] L. Breiman, “Random forests,” Machine Learning, vol. 45, no. 1, pp. 5–32, 2001.</w:t>
      </w:r>
    </w:p>
    <w:p w14:paraId="0A82E84A" w14:textId="77777777" w:rsidR="009236AE" w:rsidRDefault="00000000">
      <w:pPr>
        <w:spacing w:after="60"/>
        <w:ind w:left="259" w:hanging="259"/>
      </w:pPr>
      <w:r>
        <w:t>[38] F. Pedregosa et al., “Scikit-learn: Machine learning in Python,” Journal of Machine Learning Research, vol. 12, pp. 2825–2830, 2011.</w:t>
      </w:r>
    </w:p>
    <w:p w14:paraId="5B160C96" w14:textId="77777777" w:rsidR="009236AE" w:rsidRDefault="00000000">
      <w:pPr>
        <w:spacing w:after="60"/>
        <w:ind w:left="259" w:hanging="259"/>
      </w:pPr>
      <w:r>
        <w:t>[39] Y. Kartynnik et al., “Real-time facial surface geometry from monocular video on mobile GPUs,” arXiv:1907.06724, 2019.</w:t>
      </w:r>
    </w:p>
    <w:p w14:paraId="77EDCF0C" w14:textId="77777777" w:rsidR="009236AE" w:rsidRDefault="00000000">
      <w:pPr>
        <w:spacing w:after="60"/>
        <w:ind w:left="259" w:hanging="259"/>
      </w:pPr>
      <w:r>
        <w:t>[40] Parliament of the Democratic Socialist Republic of Sri Lanka, Personal Data Protection Act, No. 9 of 2022. Colombo, Sri Lanka, 2022.</w:t>
      </w:r>
    </w:p>
    <w:p w14:paraId="792D0986" w14:textId="77777777" w:rsidR="009236AE" w:rsidRDefault="00000000">
      <w:pPr>
        <w:spacing w:after="60"/>
        <w:ind w:left="259" w:hanging="259"/>
      </w:pPr>
      <w:r>
        <w:t>[41] Parliament of the Democratic Socialist Republic of Sri Lanka, Personal Data Protection (Amendment) Act, No. 22 of 2025. Colombo, Sri Lanka, 2025.</w:t>
      </w:r>
    </w:p>
    <w:sectPr w:rsidR="009236A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B95B" w14:textId="77777777" w:rsidR="00105EF5" w:rsidRDefault="00105EF5">
      <w:pPr>
        <w:spacing w:after="0" w:line="240" w:lineRule="auto"/>
      </w:pPr>
      <w:r>
        <w:separator/>
      </w:r>
    </w:p>
  </w:endnote>
  <w:endnote w:type="continuationSeparator" w:id="0">
    <w:p w14:paraId="32E30661" w14:textId="77777777" w:rsidR="00105EF5" w:rsidRDefault="00105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BE07" w14:textId="77777777" w:rsidR="009236AE" w:rsidRDefault="00000000">
    <w:pPr>
      <w:pStyle w:val="Footer"/>
      <w:jc w:val="center"/>
    </w:pPr>
    <w:r>
      <w:t xml:space="preserve">LexiLand – Condensed Website Version  |  Page </w:t>
    </w:r>
    <w:r>
      <w:fldChar w:fldCharType="begin"/>
    </w:r>
    <w:r>
      <w:instrText>PAGE</w:instrText>
    </w:r>
    <w:r>
      <w:fldChar w:fldCharType="separate"/>
    </w:r>
    <w:r w:rsidR="00E374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2B12" w14:textId="77777777" w:rsidR="00105EF5" w:rsidRDefault="00105EF5">
      <w:pPr>
        <w:spacing w:after="0" w:line="240" w:lineRule="auto"/>
      </w:pPr>
      <w:r>
        <w:separator/>
      </w:r>
    </w:p>
  </w:footnote>
  <w:footnote w:type="continuationSeparator" w:id="0">
    <w:p w14:paraId="69B09027" w14:textId="77777777" w:rsidR="00105EF5" w:rsidRDefault="00105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918597">
    <w:abstractNumId w:val="8"/>
  </w:num>
  <w:num w:numId="2" w16cid:durableId="358895311">
    <w:abstractNumId w:val="6"/>
  </w:num>
  <w:num w:numId="3" w16cid:durableId="1205018945">
    <w:abstractNumId w:val="5"/>
  </w:num>
  <w:num w:numId="4" w16cid:durableId="670596425">
    <w:abstractNumId w:val="4"/>
  </w:num>
  <w:num w:numId="5" w16cid:durableId="1004093609">
    <w:abstractNumId w:val="7"/>
  </w:num>
  <w:num w:numId="6" w16cid:durableId="60447904">
    <w:abstractNumId w:val="3"/>
  </w:num>
  <w:num w:numId="7" w16cid:durableId="206843322">
    <w:abstractNumId w:val="2"/>
  </w:num>
  <w:num w:numId="8" w16cid:durableId="1985963341">
    <w:abstractNumId w:val="1"/>
  </w:num>
  <w:num w:numId="9" w16cid:durableId="40600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EF5"/>
    <w:rsid w:val="0015074B"/>
    <w:rsid w:val="0029639D"/>
    <w:rsid w:val="002E52CD"/>
    <w:rsid w:val="00326F90"/>
    <w:rsid w:val="009236AE"/>
    <w:rsid w:val="00A361A8"/>
    <w:rsid w:val="00AA1D8D"/>
    <w:rsid w:val="00B47730"/>
    <w:rsid w:val="00CB0664"/>
    <w:rsid w:val="00E37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4E475"/>
  <w14:defaultImageDpi w14:val="300"/>
  <w15:docId w15:val="{FE328E4E-A998-430F-9094-104079D0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2210</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Danuki Fernando</cp:lastModifiedBy>
  <cp:revision>3</cp:revision>
  <dcterms:created xsi:type="dcterms:W3CDTF">2013-12-23T23:15:00Z</dcterms:created>
  <dcterms:modified xsi:type="dcterms:W3CDTF">2026-10-09T10:31:00Z</dcterms:modified>
  <cp:category/>
</cp:coreProperties>
</file>