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B30B7C" wp14:paraId="25287185" wp14:textId="08CCB57F">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Correa et al. (2023) highlight the global efforts to define the values and ideas that should guide AI advancements. They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identify</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the main challenge as achieving a consensus on these values due to the diverse perspectives of stakeholders worldwide and the abstract nature of normative discussions. The authors suggest that researchers and policymakers need better tools to catalog and compare AI governance documents globally to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identify</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points of divergence and commonality.</w:t>
      </w:r>
    </w:p>
    <w:p xmlns:wp14="http://schemas.microsoft.com/office/word/2010/wordml" w:rsidP="37B30B7C" wp14:paraId="2CE448B5" wp14:textId="686199EA">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Similarly, Deckard (2023) examines how different countries approach AI governance and the implications of generative AI. The study underlines the varying strategies and regulatory frameworks adopted by different nations, reflecting their unique cultural, economic, and political contexts. This diversity in approaches further complicates the establishment of a unified global governance framework for AI.</w:t>
      </w:r>
    </w:p>
    <w:p xmlns:wp14="http://schemas.microsoft.com/office/word/2010/wordml" w:rsidP="37B30B7C" wp14:paraId="45A282B9" wp14:textId="47854E13">
      <w:pPr>
        <w:pStyle w:val="Heading3"/>
        <w:shd w:val="clear" w:color="auto" w:fill="FFFFFF" w:themeFill="background1"/>
        <w:spacing w:before="240" w:beforeAutospacing="off" w:after="120" w:afterAutospacing="off"/>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Personal Views and Recommendations</w:t>
      </w:r>
    </w:p>
    <w:p xmlns:wp14="http://schemas.microsoft.com/office/word/2010/wordml" w:rsidP="37B30B7C" wp14:paraId="6E2A20AC" wp14:textId="7D1FA399">
      <w:pPr>
        <w:pStyle w:val="Heading4"/>
        <w:shd w:val="clear" w:color="auto" w:fill="FFFFFF" w:themeFill="background1"/>
        <w:spacing w:before="240" w:beforeAutospacing="off" w:after="120" w:afterAutospacing="off"/>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Need for Global Collaboration and Harmonization</w:t>
      </w:r>
    </w:p>
    <w:p xmlns:wp14="http://schemas.microsoft.com/office/word/2010/wordml" w:rsidP="37B30B7C" wp14:paraId="75A9B9BD" wp14:textId="6E2B18A8">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Given the diverse perspectives and approaches to AI governance, a suitable course of action would be to foster global collaboration and harmonization of AI regulations. This can be achieved through the following steps:</w:t>
      </w:r>
    </w:p>
    <w:p xmlns:wp14="http://schemas.microsoft.com/office/word/2010/wordml" w:rsidP="37B30B7C" wp14:paraId="5EC9E9B7" wp14:textId="370F3493">
      <w:pPr>
        <w:pStyle w:val="Normal"/>
        <w:shd w:val="clear" w:color="auto" w:fill="FFFFFF" w:themeFill="background1"/>
        <w:spacing w:before="240" w:beforeAutospacing="off" w:after="240" w:afterAutospacing="off"/>
        <w:ind w:left="0"/>
        <w:jc w:val="both"/>
        <w:rPr>
          <w:rFonts w:ascii="Arial" w:hAnsi="Arial" w:eastAsia="Arial" w:cs="Arial"/>
          <w:noProof w:val="0"/>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International AI Governance Framework</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To address the diverse and complex challenges posed by AI advancements, particularly generative AI, it is essential to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establish</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an international body tasked with developing and overseeing a standardized AI governance framework. This body,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comprising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representatives from various countries, including policymakers, AI and ethics experts, industry leaders, and civil society members, would aim to create comprehensive guidelines ensuring responsible AI development and deployment globally. Affiliated with established international organizations like the United Nations (UN) or the World Economic Forum (WEF), this body would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leverage</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their extensive experience and legitimacy to influence global AI policies effectively. Operating as a specialized agency within the UN or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utilizing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the WEF’s platform for public-private partnerships, the body would develop and update standards covering ethical principles, data privacy, security measures, and mechanisms to ensure transparency and accountability in AI systems. It would also serve as a forum for dialogue among stakeholders, aiming to build consensus on contentious issues and harmonize national AI policies through regular meetings, workshops, and consultations (Cathy, 2023).</w:t>
      </w:r>
    </w:p>
    <w:p xmlns:wp14="http://schemas.microsoft.com/office/word/2010/wordml" w:rsidP="37B30B7C" wp14:paraId="68C39014" wp14:textId="120594ED">
      <w:pPr>
        <w:pStyle w:val="Normal"/>
        <w:shd w:val="clear" w:color="auto" w:fill="FFFFFF" w:themeFill="background1"/>
        <w:spacing w:before="240" w:beforeAutospacing="off" w:after="240" w:afterAutospacing="off"/>
        <w:ind w:left="0"/>
        <w:jc w:val="both"/>
        <w:rPr>
          <w:rFonts w:ascii="Arial" w:hAnsi="Arial" w:eastAsia="Arial" w:cs="Arial"/>
          <w:noProof w:val="0"/>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Ethical Guidelines and Best Practices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Developing and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disseminating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a set of ethical guidelines and best practices for AI development and deployment is crucial to ensure that AI systems uphold fundamental ethical principles globally. These guidelines should be adaptable to local contexts while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maintaining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robustness in addressing core ethical issues. The European Commission's Ethics Guidelines for Trustworthy AI provides a comprehensive framework, highlighting seven key requirements for AI systems: human agency and oversight, technical robustness and safety, privacy and data governance, transparency, diversity, non-discrimination and fairness, societal and environmental well-being, and accountability. These guidelines aim to foster trust in AI technologies by ensuring they serve humanity and the public good (European Commission, 2019).</w:t>
      </w:r>
    </w:p>
    <w:p xmlns:wp14="http://schemas.microsoft.com/office/word/2010/wordml" w:rsidP="37B30B7C" wp14:paraId="5EECB88E" wp14:textId="7B9A963E">
      <w:pPr>
        <w:pStyle w:val="Normal"/>
        <w:shd w:val="clear" w:color="auto" w:fill="FFFFFF" w:themeFill="background1"/>
        <w:spacing w:before="240" w:beforeAutospacing="off" w:after="240" w:afterAutospacing="off"/>
        <w:ind w:left="0"/>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Cross-border Research and Development Initiatives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Promoting cross-border research collaborations and knowledge-sharing initiatives is essential to understanding AI's diverse impacts and developing innovative solutions to emerging challenges. These collaborations can help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leverage</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diverse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expertise</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perspectives, and resources, fostering a more comprehensive and nuanced understanding of AI technologies and their societal implications. By encouraging international partnerships, we can create a robust framework for AI research that addresses global challenges such as bias, privacy, and security. Initiatives like the Global Partnership on AI (GPAI) exemplify such efforts by bringing together experts from various countries to work on AI-related issues, promoting shared goals and collaborative problem-solving (UNESCO, 2020).</w:t>
      </w:r>
    </w:p>
    <w:p xmlns:wp14="http://schemas.microsoft.com/office/word/2010/wordml" w:rsidP="37B30B7C" wp14:paraId="68EF8AAC" wp14:textId="36B6117D">
      <w:pPr>
        <w:pStyle w:val="Normal"/>
        <w:shd w:val="clear" w:color="auto" w:fill="FFFFFF" w:themeFill="background1"/>
        <w:spacing w:before="240" w:beforeAutospacing="off" w:after="240" w:afterAutospacing="off"/>
        <w:ind w:left="0"/>
        <w:jc w:val="both"/>
        <w:rPr>
          <w:rFonts w:ascii="Arial" w:hAnsi="Arial" w:eastAsia="Arial" w:cs="Arial"/>
          <w:b w:val="1"/>
          <w:bCs w:val="1"/>
          <w:i w:val="0"/>
          <w:iCs w:val="0"/>
          <w:caps w:val="0"/>
          <w:smallCaps w:val="0"/>
          <w:noProof w:val="0"/>
          <w:color w:val="0D0D0D" w:themeColor="text1" w:themeTint="F2" w:themeShade="FF"/>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Public Engagement and Transparency</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Engaging with the public and stakeholders transparently is crucial for building trust and ensuring that AI technologies are developed and used in ways that align with societal values and expectations. Transparent engagement involves open communication about AI's capabilities, limitations, and potential impacts. This can be achieved through public consultations, open forums, and educational initiatives that demystify AI and address public concerns (European Commission, 2019).</w:t>
      </w:r>
    </w:p>
    <w:p xmlns:wp14="http://schemas.microsoft.com/office/word/2010/wordml" w:rsidP="37B30B7C" wp14:paraId="1770C64C" wp14:textId="65EDDE76">
      <w:pPr>
        <w:pStyle w:val="Normal"/>
        <w:shd w:val="clear" w:color="auto" w:fill="FFFFFF" w:themeFill="background1"/>
        <w:spacing w:before="240" w:beforeAutospacing="off" w:after="240" w:afterAutospacing="off"/>
        <w:ind w:left="0"/>
        <w:jc w:val="both"/>
        <w:rPr>
          <w:rFonts w:ascii="Arial" w:hAnsi="Arial" w:eastAsia="Arial" w:cs="Arial"/>
          <w:noProof w:val="0"/>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Justification and Impact</w:t>
      </w:r>
    </w:p>
    <w:p xmlns:wp14="http://schemas.microsoft.com/office/word/2010/wordml" w:rsidP="37B30B7C" wp14:paraId="3B6E5633" wp14:textId="49B34A16">
      <w:pPr>
        <w:pStyle w:val="Normal"/>
        <w:shd w:val="clear" w:color="auto" w:fill="FFFFFF" w:themeFill="background1"/>
        <w:spacing w:before="240" w:beforeAutospacing="off" w:after="240" w:afterAutospacing="off"/>
        <w:ind w:left="0"/>
        <w:jc w:val="both"/>
        <w:rPr>
          <w:rFonts w:ascii="Arial" w:hAnsi="Arial" w:eastAsia="Arial" w:cs="Arial"/>
          <w:noProof w:val="0"/>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Legal Issues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A harmonized approach to AI governance can significantly reduce legal ambiguities and conflicts that arise from differing national regulations. By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establishing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uniform standards and practices, an international framework would provide clarity for multinational corporations and developers, enabling them to navigate legal landscapes more efficiently. This harmonization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facilitates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smoother cross-border data flows and technological exchanges, which are critical for fostering innovation and global cooperation in AI development. Additionally, a unified legal approach ensures that AI applications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comply with</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global standards, thereby enhancing consumer trust and encouraging widespread adoption of AI technologies. This can be particularly beneficial for sectors like healthcare and finance, where cross-border data sharing is essential for advancements and operational efficiency (European Commission, 2019).</w:t>
      </w:r>
    </w:p>
    <w:p xmlns:wp14="http://schemas.microsoft.com/office/word/2010/wordml" w:rsidP="37B30B7C" wp14:paraId="795D7D93" wp14:textId="4EDB704F">
      <w:pPr>
        <w:pStyle w:val="Normal"/>
        <w:shd w:val="clear" w:color="auto" w:fill="FFFFFF" w:themeFill="background1"/>
        <w:spacing w:before="240" w:beforeAutospacing="off" w:after="240" w:afterAutospacing="off"/>
        <w:ind w:left="0"/>
        <w:jc w:val="both"/>
        <w:rPr>
          <w:rFonts w:ascii="Arial" w:hAnsi="Arial" w:eastAsia="Arial" w:cs="Arial"/>
          <w:noProof w:val="0"/>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Social Issues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Addressing ethical concerns and promoting inclusive stakeholder engagement through a global AI governance framework can mitigate risks such as bias, discrimination, and privacy violations. By involving diverse groups in the development and oversight of AI systems, the framework can ensure that AI technologies are designed and implemented in ways that are fair and beneficial to all segments of society. This approach helps to avoid the exclusion or marginalization of vulnerable populations and promotes social equity. For instance, incorporating perspectives from various cultural, social, and economic backgrounds can lead to AI solutions that are more universally applicable and ethically sound (UNESCO, 2020).</w:t>
      </w:r>
    </w:p>
    <w:p xmlns:wp14="http://schemas.microsoft.com/office/word/2010/wordml" w:rsidP="37B30B7C" wp14:paraId="619BE0FB" wp14:textId="0370656F">
      <w:pPr>
        <w:pStyle w:val="Normal"/>
        <w:shd w:val="clear" w:color="auto" w:fill="FFFFFF" w:themeFill="background1"/>
        <w:spacing w:before="240" w:beforeAutospacing="off" w:after="240" w:afterAutospacing="off"/>
        <w:ind w:left="0"/>
        <w:jc w:val="both"/>
        <w:rPr>
          <w:rFonts w:ascii="Arial" w:hAnsi="Arial" w:eastAsia="Arial" w:cs="Arial"/>
          <w:noProof w:val="0"/>
          <w:sz w:val="24"/>
          <w:szCs w:val="24"/>
          <w:lang w:val="en-US"/>
        </w:rPr>
      </w:pPr>
      <w:r w:rsidRPr="37B30B7C" w:rsidR="37B30B7C">
        <w:rPr>
          <w:rFonts w:ascii="Arial" w:hAnsi="Arial" w:eastAsia="Arial" w:cs="Arial"/>
          <w:b w:val="1"/>
          <w:bCs w:val="1"/>
          <w:i w:val="0"/>
          <w:iCs w:val="0"/>
          <w:caps w:val="0"/>
          <w:smallCaps w:val="0"/>
          <w:noProof w:val="0"/>
          <w:color w:val="0D0D0D" w:themeColor="text1" w:themeTint="F2" w:themeShade="FF"/>
          <w:sz w:val="24"/>
          <w:szCs w:val="24"/>
          <w:lang w:val="en-US"/>
        </w:rPr>
        <w:t>Professional Issues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For computing professionals, clear and consistent guidelines provided by an international AI governance framework can offer a reliable foundation for ethical decision-making and professional conduct. Such guidelines help professionals navigate the complexities of AI development with a strong ethical compass, enhancing accountability and trust in the AI industry. This is crucial in a field where the consequences of unethical practices can be far-reaching and severe. By promoting a culture of responsibility and ethical awareness, the framework can support professionals in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maintaining</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high standards</w:t>
      </w: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 xml:space="preserve"> of practice (European Commission, 2019).</w:t>
      </w:r>
    </w:p>
    <w:p xmlns:wp14="http://schemas.microsoft.com/office/word/2010/wordml" w:rsidP="37B30B7C" wp14:paraId="2495F422" wp14:textId="1FF37ACE">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37B30B7C" w:rsidR="37B30B7C">
        <w:rPr>
          <w:rFonts w:ascii="Arial" w:hAnsi="Arial" w:eastAsia="Arial" w:cs="Arial"/>
          <w:b w:val="0"/>
          <w:bCs w:val="0"/>
          <w:i w:val="0"/>
          <w:iCs w:val="0"/>
          <w:caps w:val="0"/>
          <w:smallCaps w:val="0"/>
          <w:noProof w:val="0"/>
          <w:color w:val="0D0D0D" w:themeColor="text1" w:themeTint="F2" w:themeShade="FF"/>
          <w:sz w:val="24"/>
          <w:szCs w:val="24"/>
          <w:lang w:val="en-US"/>
        </w:rPr>
        <w:t>The generative AI revolution presents a unique opportunity to redefine the rules guiding AI development and deployment. By fostering global collaboration, developing standardized ethical guidelines, and promoting transparency and public engagement, we can navigate the complex landscape of AI governance effectively. This approach will help address legal, social, and professional issues, ensuring that AI technologies are used responsibly and beneficially for society at large.</w:t>
      </w:r>
    </w:p>
    <w:p xmlns:wp14="http://schemas.microsoft.com/office/word/2010/wordml" w:rsidP="37B30B7C" wp14:paraId="2C078E63" wp14:textId="5C64F3A2">
      <w:pPr>
        <w:pStyle w:val="Normal"/>
        <w:jc w:val="both"/>
        <w:rPr>
          <w:rFonts w:ascii="Arial" w:hAnsi="Arial" w:eastAsia="Arial" w:cs="Arial"/>
        </w:rPr>
      </w:pPr>
    </w:p>
    <w:p w:rsidR="37B30B7C" w:rsidP="37B30B7C" w:rsidRDefault="37B30B7C" w14:paraId="25039BD8" w14:textId="1D445FAB">
      <w:pPr>
        <w:pStyle w:val="Normal"/>
        <w:jc w:val="both"/>
        <w:rPr>
          <w:rFonts w:ascii="Arial" w:hAnsi="Arial" w:eastAsia="Arial" w:cs="Arial"/>
        </w:rPr>
      </w:pPr>
    </w:p>
    <w:p w:rsidR="37B30B7C" w:rsidP="37B30B7C" w:rsidRDefault="37B30B7C" w14:paraId="1D9AF1D2" w14:textId="66625BBF">
      <w:pPr>
        <w:pStyle w:val="Normal"/>
        <w:jc w:val="both"/>
        <w:rPr>
          <w:rFonts w:ascii="Arial" w:hAnsi="Arial" w:eastAsia="Arial" w:cs="Arial"/>
        </w:rPr>
      </w:pPr>
    </w:p>
    <w:p w:rsidR="37B30B7C" w:rsidP="37B30B7C" w:rsidRDefault="37B30B7C" w14:paraId="191E3B1D" w14:textId="67E8E70E">
      <w:pPr>
        <w:pStyle w:val="Normal"/>
        <w:jc w:val="both"/>
        <w:rPr>
          <w:rFonts w:ascii="Arial" w:hAnsi="Arial" w:eastAsia="Arial" w:cs="Arial"/>
        </w:rPr>
      </w:pPr>
      <w:r w:rsidRPr="37B30B7C" w:rsidR="37B30B7C">
        <w:rPr>
          <w:rFonts w:ascii="Arial" w:hAnsi="Arial" w:eastAsia="Arial" w:cs="Arial"/>
        </w:rPr>
        <w:t>References:</w:t>
      </w:r>
    </w:p>
    <w:p w:rsidR="37B30B7C" w:rsidP="37B30B7C" w:rsidRDefault="37B30B7C" w14:paraId="7358AE61" w14:textId="39C4C91B">
      <w:pPr>
        <w:spacing w:before="240" w:beforeAutospacing="off" w:after="240" w:afterAutospacing="off"/>
        <w:ind w:left="0" w:right="0" w:firstLine="0"/>
        <w:jc w:val="both"/>
        <w:rPr>
          <w:rFonts w:ascii="Arial" w:hAnsi="Arial" w:eastAsia="Arial" w:cs="Arial"/>
          <w:noProof w:val="0"/>
          <w:sz w:val="24"/>
          <w:szCs w:val="24"/>
          <w:lang w:val="en-US"/>
        </w:rPr>
      </w:pPr>
      <w:r w:rsidRPr="37B30B7C" w:rsidR="37B30B7C">
        <w:rPr>
          <w:rFonts w:ascii="Arial" w:hAnsi="Arial" w:eastAsia="Arial" w:cs="Arial"/>
          <w:noProof w:val="0"/>
          <w:sz w:val="24"/>
          <w:szCs w:val="24"/>
          <w:lang w:val="en-US"/>
        </w:rPr>
        <w:t xml:space="preserve">Corrêa, N. </w:t>
      </w:r>
      <w:r w:rsidRPr="37B30B7C" w:rsidR="37B30B7C">
        <w:rPr>
          <w:rFonts w:ascii="Arial" w:hAnsi="Arial" w:eastAsia="Arial" w:cs="Arial"/>
          <w:i w:val="1"/>
          <w:iCs w:val="1"/>
          <w:noProof w:val="0"/>
          <w:sz w:val="24"/>
          <w:szCs w:val="24"/>
          <w:lang w:val="en-US"/>
        </w:rPr>
        <w:t>et al.</w:t>
      </w:r>
      <w:r w:rsidRPr="37B30B7C" w:rsidR="37B30B7C">
        <w:rPr>
          <w:rFonts w:ascii="Arial" w:hAnsi="Arial" w:eastAsia="Arial" w:cs="Arial"/>
          <w:noProof w:val="0"/>
          <w:sz w:val="24"/>
          <w:szCs w:val="24"/>
          <w:lang w:val="en-US"/>
        </w:rPr>
        <w:t xml:space="preserve"> (2023) </w:t>
      </w:r>
      <w:r w:rsidRPr="37B30B7C" w:rsidR="37B30B7C">
        <w:rPr>
          <w:rFonts w:ascii="Arial" w:hAnsi="Arial" w:eastAsia="Arial" w:cs="Arial"/>
          <w:i w:val="1"/>
          <w:iCs w:val="1"/>
          <w:noProof w:val="0"/>
          <w:sz w:val="24"/>
          <w:szCs w:val="24"/>
          <w:lang w:val="en-US"/>
        </w:rPr>
        <w:t>Worldwide AI ethics: A review of 200 guidelines and recommendations for AI Governance</w:t>
      </w:r>
      <w:r w:rsidRPr="37B30B7C" w:rsidR="37B30B7C">
        <w:rPr>
          <w:rFonts w:ascii="Arial" w:hAnsi="Arial" w:eastAsia="Arial" w:cs="Arial"/>
          <w:noProof w:val="0"/>
          <w:sz w:val="24"/>
          <w:szCs w:val="24"/>
          <w:lang w:val="en-US"/>
        </w:rPr>
        <w:t xml:space="preserve"> [Preprint]. doi:10.2139/ssrn.4381684.</w:t>
      </w:r>
    </w:p>
    <w:p w:rsidR="37B30B7C" w:rsidP="37B30B7C" w:rsidRDefault="37B30B7C" w14:paraId="429D61E6" w14:textId="6C1E69D3">
      <w:pPr>
        <w:spacing w:before="240" w:beforeAutospacing="off" w:after="240" w:afterAutospacing="off"/>
        <w:ind w:left="0" w:right="0" w:firstLine="0"/>
        <w:jc w:val="both"/>
        <w:rPr>
          <w:rFonts w:ascii="Arial" w:hAnsi="Arial" w:eastAsia="Arial" w:cs="Arial"/>
          <w:noProof w:val="0"/>
          <w:sz w:val="24"/>
          <w:szCs w:val="24"/>
          <w:lang w:val="en-US"/>
        </w:rPr>
      </w:pPr>
      <w:r w:rsidRPr="37B30B7C" w:rsidR="37B30B7C">
        <w:rPr>
          <w:rFonts w:ascii="Arial" w:hAnsi="Arial" w:eastAsia="Arial" w:cs="Arial"/>
          <w:noProof w:val="0"/>
          <w:sz w:val="24"/>
          <w:szCs w:val="24"/>
          <w:lang w:val="en-US"/>
        </w:rPr>
        <w:t xml:space="preserve">Deckard, R. (2023) </w:t>
      </w:r>
      <w:r w:rsidRPr="37B30B7C" w:rsidR="37B30B7C">
        <w:rPr>
          <w:rFonts w:ascii="Arial" w:hAnsi="Arial" w:eastAsia="Arial" w:cs="Arial"/>
          <w:i w:val="1"/>
          <w:iCs w:val="1"/>
          <w:noProof w:val="0"/>
          <w:sz w:val="24"/>
          <w:szCs w:val="24"/>
          <w:lang w:val="en-US"/>
        </w:rPr>
        <w:t>What are ethics in ai?</w:t>
      </w:r>
      <w:r w:rsidRPr="37B30B7C" w:rsidR="37B30B7C">
        <w:rPr>
          <w:rFonts w:ascii="Arial" w:hAnsi="Arial" w:eastAsia="Arial" w:cs="Arial"/>
          <w:noProof w:val="0"/>
          <w:sz w:val="24"/>
          <w:szCs w:val="24"/>
          <w:lang w:val="en-US"/>
        </w:rPr>
        <w:t xml:space="preserve"> Available at: </w:t>
      </w:r>
      <w:hyperlink r:id="R697338948ccc4885">
        <w:r w:rsidRPr="37B30B7C" w:rsidR="37B30B7C">
          <w:rPr>
            <w:rStyle w:val="Hyperlink"/>
            <w:rFonts w:ascii="Arial" w:hAnsi="Arial" w:eastAsia="Arial" w:cs="Arial"/>
            <w:noProof w:val="0"/>
            <w:sz w:val="24"/>
            <w:szCs w:val="24"/>
            <w:lang w:val="en-US"/>
          </w:rPr>
          <w:t>https://www.bcs.org/articles-opinion-and-research/what-are-ethics-in-ai/</w:t>
        </w:r>
      </w:hyperlink>
      <w:r w:rsidRPr="37B30B7C" w:rsidR="37B30B7C">
        <w:rPr>
          <w:rFonts w:ascii="Arial" w:hAnsi="Arial" w:eastAsia="Arial" w:cs="Arial"/>
          <w:noProof w:val="0"/>
          <w:sz w:val="24"/>
          <w:szCs w:val="24"/>
          <w:lang w:val="en-US"/>
        </w:rPr>
        <w:t xml:space="preserve"> [Accessed 28 April 2024].</w:t>
      </w:r>
    </w:p>
    <w:p w:rsidR="37B30B7C" w:rsidP="37B30B7C" w:rsidRDefault="37B30B7C" w14:paraId="6CF413E1" w14:textId="4DFC28FD">
      <w:pPr>
        <w:spacing w:before="240" w:beforeAutospacing="off" w:after="240" w:afterAutospacing="off"/>
        <w:ind w:left="0" w:right="0" w:firstLine="0"/>
        <w:jc w:val="both"/>
        <w:rPr>
          <w:rFonts w:ascii="Arial" w:hAnsi="Arial" w:eastAsia="Arial" w:cs="Arial"/>
          <w:noProof w:val="0"/>
          <w:sz w:val="24"/>
          <w:szCs w:val="24"/>
          <w:lang w:val="en-US"/>
        </w:rPr>
      </w:pPr>
      <w:r w:rsidRPr="37B30B7C" w:rsidR="37B30B7C">
        <w:rPr>
          <w:rFonts w:ascii="Arial" w:hAnsi="Arial" w:eastAsia="Arial" w:cs="Arial"/>
          <w:noProof w:val="0"/>
          <w:sz w:val="24"/>
          <w:szCs w:val="24"/>
          <w:lang w:val="en-US"/>
        </w:rPr>
        <w:t xml:space="preserve">Li, C. (2023) </w:t>
      </w:r>
      <w:r w:rsidRPr="37B30B7C" w:rsidR="37B30B7C">
        <w:rPr>
          <w:rFonts w:ascii="Arial" w:hAnsi="Arial" w:eastAsia="Arial" w:cs="Arial"/>
          <w:i w:val="1"/>
          <w:iCs w:val="1"/>
          <w:noProof w:val="0"/>
          <w:sz w:val="24"/>
          <w:szCs w:val="24"/>
          <w:lang w:val="en-US"/>
        </w:rPr>
        <w:t>UN advisory body created to address global AI governance, and other digital technology stories you need to read</w:t>
      </w:r>
      <w:r w:rsidRPr="37B30B7C" w:rsidR="37B30B7C">
        <w:rPr>
          <w:rFonts w:ascii="Arial" w:hAnsi="Arial" w:eastAsia="Arial" w:cs="Arial"/>
          <w:noProof w:val="0"/>
          <w:sz w:val="24"/>
          <w:szCs w:val="24"/>
          <w:lang w:val="en-US"/>
        </w:rPr>
        <w:t xml:space="preserve">. Available at: </w:t>
      </w:r>
      <w:hyperlink r:id="Rdfec828ef8bd4c16">
        <w:r w:rsidRPr="37B30B7C" w:rsidR="37B30B7C">
          <w:rPr>
            <w:rStyle w:val="Hyperlink"/>
            <w:rFonts w:ascii="Arial" w:hAnsi="Arial" w:eastAsia="Arial" w:cs="Arial"/>
            <w:noProof w:val="0"/>
            <w:sz w:val="24"/>
            <w:szCs w:val="24"/>
            <w:lang w:val="en-US"/>
          </w:rPr>
          <w:t>https://www.weforum.org/agenda/2023/11/un-forum-regulate-ai-and-other-digital-technology-stories-you-need-to-read/</w:t>
        </w:r>
      </w:hyperlink>
      <w:r w:rsidRPr="37B30B7C" w:rsidR="37B30B7C">
        <w:rPr>
          <w:rFonts w:ascii="Arial" w:hAnsi="Arial" w:eastAsia="Arial" w:cs="Arial"/>
          <w:noProof w:val="0"/>
          <w:sz w:val="24"/>
          <w:szCs w:val="24"/>
          <w:lang w:val="en-US"/>
        </w:rPr>
        <w:t xml:space="preserve"> [Accessed 28 April 2024].</w:t>
      </w:r>
    </w:p>
    <w:p w:rsidR="37B30B7C" w:rsidP="37B30B7C" w:rsidRDefault="37B30B7C" w14:paraId="1B73F785" w14:textId="6E79F410">
      <w:pPr>
        <w:spacing w:before="240" w:beforeAutospacing="off" w:after="240" w:afterAutospacing="off"/>
        <w:ind w:left="0" w:right="0" w:firstLine="0"/>
        <w:jc w:val="both"/>
        <w:rPr>
          <w:rFonts w:ascii="Arial" w:hAnsi="Arial" w:eastAsia="Arial" w:cs="Arial"/>
          <w:noProof w:val="0"/>
          <w:sz w:val="24"/>
          <w:szCs w:val="24"/>
          <w:lang w:val="en-US"/>
        </w:rPr>
      </w:pPr>
      <w:r w:rsidRPr="37B30B7C" w:rsidR="37B30B7C">
        <w:rPr>
          <w:rFonts w:ascii="Arial" w:hAnsi="Arial" w:eastAsia="Arial" w:cs="Arial"/>
          <w:noProof w:val="0"/>
          <w:sz w:val="24"/>
          <w:szCs w:val="24"/>
          <w:lang w:val="en-US"/>
        </w:rPr>
        <w:t xml:space="preserve">UNESCO (2020) </w:t>
      </w:r>
      <w:r w:rsidRPr="37B30B7C" w:rsidR="37B30B7C">
        <w:rPr>
          <w:rFonts w:ascii="Arial" w:hAnsi="Arial" w:eastAsia="Arial" w:cs="Arial"/>
          <w:i w:val="1"/>
          <w:iCs w:val="1"/>
          <w:noProof w:val="0"/>
          <w:sz w:val="24"/>
          <w:szCs w:val="24"/>
          <w:lang w:val="en-US"/>
        </w:rPr>
        <w:t>Outcome document: first draft of the Recommendation on the Ethics of Artificial Intelligence</w:t>
      </w:r>
      <w:r w:rsidRPr="37B30B7C" w:rsidR="37B30B7C">
        <w:rPr>
          <w:rFonts w:ascii="Arial" w:hAnsi="Arial" w:eastAsia="Arial" w:cs="Arial"/>
          <w:noProof w:val="0"/>
          <w:sz w:val="24"/>
          <w:szCs w:val="24"/>
          <w:lang w:val="en-US"/>
        </w:rPr>
        <w:t xml:space="preserve">. Available at: </w:t>
      </w:r>
      <w:hyperlink r:id="Rc5352f6729cb4922">
        <w:r w:rsidRPr="37B30B7C" w:rsidR="37B30B7C">
          <w:rPr>
            <w:rStyle w:val="Hyperlink"/>
            <w:rFonts w:ascii="Arial" w:hAnsi="Arial" w:eastAsia="Arial" w:cs="Arial"/>
            <w:noProof w:val="0"/>
            <w:sz w:val="24"/>
            <w:szCs w:val="24"/>
            <w:lang w:val="en-US"/>
          </w:rPr>
          <w:t>https://unesdoc.unesco.org/ark:/48223/pf0000373434</w:t>
        </w:r>
      </w:hyperlink>
      <w:r w:rsidRPr="37B30B7C" w:rsidR="37B30B7C">
        <w:rPr>
          <w:rFonts w:ascii="Arial" w:hAnsi="Arial" w:eastAsia="Arial" w:cs="Arial"/>
          <w:noProof w:val="0"/>
          <w:sz w:val="24"/>
          <w:szCs w:val="24"/>
          <w:lang w:val="en-US"/>
        </w:rPr>
        <w:t xml:space="preserve"> [Accessed 28 April 2024].</w:t>
      </w:r>
    </w:p>
    <w:p w:rsidR="37B30B7C" w:rsidP="37B30B7C" w:rsidRDefault="37B30B7C" w14:paraId="0AD7871E" w14:textId="1D2D99C2">
      <w:pPr>
        <w:pStyle w:val="Normal"/>
        <w:ind w:firstLine="0"/>
        <w:jc w:val="both"/>
        <w:rPr>
          <w:rFonts w:ascii="Arial" w:hAnsi="Arial" w:eastAsia="Arial" w:cs="Arial"/>
          <w:noProof w:val="0"/>
          <w:color w:val="auto"/>
          <w:sz w:val="24"/>
          <w:szCs w:val="24"/>
          <w:lang w:val="en-US" w:eastAsia="ja-JP" w:bidi="ar-SA"/>
        </w:rPr>
      </w:pPr>
      <w:r w:rsidRPr="37B30B7C" w:rsidR="37B30B7C">
        <w:rPr>
          <w:rFonts w:ascii="Arial" w:hAnsi="Arial" w:eastAsia="Arial" w:cs="Arial"/>
          <w:noProof w:val="0"/>
          <w:color w:val="auto"/>
          <w:sz w:val="24"/>
          <w:szCs w:val="24"/>
          <w:lang w:val="en-US" w:eastAsia="ja-JP" w:bidi="ar-SA"/>
        </w:rPr>
        <w:t xml:space="preserve">European Commission (2019) Ethics guidelines for trustworthy AI. Available at:  </w:t>
      </w:r>
      <w:hyperlink r:id="R2e538c95e61b4853">
        <w:r w:rsidRPr="37B30B7C" w:rsidR="37B30B7C">
          <w:rPr>
            <w:rFonts w:ascii="Arial" w:hAnsi="Arial" w:eastAsia="Arial" w:cs="Arial"/>
            <w:noProof w:val="0"/>
            <w:color w:val="auto"/>
            <w:sz w:val="24"/>
            <w:szCs w:val="24"/>
            <w:lang w:val="en-US" w:eastAsia="ja-JP" w:bidi="ar-SA"/>
          </w:rPr>
          <w:t>https://data.europa.eu/doi/10.2759/346720</w:t>
        </w:r>
      </w:hyperlink>
      <w:r w:rsidRPr="37B30B7C" w:rsidR="37B30B7C">
        <w:rPr>
          <w:rFonts w:ascii="Arial" w:hAnsi="Arial" w:eastAsia="Arial" w:cs="Arial"/>
          <w:noProof w:val="0"/>
          <w:color w:val="auto"/>
          <w:sz w:val="24"/>
          <w:szCs w:val="24"/>
          <w:lang w:val="en-US" w:eastAsia="ja-JP" w:bidi="ar-SA"/>
        </w:rPr>
        <w:t xml:space="preserve"> [Accessed 28 A</w:t>
      </w:r>
      <w:r w:rsidRPr="37B30B7C" w:rsidR="37B30B7C">
        <w:rPr>
          <w:rFonts w:ascii="Arial" w:hAnsi="Arial" w:eastAsia="Arial" w:cs="Arial"/>
          <w:noProof w:val="0"/>
          <w:color w:val="auto"/>
          <w:sz w:val="24"/>
          <w:szCs w:val="24"/>
          <w:lang w:val="en-US" w:eastAsia="ja-JP" w:bidi="ar-SA"/>
        </w:rPr>
        <w:t>pril</w:t>
      </w:r>
      <w:r w:rsidRPr="37B30B7C" w:rsidR="37B30B7C">
        <w:rPr>
          <w:rFonts w:ascii="Arial" w:hAnsi="Arial" w:eastAsia="Arial" w:cs="Arial"/>
          <w:noProof w:val="0"/>
          <w:color w:val="auto"/>
          <w:sz w:val="24"/>
          <w:szCs w:val="24"/>
          <w:lang w:val="en-US" w:eastAsia="ja-JP" w:bidi="ar-SA"/>
        </w:rPr>
        <w:t xml:space="preserve"> 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dcb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05d2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AAB29E"/>
    <w:rsid w:val="12AAB29E"/>
    <w:rsid w:val="37B3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B29E"/>
  <w15:chartTrackingRefBased/>
  <w15:docId w15:val="{B7268BF0-DADF-4E49-87F5-DCD5C2987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cs.org/articles-opinion-and-research/what-are-ethics-in-ai/" TargetMode="External" Id="R697338948ccc4885" /><Relationship Type="http://schemas.openxmlformats.org/officeDocument/2006/relationships/hyperlink" Target="https://www.weforum.org/agenda/2023/11/un-forum-regulate-ai-and-other-digital-technology-stories-you-need-to-read/" TargetMode="External" Id="Rdfec828ef8bd4c16" /><Relationship Type="http://schemas.openxmlformats.org/officeDocument/2006/relationships/hyperlink" Target="https://unesdoc.unesco.org/ark:/48223/pf0000373434" TargetMode="External" Id="Rc5352f6729cb4922" /><Relationship Type="http://schemas.openxmlformats.org/officeDocument/2006/relationships/hyperlink" Target="https://data.europa.eu/doi/10.2759/346720" TargetMode="External" Id="R2e538c95e61b4853" /><Relationship Type="http://schemas.openxmlformats.org/officeDocument/2006/relationships/numbering" Target="numbering.xml" Id="R85f63080285f4b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2024-06-01T20:47:30.9529122Z</dcterms:created>
  <dcterms:modified xsi:type="dcterms:W3CDTF">2024-06-01T21:56:58.6574048Z</dcterms:modified>
  <dc:creator>Guest User</dc:creator>
  <lastModifiedBy>Guest User</lastModifiedBy>
</coreProperties>
</file>