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B365D"/>
          <w:sz w:val="20"/>
        </w:rPr>
        <w:t>VELLORE INSTITUTE OF TECHNOLOGY (VIT), VELLORE</w:t>
        <w:br/>
        <w:t>BACSE291 – INNOVATIVE DESIGN PROJECT · FALL 2026</w:t>
      </w:r>
    </w:p>
    <w:p>
      <w:pPr>
        <w:spacing w:after="40"/>
        <w:jc w:val="center"/>
      </w:pPr>
      <w:r>
        <w:rPr>
          <w:rFonts w:ascii="Arial" w:hAnsi="Arial"/>
          <w:b/>
          <w:color w:val="1B365D"/>
          <w:sz w:val="24"/>
        </w:rPr>
        <w:t>AI IN STRUCTURAL HEALTH MONITORING FOR PREDICTIVE MAINTENANCE AND CONTINUOUS SAFETY ASSURANCE</w:t>
      </w:r>
    </w:p>
    <w:p>
      <w:pPr>
        <w:spacing w:after="80"/>
        <w:jc w:val="center"/>
      </w:pPr>
      <w:r>
        <w:rPr>
          <w:rFonts w:ascii="Arial" w:hAnsi="Arial"/>
          <w:b/>
          <w:color w:val="008296"/>
          <w:sz w:val="18"/>
        </w:rPr>
        <w:t>ONE-PAGE EXECUTIVE RESEARCH PROGRESS &amp; MILESTONE SUMMARY</w:t>
      </w:r>
    </w:p>
    <w:p>
      <w:pPr>
        <w:spacing w:after="80"/>
      </w:pPr>
      <w:r>
        <w:rPr>
          <w:rFonts w:ascii="Calibri" w:hAnsi="Calibri"/>
          <w:color w:val="646E78"/>
          <w:sz w:val="16"/>
        </w:rPr>
        <w:t>Guide: Dr. N. Senthil Kumar, Ph.D (SCE, Emp: 15377) | Project IDs: 15377IDP01 &amp; 15377IDP02</w:t>
        <w:br/>
        <w:t>Team 1 (Aerial): Priyam Sharma (25BAI0159), Ayushman Kaushik (25BCE0927)</w:t>
        <w:br/>
        <w:t>Team 2 (Ground): Nisargkumar Joshi (25BCE0594), Aryan Mithari (25BAI0115), Mudit Gupta (25BA0110)</w:t>
      </w:r>
    </w:p>
    <w:p>
      <w:pPr>
        <w:spacing w:before="80" w:after="40"/>
      </w:pPr>
      <w:r>
        <w:rPr>
          <w:rFonts w:ascii="Arial" w:hAnsi="Arial"/>
          <w:b/>
          <w:color w:val="1B365D"/>
          <w:sz w:val="19"/>
        </w:rPr>
        <w:t>■ 1. WHAT WE COMPLETED PREVIOUSLY (REVIEW 1 THROUGH REVIEW 3)</w:t>
      </w:r>
    </w:p>
    <w:p>
      <w:pPr>
        <w:pStyle w:val="ListBullet"/>
        <w:spacing w:before="0" w:after="30"/>
      </w:pPr>
      <w:r>
        <w:rPr>
          <w:rFonts w:ascii="Calibri" w:hAnsi="Calibri"/>
          <w:b/>
          <w:color w:val="282C34"/>
          <w:sz w:val="17"/>
        </w:rPr>
        <w:t xml:space="preserve">Sensor Interfacing &amp; Framing: </w:t>
      </w:r>
      <w:r>
        <w:rPr>
          <w:rFonts w:ascii="Calibri" w:hAnsi="Calibri"/>
          <w:color w:val="282C34"/>
          <w:sz w:val="17"/>
        </w:rPr>
        <w:t>Wired Benewake TF-Luna 850nm ToF Micro-LiDAR to ESP-32 MCU over hardware UART (115200 baud). Engineered 9-byte packet parser with modular checksum validation (tf_luna_code.ino).</w:t>
      </w:r>
    </w:p>
    <w:p>
      <w:pPr>
        <w:pStyle w:val="ListBullet"/>
        <w:spacing w:before="0" w:after="30"/>
      </w:pPr>
      <w:r>
        <w:rPr>
          <w:rFonts w:ascii="Calibri" w:hAnsi="Calibri"/>
          <w:b/>
          <w:color w:val="282C34"/>
          <w:sz w:val="17"/>
        </w:rPr>
        <w:t xml:space="preserve">Mathematical Calibration: </w:t>
      </w:r>
      <w:r>
        <w:rPr>
          <w:rFonts w:ascii="Calibri" w:hAnsi="Calibri"/>
          <w:color w:val="282C34"/>
          <w:sz w:val="17"/>
        </w:rPr>
        <w:t>Derived physical linear regression model: Calibrated Distance = 1.0228 × Raw + 3.20 cm (R² = 1.0000, RMSE = ±0.02 cm at 39.0cm &amp; 61.4cm marks), resolving optical casing delay. Implemented 8-sample oversampling.</w:t>
      </w:r>
    </w:p>
    <w:p>
      <w:pPr>
        <w:pStyle w:val="ListBullet"/>
        <w:spacing w:before="0" w:after="30"/>
      </w:pPr>
      <w:r>
        <w:rPr>
          <w:rFonts w:ascii="Calibri" w:hAnsi="Calibri"/>
          <w:b/>
          <w:color w:val="282C34"/>
          <w:sz w:val="17"/>
        </w:rPr>
        <w:t xml:space="preserve">3D Digital Twin &amp; Viewer: </w:t>
      </w:r>
      <w:r>
        <w:rPr>
          <w:rFonts w:ascii="Calibri" w:hAnsi="Calibri"/>
          <w:color w:val="282C34"/>
          <w:sz w:val="17"/>
        </w:rPr>
        <w:t>Created continuous_multi_point_scanner.py executing 4-wall sweep. Extruded 9,969-point watertight 4.8m × 4.8m room twin (room_mesh.ply/.obj). Built Three.js WebGL viewer with dimension callouts.</w:t>
      </w:r>
    </w:p>
    <w:p>
      <w:pPr>
        <w:pStyle w:val="ListBullet"/>
        <w:spacing w:before="0" w:after="30"/>
      </w:pPr>
      <w:r>
        <w:rPr>
          <w:rFonts w:ascii="Calibri" w:hAnsi="Calibri"/>
          <w:b/>
          <w:color w:val="282C34"/>
          <w:sz w:val="17"/>
        </w:rPr>
        <w:t xml:space="preserve">Literature &amp; Scoping: </w:t>
      </w:r>
      <w:r>
        <w:rPr>
          <w:rFonts w:ascii="Calibri" w:hAnsi="Calibri"/>
          <w:color w:val="282C34"/>
          <w:sz w:val="17"/>
        </w:rPr>
        <w:t>Reviewed 25 SCI/Scopus papers (2020–2026). Established Review 1 baseline and decomposed architecture into Subsystem 1 (Aerial Sensing) and Subsystem 2 (Ground Analytics).</w:t>
      </w:r>
    </w:p>
    <w:p>
      <w:pPr>
        <w:spacing w:before="80" w:after="40"/>
      </w:pPr>
      <w:r>
        <w:rPr>
          <w:rFonts w:ascii="Arial" w:hAnsi="Arial"/>
          <w:b/>
          <w:color w:val="008296"/>
          <w:sz w:val="19"/>
        </w:rPr>
        <w:t>■ 2. WHAT WE ARE WORKING ON NOW (CURRENT WORK IN PROGRESS)</w:t>
      </w:r>
    </w:p>
    <w:p>
      <w:pPr>
        <w:pStyle w:val="ListBullet"/>
        <w:spacing w:before="0" w:after="30"/>
      </w:pPr>
      <w:r>
        <w:rPr>
          <w:rFonts w:ascii="Calibri" w:hAnsi="Calibri"/>
          <w:b/>
          <w:color w:val="282C34"/>
          <w:sz w:val="17"/>
        </w:rPr>
        <w:t xml:space="preserve">Sliding Jitter vs. Defect Tuning: </w:t>
      </w:r>
      <w:r>
        <w:rPr>
          <w:rFonts w:ascii="Calibri" w:hAnsi="Calibri"/>
          <w:color w:val="282C34"/>
          <w:sz w:val="17"/>
        </w:rPr>
        <w:t>Resolving mechanical hand-sliding noise (~2–3 cm) from structural defect thresholds (±3.5 cm). Tuning 8-sample median filter + 12-sample spatial persistence gating to prevent false anomaly triggers.</w:t>
      </w:r>
    </w:p>
    <w:p>
      <w:pPr>
        <w:pStyle w:val="ListBullet"/>
        <w:spacing w:before="0" w:after="30"/>
      </w:pPr>
      <w:r>
        <w:rPr>
          <w:rFonts w:ascii="Calibri" w:hAnsi="Calibri"/>
          <w:b/>
          <w:color w:val="282C34"/>
          <w:sz w:val="17"/>
        </w:rPr>
        <w:t xml:space="preserve">Feature Discrimination Refinement: </w:t>
      </w:r>
      <w:r>
        <w:rPr>
          <w:rFonts w:ascii="Calibri" w:hAnsi="Calibri"/>
          <w:color w:val="282C34"/>
          <w:sz w:val="17"/>
        </w:rPr>
        <w:t>Verified macro features: Normal Wall (Cyan, |Δd| &lt; 15cm), Almari Bulge (Orange, Δd ≤ -15cm), Gate Recess (Green, Δd ≥ +15cm). Refining fine-grained cavity/crack isolation via optical flux amplitude.</w:t>
      </w:r>
    </w:p>
    <w:p>
      <w:pPr>
        <w:pStyle w:val="ListBullet"/>
        <w:spacing w:before="0" w:after="30"/>
      </w:pPr>
      <w:r>
        <w:rPr>
          <w:rFonts w:ascii="Calibri" w:hAnsi="Calibri"/>
          <w:b/>
          <w:color w:val="282C34"/>
          <w:sz w:val="17"/>
        </w:rPr>
        <w:t xml:space="preserve">ADXL345 Tilt &amp; Vibration Sensor: </w:t>
      </w:r>
      <w:r>
        <w:rPr>
          <w:rFonts w:ascii="Calibri" w:hAnsi="Calibri"/>
          <w:color w:val="282C34"/>
          <w:sz w:val="17"/>
        </w:rPr>
        <w:t>Breadboarding ADXL345 3-axis accelerometer over I2C. Programming real-time trigonometric Euler tilt correction: d_true = d_meas · cos(θ_tilt) to prevent tilt-induced distance stretching.</w:t>
      </w:r>
    </w:p>
    <w:p>
      <w:pPr>
        <w:pStyle w:val="ListBullet"/>
        <w:spacing w:before="0" w:after="30"/>
      </w:pPr>
      <w:r>
        <w:rPr>
          <w:rFonts w:ascii="Calibri" w:hAnsi="Calibri"/>
          <w:b/>
          <w:color w:val="282C34"/>
          <w:sz w:val="17"/>
        </w:rPr>
        <w:t xml:space="preserve">Wireless UDP Telemetry: </w:t>
      </w:r>
      <w:r>
        <w:rPr>
          <w:rFonts w:ascii="Calibri" w:hAnsi="Calibri"/>
          <w:color w:val="282C34"/>
          <w:sz w:val="17"/>
        </w:rPr>
        <w:t>Transitioning from wired USB-serial logging to ESP-32 Wi-Fi UDP streaming with 16-bit packet sequence numbering to detect packet drop.</w:t>
      </w:r>
    </w:p>
    <w:p>
      <w:pPr>
        <w:spacing w:before="80" w:after="40"/>
      </w:pPr>
      <w:r>
        <w:rPr>
          <w:rFonts w:ascii="Arial" w:hAnsi="Arial"/>
          <w:b/>
          <w:color w:val="282C34"/>
          <w:sz w:val="19"/>
        </w:rPr>
        <w:t>■ 3. WHAT WE WILL DO NEXT (FUTURE WORK PLAN &amp; MILESTONE R1 ROADMAP)</w:t>
      </w:r>
    </w:p>
    <w:p>
      <w:pPr>
        <w:pStyle w:val="ListBullet"/>
        <w:spacing w:before="0" w:after="30"/>
      </w:pPr>
      <w:r>
        <w:rPr>
          <w:rFonts w:ascii="Calibri" w:hAnsi="Calibri"/>
          <w:b/>
          <w:color w:val="282C34"/>
          <w:sz w:val="17"/>
        </w:rPr>
        <w:t xml:space="preserve">Dynamic Coordinate Tracking (0,0,0) → (X,Y,Z): </w:t>
      </w:r>
      <w:r>
        <w:rPr>
          <w:rFonts w:ascii="Calibri" w:hAnsi="Calibri"/>
          <w:color w:val="282C34"/>
          <w:sz w:val="17"/>
        </w:rPr>
        <w:t>Implement guide's core odometry requirement: Initial datum set to (0,0,0); as the scanner moves/drags across space, coordinates update dynamically: P_sensor(t) = P_sensor(0) + ΔT(t), preventing point cloud collapse.</w:t>
      </w:r>
    </w:p>
    <w:p>
      <w:pPr>
        <w:pStyle w:val="ListBullet"/>
        <w:spacing w:before="0" w:after="30"/>
      </w:pPr>
      <w:r>
        <w:rPr>
          <w:rFonts w:ascii="Calibri" w:hAnsi="Calibri"/>
          <w:b/>
          <w:color w:val="282C34"/>
          <w:sz w:val="17"/>
        </w:rPr>
        <w:t xml:space="preserve">2D 360° LiDAR Sensor Upgrade: </w:t>
      </w:r>
      <w:r>
        <w:rPr>
          <w:rFonts w:ascii="Calibri" w:hAnsi="Calibri"/>
          <w:color w:val="282C34"/>
          <w:sz w:val="17"/>
        </w:rPr>
        <w:t>Procure and mount YDLIDAR X4 / LD06 2D 360° laser scanner (3–5k pts/s). Replaces manual sequential wall sweeps with instantaneous omnidirectional planar room closure and 2D SLAM.</w:t>
      </w:r>
    </w:p>
    <w:p>
      <w:pPr>
        <w:pStyle w:val="ListBullet"/>
        <w:spacing w:before="0" w:after="30"/>
      </w:pPr>
      <w:r>
        <w:rPr>
          <w:rFonts w:ascii="Calibri" w:hAnsi="Calibri"/>
          <w:b/>
          <w:color w:val="282C34"/>
          <w:sz w:val="17"/>
        </w:rPr>
        <w:t xml:space="preserve">Dual-Platform Testing (Drone &amp; Smart Car Rover): </w:t>
      </w:r>
      <w:r>
        <w:rPr>
          <w:rFonts w:ascii="Calibri" w:hAnsi="Calibri"/>
          <w:color w:val="282C34"/>
          <w:sz w:val="17"/>
        </w:rPr>
        <w:t>Test on: (1) Primary Carbon Fiber Quadcopter UAV with silicone dampers; and (2) Smart 4WD Car Rover with optical wheel encoders as an indoor GPS-denied contingency platform.</w:t>
      </w:r>
    </w:p>
    <w:p>
      <w:pPr>
        <w:pStyle w:val="ListBullet"/>
        <w:spacing w:before="0" w:after="30"/>
      </w:pPr>
      <w:r>
        <w:rPr>
          <w:rFonts w:ascii="Calibri" w:hAnsi="Calibri"/>
          <w:b/>
          <w:color w:val="282C34"/>
          <w:sz w:val="17"/>
        </w:rPr>
        <w:t xml:space="preserve">Longitudinal Predictive Maintenance: </w:t>
      </w:r>
      <w:r>
        <w:rPr>
          <w:rFonts w:ascii="Calibri" w:hAnsi="Calibri"/>
          <w:color w:val="282C34"/>
          <w:sz w:val="17"/>
        </w:rPr>
        <w:t>Compare dated scan point clouds of the same asset over time to compute deterioration trends (Δd progression) for predictive structural maintenance.</w:t>
      </w:r>
    </w:p>
    <w:p>
      <w:pPr>
        <w:spacing w:before="80" w:after="40"/>
      </w:pPr>
      <w:r>
        <w:rPr>
          <w:rFonts w:ascii="Arial" w:hAnsi="Arial"/>
          <w:b/>
          <w:color w:val="D97706"/>
          <w:sz w:val="19"/>
        </w:rPr>
        <w:t>■ 4. EXPECTED FINAL OUTCOME &amp; PROJECT BUDGET SUMMARY</w:t>
      </w:r>
    </w:p>
    <w:p>
      <w:pPr>
        <w:pStyle w:val="ListBullet"/>
        <w:spacing w:before="0" w:after="30"/>
      </w:pPr>
      <w:r>
        <w:rPr>
          <w:rFonts w:ascii="Calibri" w:hAnsi="Calibri"/>
          <w:b/>
          <w:color w:val="282C34"/>
          <w:sz w:val="17"/>
        </w:rPr>
        <w:t xml:space="preserve">Expected Deliverables: </w:t>
      </w:r>
      <w:r>
        <w:rPr>
          <w:rFonts w:ascii="Calibri" w:hAnsi="Calibri"/>
          <w:color w:val="282C34"/>
          <w:sz w:val="17"/>
        </w:rPr>
        <w:t>Fully flight/rover-validated LiDAR SHM platform, sub-centimeter calibrated 3D room twins, automated defect classification logs, and WebGL Three.js interactive inspection suite.</w:t>
      </w:r>
    </w:p>
    <w:p>
      <w:pPr>
        <w:pStyle w:val="ListBullet"/>
        <w:spacing w:before="0" w:after="30"/>
      </w:pPr>
      <w:r>
        <w:rPr>
          <w:rFonts w:ascii="Calibri" w:hAnsi="Calibri"/>
          <w:b/>
          <w:color w:val="282C34"/>
          <w:sz w:val="17"/>
        </w:rPr>
        <w:t xml:space="preserve">Itemized Hardware Budget: </w:t>
      </w:r>
      <w:r>
        <w:rPr>
          <w:rFonts w:ascii="Calibri" w:hAnsi="Calibri"/>
          <w:color w:val="282C34"/>
          <w:sz w:val="17"/>
        </w:rPr>
        <w:t>Complete Dual-Subsystem Hardware: ₹26,900 Total (Procured: TF-Luna ₹2,200, ESP32s ₹900, Drone Frame ₹2,200, Motors/ESC ₹4,500, Dampers ₹550 | To Procure: 2D LiDAR ₹7,800, Flight Controller ₹3,200, LiPo Battery ₹1,800, Charger ₹1,400, Car Rover Chassis ₹1,600, Encoders ₹300).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