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drawing>
          <wp:inline xmlns:a="http://schemas.openxmlformats.org/drawingml/2006/main" xmlns:pic="http://schemas.openxmlformats.org/drawingml/2006/picture">
            <wp:extent cx="2011680" cy="710508"/>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2011680" cy="710508"/>
                    </a:xfrm>
                    <a:prstGeom prst="rect"/>
                  </pic:spPr>
                </pic:pic>
              </a:graphicData>
            </a:graphic>
          </wp:inline>
        </w:drawing>
      </w:r>
    </w:p>
    <w:p>
      <w:pPr>
        <w:spacing w:after="80" w:line="276" w:lineRule="auto"/>
        <w:jc w:val="left"/>
      </w:pPr>
      <w:r>
        <w:rPr>
          <w:b/>
          <w:i w:val="0"/>
          <w:color w:val="0F172A"/>
          <w:sz w:val="40"/>
        </w:rPr>
        <w:t>AI IN STRUCTURAL HEALTH MONITORING FOR PREDICTIVE MAINTENANCE AND CONTINUOUS SAFETY ASSURANCE</w:t>
      </w:r>
    </w:p>
    <w:p>
      <w:pPr>
        <w:spacing w:after="240" w:line="276" w:lineRule="auto"/>
        <w:jc w:val="left"/>
      </w:pPr>
      <w:r>
        <w:rPr>
          <w:b/>
          <w:i w:val="0"/>
          <w:color w:val="1E3A8A"/>
          <w:sz w:val="24"/>
        </w:rPr>
        <w:t>Comprehensive IDP Progress Report, Previous MDP Integration, Dual-Platform Deployment (Aerial Drone &amp; Smart 4WD Car), Hardware Upgrade &amp; Implementation Plan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112"/>
        <w:gridCol w:w="5112"/>
      </w:tblGrid>
      <w:tr>
        <w:tc>
          <w:tcPr>
            <w:tcW w:type="dxa" w:w="5112"/>
            <w:shd w:fill="F1F5F9"/>
            <w:tcMar>
              <w:top w:w="80" w:type="dxa"/>
              <w:bottom w:w="80" w:type="dxa"/>
              <w:left w:w="120" w:type="dxa"/>
              <w:right w:w="120" w:type="dxa"/>
            </w:tcMar>
          </w:tcPr>
          <w:p>
            <w:pPr>
              <w:spacing w:line="276" w:lineRule="auto"/>
            </w:pPr>
            <w:r>
              <w:rPr>
                <w:b/>
                <w:sz w:val="19"/>
              </w:rPr>
              <w:t>ACADEMIC DETAILS</w:t>
            </w:r>
          </w:p>
        </w:tc>
        <w:tc>
          <w:tcPr>
            <w:tcW w:type="dxa" w:w="5112"/>
            <w:shd w:fill="F1F5F9"/>
            <w:tcMar>
              <w:top w:w="80" w:type="dxa"/>
              <w:bottom w:w="80" w:type="dxa"/>
              <w:left w:w="120" w:type="dxa"/>
              <w:right w:w="120" w:type="dxa"/>
            </w:tcMar>
          </w:tcPr>
          <w:p>
            <w:pPr>
              <w:spacing w:line="276" w:lineRule="auto"/>
            </w:pPr>
            <w:r>
              <w:rPr>
                <w:b/>
                <w:sz w:val="19"/>
              </w:rPr>
              <w:t>FACULTY GUIDE DETAILS</w:t>
            </w:r>
          </w:p>
        </w:tc>
      </w:tr>
      <w:tr>
        <w:tc>
          <w:tcPr>
            <w:tcW w:type="dxa" w:w="5112"/>
            <w:tcMar>
              <w:top w:w="80" w:type="dxa"/>
              <w:bottom w:w="80" w:type="dxa"/>
              <w:left w:w="120" w:type="dxa"/>
              <w:right w:w="120" w:type="dxa"/>
            </w:tcMar>
          </w:tcPr>
          <w:p>
            <w:pPr>
              <w:spacing w:line="276" w:lineRule="auto"/>
            </w:pPr>
            <w:r>
              <w:rPr>
                <w:sz w:val="19"/>
              </w:rPr>
              <w:t>Course: BACSE291 — Innovative Design Project</w:t>
              <w:br/>
              <w:t>Program: B.Tech Computer Science &amp; Engineering</w:t>
              <w:br/>
              <w:t>Semester: Fall Semester 2026</w:t>
              <w:br/>
              <w:t>Institution: Vellore Institute of Technology (VIT), Vellore</w:t>
            </w:r>
          </w:p>
        </w:tc>
        <w:tc>
          <w:tcPr>
            <w:tcW w:type="dxa" w:w="5112"/>
            <w:tcMar>
              <w:top w:w="80" w:type="dxa"/>
              <w:bottom w:w="80" w:type="dxa"/>
              <w:left w:w="120" w:type="dxa"/>
              <w:right w:w="120" w:type="dxa"/>
            </w:tcMar>
          </w:tcPr>
          <w:p>
            <w:pPr>
              <w:spacing w:line="276" w:lineRule="auto"/>
            </w:pPr>
            <w:r>
              <w:rPr>
                <w:sz w:val="19"/>
              </w:rPr>
              <w:t>Faculty Guide: Dr. Senthil Kumar N, Ph.D (IIT Madras)</w:t>
              <w:br/>
              <w:t>Designation: Associate Professor Grade 2</w:t>
              <w:br/>
              <w:t>Department: School of Computer Science &amp; Engineering (SCOPE)</w:t>
              <w:br/>
              <w:t>Faculty ID: 15377  |  Cabin: GDN153</w:t>
            </w:r>
          </w:p>
        </w:tc>
      </w:tr>
      <w:tr>
        <w:tc>
          <w:tcPr>
            <w:tcW w:type="dxa" w:w="5112"/>
            <w:shd w:fill="F1F5F9"/>
            <w:tcMar>
              <w:top w:w="80" w:type="dxa"/>
              <w:bottom w:w="80" w:type="dxa"/>
              <w:left w:w="120" w:type="dxa"/>
              <w:right w:w="120" w:type="dxa"/>
            </w:tcMar>
          </w:tcPr>
          <w:p>
            <w:pPr>
              <w:spacing w:line="276" w:lineRule="auto"/>
            </w:pPr>
            <w:r>
              <w:rPr>
                <w:b/>
                <w:sz w:val="19"/>
              </w:rPr>
              <w:t>SUBSYSTEM 1: AERIAL SENSING &amp; DRONE (15377IDP01)</w:t>
            </w:r>
          </w:p>
        </w:tc>
        <w:tc>
          <w:tcPr>
            <w:tcW w:type="dxa" w:w="5112"/>
            <w:shd w:fill="F1F5F9"/>
            <w:tcMar>
              <w:top w:w="80" w:type="dxa"/>
              <w:bottom w:w="80" w:type="dxa"/>
              <w:left w:w="120" w:type="dxa"/>
              <w:right w:w="120" w:type="dxa"/>
            </w:tcMar>
          </w:tcPr>
          <w:p>
            <w:pPr>
              <w:spacing w:line="276" w:lineRule="auto"/>
            </w:pPr>
            <w:r>
              <w:rPr>
                <w:b/>
                <w:sz w:val="19"/>
              </w:rPr>
              <w:t>SUBSYSTEM 2: GROUND ANALYTICS (15377IDP02)</w:t>
            </w:r>
          </w:p>
        </w:tc>
      </w:tr>
      <w:tr>
        <w:tc>
          <w:tcPr>
            <w:tcW w:type="dxa" w:w="5112"/>
            <w:tcMar>
              <w:top w:w="80" w:type="dxa"/>
              <w:bottom w:w="80" w:type="dxa"/>
              <w:left w:w="120" w:type="dxa"/>
              <w:right w:w="120" w:type="dxa"/>
            </w:tcMar>
          </w:tcPr>
          <w:p>
            <w:pPr>
              <w:spacing w:line="276" w:lineRule="auto"/>
            </w:pPr>
            <w:r>
              <w:rPr>
                <w:sz w:val="19"/>
              </w:rPr>
              <w:t>• Priyam Sharma (25BAI0159) — Hardware &amp; UAV Flight Lead</w:t>
              <w:br/>
              <w:t>• Ayushman Kaushik (25BCE0927) — Telemetry &amp; MCU Lead</w:t>
            </w:r>
          </w:p>
        </w:tc>
        <w:tc>
          <w:tcPr>
            <w:tcW w:type="dxa" w:w="5112"/>
            <w:tcMar>
              <w:top w:w="80" w:type="dxa"/>
              <w:bottom w:w="80" w:type="dxa"/>
              <w:left w:w="120" w:type="dxa"/>
              <w:right w:w="120" w:type="dxa"/>
            </w:tcMar>
          </w:tcPr>
          <w:p>
            <w:pPr>
              <w:spacing w:line="276" w:lineRule="auto"/>
            </w:pPr>
            <w:r>
              <w:rPr>
                <w:sz w:val="19"/>
              </w:rPr>
              <w:t>• Nisargkumar Piyushkumar Joshi (25BCE0594) — Subsystem Lead</w:t>
              <w:br/>
              <w:t>• Aryan Pranit Mithari (25BAI0115) — Point Cloud Processing</w:t>
              <w:br/>
              <w:t>• Mudit Gupta (25BA0110) — Dashboard &amp; Anomaly Analytics</w:t>
            </w:r>
          </w:p>
        </w:tc>
      </w:tr>
    </w:tbl>
    <w:p>
      <w:pPr>
        <w:spacing w:after="160"/>
      </w:pPr>
    </w:p>
    <w:tbl>
      <w:tblPr>
        <w:tblW w:type="auto" w:w="0"/>
        <w:jc w:val="center"/>
        <w:tblLook w:firstColumn="1" w:firstRow="1" w:lastColumn="0" w:lastRow="0" w:noHBand="0" w:noVBand="1" w:val="04A0"/>
      </w:tblPr>
      <w:tblGrid>
        <w:gridCol w:w="10224"/>
      </w:tblGrid>
      <w:tr>
        <w:tc>
          <w:tcPr>
            <w:tcW w:type="dxa" w:w="10224"/>
            <w:shd w:fill="F0FDF4"/>
            <w:tcMar>
              <w:top w:w="140" w:type="dxa"/>
              <w:bottom w:w="140" w:type="dxa"/>
              <w:left w:w="200" w:type="dxa"/>
              <w:right w:w="200" w:type="dxa"/>
            </w:tcMar>
          </w:tcPr>
          <w:p>
            <w:pPr>
              <w:spacing w:after="40"/>
            </w:pPr>
            <w:r>
              <w:rPr>
                <w:b/>
                <w:color w:val="059669"/>
                <w:sz w:val="20"/>
              </w:rPr>
              <w:t>[EXECUTIVE REPORT SUMMARY &amp; SCOPE]</w:t>
              <w:br/>
            </w:r>
            <w:r>
              <w:rPr>
                <w:i/>
                <w:sz w:val="20"/>
              </w:rPr>
              <w:t>This document presents the complete formal engineering review for BACSE291. It provides an exhaustive, evidence-based technical synthesis connecting our prior Multidisciplinary Project (MDP: PLY Forge 3D Point Cloud Processor) to our current Innovative Design Project (IDP). It details the verified aerial acquisition and ground analytics benchmarks, evaluates identified scanning constraints (sensor jitter, manual dragging noise, tilt elongation, motor vibration), presents our Dual-Platform Deployment Strategy (Primary Autonomous Quadcopter Drone vs. Contingency Smart 4WD Ground Robotic Car with Optical Wheel Encoders), justifies essential hardware upgrades (YDLIDAR X2 360° LiDAR, DFRobot Gravity 360° Tilt Sensor, F450 Quadcopter &amp; 3S LiPo), establishes an itemized INR 28,874.00 procurement budget with contingency, and outlines a rigorous 7-phase future roadmap toward autonomous structural health monitoring (SHM).</w:t>
            </w:r>
          </w:p>
        </w:tc>
      </w:tr>
    </w:tbl>
    <w:p>
      <w:pPr>
        <w:spacing w:after="80"/>
      </w:pPr>
    </w:p>
    <w:p>
      <w:r>
        <w:br w:type="page"/>
      </w:r>
    </w:p>
    <w:p>
      <w:pPr>
        <w:keepNext/>
        <w:spacing w:before="280" w:after="80"/>
      </w:pPr>
      <w:r>
        <w:rPr>
          <w:b/>
          <w:color w:val="1E3A8A"/>
          <w:sz w:val="32"/>
        </w:rPr>
        <w:t>1. Executive Summary</w:t>
      </w:r>
    </w:p>
    <w:p>
      <w:pPr>
        <w:spacing w:after="80" w:line="276" w:lineRule="auto"/>
        <w:jc w:val="left"/>
      </w:pPr>
      <w:r>
        <w:rPr>
          <w:b w:val="0"/>
          <w:i w:val="0"/>
          <w:sz w:val="22"/>
        </w:rPr>
        <w:t>Civil infrastructures—including high-rise exterior facades, highway bridge piers, industrial cooling towers, and commercial structural enclosures—suffer continuous degradation caused by thermal expansion, foundation settling, seismic loads, and moisture ingress. Conventional manual inspection relies heavily on scaffolding, cherry-pickers, and human tactile assessment, exposing personnel to severe fall hazards while suffering from subjective qualitative records and high labor costs. This joint project establishes an autonomous, sensor-driven Cyber-Physical Structural Health Monitoring (SHM) ecosystem partitioned into two tightly coupled subsystems:</w:t>
      </w:r>
    </w:p>
    <w:p>
      <w:pPr>
        <w:pStyle w:val="ListBullet"/>
        <w:spacing w:after="60" w:line="276" w:lineRule="auto"/>
      </w:pPr>
      <w:r>
        <w:rPr>
          <w:b/>
          <w:sz w:val="22"/>
        </w:rPr>
        <w:t xml:space="preserve">Aerial Subsystem (15377IDP01): </w:t>
      </w:r>
      <w:r>
        <w:rPr>
          <w:sz w:val="22"/>
        </w:rPr>
        <w:t>Deploys close-range standoff Time-of-Flight (ToF) distance sensing via ESP32 microcontrollers, 100 Hz UART frame synchronization, checksum integrity checks, and real-time wireless telemetry to scan elevated, inaccessible structural envelopes.</w:t>
      </w:r>
    </w:p>
    <w:p>
      <w:pPr>
        <w:pStyle w:val="ListBullet"/>
        <w:spacing w:after="60" w:line="276" w:lineRule="auto"/>
      </w:pPr>
      <w:r>
        <w:rPr>
          <w:b/>
          <w:sz w:val="22"/>
        </w:rPr>
        <w:t xml:space="preserve">Ground Analytics Subsystem (15377IDP02): </w:t>
      </w:r>
      <w:r>
        <w:rPr>
          <w:sz w:val="22"/>
        </w:rPr>
        <w:t>Ingests streaming distance metrics, executes adaptive baseline tracking, computes geometric residuals (Δd), flags structural anomalies (spalling cavities, structural bulges, cracks), reconstructs 3D digital twins, and generates automated compliance reports.</w:t>
      </w:r>
    </w:p>
    <w:p>
      <w:pPr>
        <w:spacing w:after="80" w:line="276" w:lineRule="auto"/>
        <w:jc w:val="left"/>
      </w:pPr>
      <w:r>
        <w:rPr>
          <w:b w:val="0"/>
          <w:i w:val="0"/>
          <w:sz w:val="22"/>
        </w:rPr>
        <w:t>Key Progress to Date: The project has successfully delivered a physical ESP32 testbed operating a calibrated Benewake TF-Luna ToF sensor (regression model: y = 1.0228x + 3.20 cm, R²=1.0000, RMSE=±0.02 cm across 39.0 cm and 61.4 cm physical benchmarks), a 9,969-point 3D digital twin room reconstruction correctly segmenting an inward Almari bulge (+65 cm) and outward gate recess (-60 cm), and an interactive multi-tab Streamlit ground operations dashboard. Building directly upon our team's previous Multidisciplinary Project (MDP: PLY Forge), client-side WebGL point-cloud rendering and voxel compression algorithms provide zero-latency spatial visualization.</w:t>
      </w:r>
    </w:p>
    <w:p>
      <w:pPr>
        <w:spacing w:after="80" w:line="276" w:lineRule="auto"/>
        <w:jc w:val="left"/>
      </w:pPr>
      <w:r>
        <w:rPr>
          <w:b w:val="0"/>
          <w:i w:val="0"/>
          <w:sz w:val="22"/>
        </w:rPr>
        <w:t>Dual-Platform Deployment Strategy: To overcome physical limitations observed during testing (manual hand-sliding speed jitter of ~2–3 cm, tilt beam elongation, and aerodynamic prop-wash turbulence near vertical walls), this project formulates a robust Dual-Platform Strategy: (1) An Autonomous F450 Quadcopter Drone for elevated exterior facade and bridge inspection, and (2) A Smart 4WD Ground Robotic Car equipped with dual optical wheel encoders as a high-precision, vibration-free contingency platform for GPS-denied indoor environments, campus corridors, and high-precision linear wall sweeps.</w:t>
      </w:r>
    </w:p>
    <w:p>
      <w:pPr>
        <w:keepNext/>
        <w:spacing w:before="280" w:after="80"/>
      </w:pPr>
      <w:r>
        <w:rPr>
          <w:b/>
          <w:color w:val="1E3A8A"/>
          <w:sz w:val="32"/>
        </w:rPr>
        <w:t>2. Project Background &amp; Technical Objectives</w:t>
      </w:r>
    </w:p>
    <w:p>
      <w:pPr>
        <w:spacing w:after="80" w:line="276" w:lineRule="auto"/>
        <w:jc w:val="left"/>
      </w:pPr>
      <w:r>
        <w:rPr>
          <w:b w:val="0"/>
          <w:i w:val="0"/>
          <w:sz w:val="22"/>
        </w:rPr>
        <w:t>Modern structural maintenance requires transitioning from reactive repair to proactive, quantitative condition assessment. Structural surfaces exhibit subtle geometric precursors prior to catastrophic failure, including spalling cavities (concrete flaking away), sub-surface shear bulges (delamination or masonry buckling), and vertical shear cracks. However, acquiring high-fidelity geometric metrics from vertical facades presents extreme technical challenges: (1) Inaccessibility: Scaffolding is cost-prohibitive for routine monitoring; (2) Human Error: Manual ultrasonic gauges produce sparse records without a global spatial coordinate reference; and (3) Dynamic Noise: Handheld measurements suffer from variable scan velocity and human tremor.</w:t>
      </w:r>
    </w:p>
    <w:p>
      <w:pPr>
        <w:spacing w:after="80" w:line="276" w:lineRule="auto"/>
        <w:jc w:val="left"/>
      </w:pPr>
      <w:r>
        <w:rPr>
          <w:b w:val="0"/>
          <w:i w:val="0"/>
          <w:sz w:val="22"/>
        </w:rPr>
        <w:t>To systematically address these civil engineering challenges, our joint IDP team formulated 8 Formal Technical Objectives:</w:t>
      </w:r>
    </w:p>
    <w:p>
      <w:pPr>
        <w:pStyle w:val="ListBullet"/>
        <w:spacing w:after="60" w:line="276" w:lineRule="auto"/>
      </w:pPr>
      <w:r>
        <w:rPr>
          <w:b/>
          <w:sz w:val="22"/>
        </w:rPr>
        <w:t xml:space="preserve">Obj 1 (Real-Time Distance Acquisition): </w:t>
      </w:r>
      <w:r>
        <w:rPr>
          <w:sz w:val="22"/>
        </w:rPr>
        <w:t>Establish continuous 100 Hz ToF distance acquisition with binary frame parsing and checksum verification.</w:t>
      </w:r>
    </w:p>
    <w:p>
      <w:pPr>
        <w:pStyle w:val="ListBullet"/>
        <w:spacing w:after="60" w:line="276" w:lineRule="auto"/>
      </w:pPr>
      <w:r>
        <w:rPr>
          <w:b/>
          <w:sz w:val="22"/>
        </w:rPr>
        <w:t xml:space="preserve">Obj 2 (Metrological Accuracy): </w:t>
      </w:r>
      <w:r>
        <w:rPr>
          <w:sz w:val="22"/>
        </w:rPr>
        <w:t>Calibrate distance sensors against physical ground-truth benchmarks to achieve residual error ≤ ±1.0 cm.</w:t>
      </w:r>
    </w:p>
    <w:p>
      <w:pPr>
        <w:pStyle w:val="ListBullet"/>
        <w:spacing w:after="60" w:line="276" w:lineRule="auto"/>
      </w:pPr>
      <w:r>
        <w:rPr>
          <w:b/>
          <w:sz w:val="22"/>
        </w:rPr>
        <w:t xml:space="preserve">Obj 3 (Telemetry Synchronization): </w:t>
      </w:r>
      <w:r>
        <w:rPr>
          <w:sz w:val="22"/>
        </w:rPr>
        <w:t>Stream distance, signal amplitude, chip temperature, and timestamps from the mobile platform to the ground station.</w:t>
      </w:r>
    </w:p>
    <w:p>
      <w:pPr>
        <w:pStyle w:val="ListBullet"/>
        <w:spacing w:after="60" w:line="276" w:lineRule="auto"/>
      </w:pPr>
      <w:r>
        <w:rPr>
          <w:b/>
          <w:sz w:val="22"/>
        </w:rPr>
        <w:t xml:space="preserve">Obj 4 (Geometric Defect Classification): </w:t>
      </w:r>
      <w:r>
        <w:rPr>
          <w:sz w:val="22"/>
        </w:rPr>
        <w:t>Formulate mathematical residual algorithms (Δd = d_measured - d_baseline) to segment spalling cavities (Δd ≥ +3.5 cm), structural bulges (Δd ≤ -3.5 cm), and hairline cracks (|Δd| ≥ 1.5 cm).</w:t>
      </w:r>
    </w:p>
    <w:p>
      <w:pPr>
        <w:pStyle w:val="ListBullet"/>
        <w:spacing w:after="60" w:line="276" w:lineRule="auto"/>
      </w:pPr>
      <w:r>
        <w:rPr>
          <w:b/>
          <w:sz w:val="22"/>
        </w:rPr>
        <w:t xml:space="preserve">Obj 5 (3D Digital Twin Reconstruction): </w:t>
      </w:r>
      <w:r>
        <w:rPr>
          <w:sz w:val="22"/>
        </w:rPr>
        <w:t>Reconstruct dense spatial point clouds (.PLY format) capturing full room and facade geometries with millimetric fidelity.</w:t>
      </w:r>
    </w:p>
    <w:p>
      <w:pPr>
        <w:pStyle w:val="ListBullet"/>
        <w:spacing w:after="60" w:line="276" w:lineRule="auto"/>
      </w:pPr>
      <w:r>
        <w:rPr>
          <w:b/>
          <w:sz w:val="22"/>
        </w:rPr>
        <w:t xml:space="preserve">Obj 6 (Predictive Baseline Maintenance): </w:t>
      </w:r>
      <w:r>
        <w:rPr>
          <w:sz w:val="22"/>
        </w:rPr>
        <w:t>Formulate longitudinal deformation monitoring pipelines comparing periodic scans against healthy historical baselines.</w:t>
      </w:r>
    </w:p>
    <w:p>
      <w:pPr>
        <w:pStyle w:val="ListBullet"/>
        <w:spacing w:after="60" w:line="276" w:lineRule="auto"/>
      </w:pPr>
      <w:r>
        <w:rPr>
          <w:b/>
          <w:sz w:val="22"/>
        </w:rPr>
        <w:t xml:space="preserve">Obj 7 (Dual-Platform Field Adaptability): </w:t>
      </w:r>
      <w:r>
        <w:rPr>
          <w:sz w:val="22"/>
        </w:rPr>
        <w:t>Deploy an autonomous aerial quadcopter for exterior vertical facades and a Smart 4WD Ground Robotic Car with optical wheel encoders for GPS-denied indoor corridors.</w:t>
      </w:r>
    </w:p>
    <w:p>
      <w:pPr>
        <w:pStyle w:val="ListBullet"/>
        <w:spacing w:after="60" w:line="276" w:lineRule="auto"/>
      </w:pPr>
      <w:r>
        <w:rPr>
          <w:b/>
          <w:sz w:val="22"/>
        </w:rPr>
        <w:t xml:space="preserve">Obj 8 (Hardware Upgrade Integration): </w:t>
      </w:r>
      <w:r>
        <w:rPr>
          <w:sz w:val="22"/>
        </w:rPr>
        <w:t>Upgrade the single-point ToF sensor to a 360° planar LiDAR (YDLIDAR X2) and 360° tilt sensor for automated pitch/roll distortion compensation.</w:t>
      </w:r>
    </w:p>
    <w:p>
      <w:pPr>
        <w:keepNext/>
        <w:spacing w:before="280" w:after="80"/>
      </w:pPr>
      <w:r>
        <w:rPr>
          <w:b/>
          <w:color w:val="1E3A8A"/>
          <w:sz w:val="32"/>
        </w:rPr>
        <w:t>3. Previous MDP Work (PLY Forge: Point Cloud Processor) &amp; Cross-Project Foundation</w:t>
      </w:r>
    </w:p>
    <w:p>
      <w:pPr>
        <w:spacing w:after="80" w:line="276" w:lineRule="auto"/>
        <w:jc w:val="left"/>
      </w:pPr>
      <w:r>
        <w:rPr>
          <w:b w:val="0"/>
          <w:i w:val="0"/>
          <w:sz w:val="22"/>
        </w:rPr>
        <w:t>During our prior Multidisciplinary Project (MDP), our team engineered PLY Forge: Point Cloud Processor (Report: Multidisciplinary_project_Final_report.pdf; Codebase: ply (1).zip). PLY Forge is a high-performance, fully client-side WebGL application built with HTML5, CSS3, and Vanilla JavaScript, requiring zero external server dependencies, zero Node.js backend, and zero third-party 3D libraries (such as Three.js or BabylonJS). It runs natively in any modern web browser.</w:t>
      </w:r>
    </w:p>
    <w:p>
      <w:pPr>
        <w:keepNext/>
        <w:spacing w:before="200" w:after="60"/>
      </w:pPr>
      <w:r>
        <w:rPr>
          <w:b/>
          <w:color w:val="0F172A"/>
          <w:sz w:val="26"/>
        </w:rPr>
        <w:t>Exhaustive Analysis of MDP Technical Features &amp; Architecture:</w:t>
      </w:r>
    </w:p>
    <w:p>
      <w:pPr>
        <w:pStyle w:val="ListBullet"/>
        <w:spacing w:after="60" w:line="276" w:lineRule="auto"/>
      </w:pPr>
      <w:r>
        <w:rPr>
          <w:b/>
          <w:sz w:val="22"/>
        </w:rPr>
        <w:t xml:space="preserve">Binary &amp; ASCII PLY Parser Engine: </w:t>
      </w:r>
      <w:r>
        <w:rPr>
          <w:sz w:val="22"/>
        </w:rPr>
        <w:t>Engineered a high-throughput client-side file parser leveraging JavaScript FileReader, ArrayBuffer, and DataView APIs. The parser reads standard Polygon File Format (.PLY) files in both ASCII and Binary Little-Endian / Big-Endian formats. It dynamically parses header elements (format, element vertex N, property float x/y/z, property uchar red/green/blue, element face M, end_header), loading hundreds of thousands of vertices into unified typed arrays.</w:t>
      </w:r>
    </w:p>
    <w:p>
      <w:pPr>
        <w:pStyle w:val="ListBullet"/>
        <w:spacing w:after="60" w:line="276" w:lineRule="auto"/>
      </w:pPr>
      <w:r>
        <w:rPr>
          <w:b/>
          <w:sz w:val="22"/>
        </w:rPr>
        <w:t xml:space="preserve">GPU-Accelerated WebGL 1.0 Rendering Pipeline: </w:t>
      </w:r>
      <w:r>
        <w:rPr>
          <w:sz w:val="22"/>
        </w:rPr>
        <w:t>Direct hardware rendering via a custom GLSL shader pipeline. A vertex shader executes 4x4 Model-View-Projection (MVP) matrix transforms, point-size attenuation based on camera distance, and per-vertex RGB interpolation. A fragment shader handles lighting and point shape rendering. The system utilizes the OES_element_index_uint WebGL extension to support 32-bit indices for large meshes exceeding 65,536 vertices.</w:t>
      </w:r>
    </w:p>
    <w:p>
      <w:pPr>
        <w:pStyle w:val="ListBullet"/>
        <w:spacing w:after="60" w:line="276" w:lineRule="auto"/>
      </w:pPr>
      <w:r>
        <w:rPr>
          <w:b/>
          <w:sz w:val="22"/>
        </w:rPr>
        <w:t xml:space="preserve">Voxel-Grid Spatial Hash Downsampling / Compression: </w:t>
      </w:r>
      <w:r>
        <w:rPr>
          <w:sz w:val="22"/>
        </w:rPr>
        <w:t>Implements spatial hashing dividing 3D bounding volumes into discrete cubic voxel cells of user-adjustable radius r. Vertices within each cell are quantized to their centroid, reducing file sizes by 60% to 90% while strictly preserving global geometric boundaries and surface contours.</w:t>
      </w:r>
    </w:p>
    <w:p>
      <w:pPr>
        <w:pStyle w:val="ListBullet"/>
        <w:spacing w:after="60" w:line="276" w:lineRule="auto"/>
      </w:pPr>
      <w:r>
        <w:rPr>
          <w:b/>
          <w:sz w:val="22"/>
        </w:rPr>
        <w:t xml:space="preserve">Circle Interior Point Removal (Boundary Extraction): </w:t>
      </w:r>
      <w:r>
        <w:rPr>
          <w:sz w:val="22"/>
        </w:rPr>
        <w:t>Interactive circular region filtering. The user clicks on the point cloud to define a 3D center (x0, y0, z0) and adjusts a radius slider R. The engine computes Euclidean distances d = sqrt((x-x0)² + (y-y0)² + (z-z0)²), culling all interior points (d &lt; R) while preserving the boundary perimeter ring for hole and cavity perimeter analysis.</w:t>
      </w:r>
    </w:p>
    <w:p>
      <w:pPr>
        <w:pStyle w:val="ListBullet"/>
        <w:spacing w:after="60" w:line="276" w:lineRule="auto"/>
      </w:pPr>
      <w:r>
        <w:rPr>
          <w:b/>
          <w:sz w:val="22"/>
        </w:rPr>
        <w:t xml:space="preserve">Multiple Surface Meshing Algorithms: </w:t>
      </w:r>
      <w:r>
        <w:rPr>
          <w:sz w:val="22"/>
        </w:rPr>
        <w:t>Transforms unorganized point clouds into polygonal surface meshes using: (1) Delaunay 2.5D Triangulation (projects points onto best-fit plane and constructs Delaunay circumcircles); (2) Alpha Shapes (reconstructs non-convex boundaries and concave organic geometries via circumradius parameter α); (3) Convex Hull (computes minimal enclosing convex polygon wrapper); and (4) Grid Triangulation (generates regular quad-strip surface topology).</w:t>
      </w:r>
    </w:p>
    <w:p>
      <w:pPr>
        <w:pStyle w:val="ListBullet"/>
        <w:spacing w:after="60" w:line="276" w:lineRule="auto"/>
      </w:pPr>
      <w:r>
        <w:rPr>
          <w:b/>
          <w:sz w:val="22"/>
        </w:rPr>
        <w:t xml:space="preserve">Interactive Screen-Space Region Selection: </w:t>
      </w:r>
      <w:r>
        <w:rPr>
          <w:sz w:val="22"/>
        </w:rPr>
        <w:t>Frustum ray-casting converts 2D mouse drag rectangles into Normalized Device Coordinates (NDC) [-1, 1], allowing users to isolate point subsets, delete selected regions, or execute camera 'Zoom to Selection'.</w:t>
      </w:r>
    </w:p>
    <w:p>
      <w:pPr>
        <w:pStyle w:val="ListBullet"/>
        <w:spacing w:after="60" w:line="276" w:lineRule="auto"/>
      </w:pPr>
      <w:r>
        <w:rPr>
          <w:b/>
          <w:sz w:val="22"/>
        </w:rPr>
        <w:t xml:space="preserve">Standardized PLY Export: </w:t>
      </w:r>
      <w:r>
        <w:rPr>
          <w:sz w:val="22"/>
        </w:rPr>
        <w:t>Serializes modified vertices and reconstructed polygonal faces into compliant ASCII PLY format using Blob and URL.createObjectURL(), enabling seamless export to CAD/GIS tools.</w:t>
      </w:r>
    </w:p>
    <w:p>
      <w:pPr>
        <w:jc w:val="center"/>
      </w:pPr>
      <w:r>
        <w:drawing>
          <wp:inline xmlns:a="http://schemas.openxmlformats.org/drawingml/2006/main" xmlns:pic="http://schemas.openxmlformats.org/drawingml/2006/picture">
            <wp:extent cx="3017520" cy="1696808"/>
            <wp:docPr id="2" name="Picture 2"/>
            <wp:cNvGraphicFramePr>
              <a:graphicFrameLocks noChangeAspect="1"/>
            </wp:cNvGraphicFramePr>
            <a:graphic>
              <a:graphicData uri="http://schemas.openxmlformats.org/drawingml/2006/picture">
                <pic:pic>
                  <pic:nvPicPr>
                    <pic:cNvPr id="0" name="mdp_ply_forge_screenshot1.jpg"/>
                    <pic:cNvPicPr/>
                  </pic:nvPicPr>
                  <pic:blipFill>
                    <a:blip r:embed="rId10"/>
                    <a:stretch>
                      <a:fillRect/>
                    </a:stretch>
                  </pic:blipFill>
                  <pic:spPr>
                    <a:xfrm>
                      <a:off x="0" y="0"/>
                      <a:ext cx="3017520" cy="1696808"/>
                    </a:xfrm>
                    <a:prstGeom prst="rect"/>
                  </pic:spPr>
                </pic:pic>
              </a:graphicData>
            </a:graphic>
          </wp:inline>
        </w:drawing>
      </w:r>
      <w:r>
        <w:t xml:space="preserve">   </w:t>
      </w:r>
      <w:r>
        <w:drawing>
          <wp:inline xmlns:a="http://schemas.openxmlformats.org/drawingml/2006/main" xmlns:pic="http://schemas.openxmlformats.org/drawingml/2006/picture">
            <wp:extent cx="3017520" cy="1697355"/>
            <wp:docPr id="3" name="Picture 3"/>
            <wp:cNvGraphicFramePr>
              <a:graphicFrameLocks noChangeAspect="1"/>
            </wp:cNvGraphicFramePr>
            <a:graphic>
              <a:graphicData uri="http://schemas.openxmlformats.org/drawingml/2006/picture">
                <pic:pic>
                  <pic:nvPicPr>
                    <pic:cNvPr id="0" name="mdp_ply_forge_screenshot2.jpg"/>
                    <pic:cNvPicPr/>
                  </pic:nvPicPr>
                  <pic:blipFill>
                    <a:blip r:embed="rId11"/>
                    <a:stretch>
                      <a:fillRect/>
                    </a:stretch>
                  </pic:blipFill>
                  <pic:spPr>
                    <a:xfrm>
                      <a:off x="0" y="0"/>
                      <a:ext cx="3017520" cy="1697355"/>
                    </a:xfrm>
                    <a:prstGeom prst="rect"/>
                  </pic:spPr>
                </pic:pic>
              </a:graphicData>
            </a:graphic>
          </wp:inline>
        </w:drawing>
      </w:r>
    </w:p>
    <w:p>
      <w:pPr>
        <w:spacing w:after="120"/>
        <w:jc w:val="center"/>
      </w:pPr>
      <w:r>
        <w:rPr>
          <w:i/>
          <w:color w:val="64748B"/>
          <w:sz w:val="19"/>
        </w:rPr>
        <w:t>Figure 2: Prior MDP Deliverable — PLY Forge Point Cloud Processor UI (Left: Stanford Bunny Demo &amp; Controls; Right: Delaunay Surface Meshing &amp; Region Selection)</w:t>
      </w:r>
    </w:p>
    <w:p>
      <w:pPr>
        <w:keepNext/>
        <w:spacing w:before="200" w:after="60"/>
      </w:pPr>
      <w:r>
        <w:rPr>
          <w:b/>
          <w:color w:val="0F172A"/>
          <w:sz w:val="26"/>
        </w:rPr>
        <w:t>Cross-Project Synthesis: How MDP Directly Empowers the Current IDP:</w:t>
      </w:r>
    </w:p>
    <w:p>
      <w:pPr>
        <w:spacing w:after="80" w:line="276" w:lineRule="auto"/>
        <w:jc w:val="left"/>
      </w:pPr>
      <w:r>
        <w:rPr>
          <w:b w:val="0"/>
          <w:i w:val="0"/>
          <w:sz w:val="22"/>
        </w:rPr>
        <w:t>Our previous MDP work serves as the software visualization engine for the current IDP. Rather than building a 3D visualizer from scratch, PLY Forge's WebGL rendering engine is directly embedded into the IDP Ground Operations Dashboard (Tab 4: PLY Forge WebGL Viewer). When the mobile platform (Drone or Smart 4WD Car) streams LiDAR facade scans, PLY Forge provides zero-latency in-browser 3D rendering. Furthermore, PLY Forge's voxel downsampling filters high-frequency sensor noise from dense scans, and its Delaunay 2.5D meshing enables automated calculation of spalling cavity surface areas and volumetric concrete loss.</w:t>
      </w:r>
    </w:p>
    <w:tbl>
      <w:tblPr>
        <w:tblW w:type="auto" w:w="0"/>
        <w:jc w:val="center"/>
        <w:tblLook w:firstColumn="1" w:firstRow="1" w:lastColumn="0" w:lastRow="0" w:noHBand="0" w:noVBand="1" w:val="04A0"/>
      </w:tblPr>
      <w:tblGrid>
        <w:gridCol w:w="10224"/>
      </w:tblGrid>
      <w:tr>
        <w:tc>
          <w:tcPr>
            <w:tcW w:type="dxa" w:w="10224"/>
            <w:shd w:fill="F0FDF4"/>
            <w:tcMar>
              <w:top w:w="140" w:type="dxa"/>
              <w:bottom w:w="140" w:type="dxa"/>
              <w:left w:w="200" w:type="dxa"/>
              <w:right w:w="200" w:type="dxa"/>
            </w:tcMar>
          </w:tcPr>
          <w:p>
            <w:pPr>
              <w:spacing w:after="40"/>
            </w:pPr>
            <w:r>
              <w:rPr>
                <w:b/>
                <w:color w:val="059669"/>
                <w:sz w:val="20"/>
              </w:rPr>
              <w:t>[MDP VS. IDP COMPARISON &amp; DELINEATION]</w:t>
              <w:br/>
            </w:r>
            <w:r>
              <w:rPr>
                <w:i/>
                <w:sz w:val="20"/>
              </w:rPr>
              <w:t>What Was NOT in MDP vs. What IDP Adds: It is critical to note that MDP was purely an offline, file-based software tool operating on pre-recorded static files and synthetic demos (Stanford Bunny). MDP had no physical hardware integration, no ToF or LiDAR sensors, no serial telemetry, no mobile robotics, and no structural health defect classification. The current IDP bridges this gap by engineering the physical acquisition testbed, real-time ESP32 FreeRTOS firmware, physical calibration (y = 1.0228x + 3.20 cm), autonomous aerial and terrestrial robotic platforms, and automated civil structural anomaly classification algorithms.</w:t>
            </w:r>
          </w:p>
        </w:tc>
      </w:tr>
    </w:tbl>
    <w:p>
      <w:pPr>
        <w:spacing w:after="80"/>
      </w:pPr>
    </w:p>
    <w:p>
      <w:pPr>
        <w:keepNext/>
        <w:spacing w:before="280" w:after="80"/>
      </w:pPr>
      <w:r>
        <w:rPr>
          <w:b/>
          <w:color w:val="1E3A8A"/>
          <w:sz w:val="32"/>
        </w:rPr>
        <w:t>4. Current IDP Architecture &amp; Verified Work Completed</w:t>
      </w:r>
    </w:p>
    <w:p>
      <w:pPr>
        <w:spacing w:after="80" w:line="276" w:lineRule="auto"/>
        <w:jc w:val="left"/>
      </w:pPr>
      <w:r>
        <w:rPr>
          <w:b w:val="0"/>
          <w:i w:val="0"/>
          <w:sz w:val="22"/>
        </w:rPr>
        <w:t>The current IDP establishes a complete end-to-end cyber-physical pipeline spanning airborne/ground acquisition and ground-side spatial analytics. The verified operational architecture and implemented subsystems are detailed below:</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112"/>
        <w:gridCol w:w="5112"/>
      </w:tblGrid>
      <w:tr>
        <w:tc>
          <w:tcPr>
            <w:tcW w:type="dxa" w:w="5112"/>
            <w:shd w:fill="F1F5F9"/>
            <w:tcMar>
              <w:top w:w="80" w:type="dxa"/>
              <w:bottom w:w="80" w:type="dxa"/>
              <w:left w:w="120" w:type="dxa"/>
              <w:right w:w="120" w:type="dxa"/>
            </w:tcMar>
          </w:tcPr>
          <w:p>
            <w:pPr>
              <w:spacing w:line="276" w:lineRule="auto"/>
            </w:pPr>
            <w:r>
              <w:rPr>
                <w:b/>
                <w:sz w:val="19"/>
              </w:rPr>
              <w:t>AERIAL SUBSYSTEM (15377IDP01) — IMPLEMENTED</w:t>
            </w:r>
          </w:p>
        </w:tc>
        <w:tc>
          <w:tcPr>
            <w:tcW w:type="dxa" w:w="5112"/>
            <w:shd w:fill="F1F5F9"/>
            <w:tcMar>
              <w:top w:w="80" w:type="dxa"/>
              <w:bottom w:w="80" w:type="dxa"/>
              <w:left w:w="120" w:type="dxa"/>
              <w:right w:w="120" w:type="dxa"/>
            </w:tcMar>
          </w:tcPr>
          <w:p>
            <w:pPr>
              <w:spacing w:line="276" w:lineRule="auto"/>
            </w:pPr>
            <w:r>
              <w:rPr>
                <w:b/>
                <w:sz w:val="19"/>
              </w:rPr>
              <w:t>GROUND ANALYTICS (15377IDP02) — IMPLEMENTED</w:t>
            </w:r>
          </w:p>
        </w:tc>
      </w:tr>
      <w:tr>
        <w:tc>
          <w:tcPr>
            <w:tcW w:type="dxa" w:w="5112"/>
            <w:tcMar>
              <w:top w:w="80" w:type="dxa"/>
              <w:bottom w:w="80" w:type="dxa"/>
              <w:left w:w="120" w:type="dxa"/>
              <w:right w:w="120" w:type="dxa"/>
            </w:tcMar>
          </w:tcPr>
          <w:p>
            <w:pPr>
              <w:spacing w:line="276" w:lineRule="auto"/>
            </w:pPr>
            <w:r>
              <w:rPr>
                <w:sz w:val="19"/>
              </w:rPr>
              <w:t>• Sensing Core: Benewake TF-Luna 850nm dToF sensor (&lt;5g, 0.35W, 100 Hz, 2° FOV).</w:t>
              <w:br/>
              <w:t>• Embedded Controller: ESP32-WROOM-32 running custom C++ FreeRTOS firmware.</w:t>
              <w:br/>
              <w:t>• UART Binary Framing: Strict state machine syncing to 0x59 0x59 preamble, extracting 2-byte distance, 2-byte amplitude, 2-byte chip temp, and validating 8-bit checksum: (Sum Bytes 0..7) &amp; 0xFF == Byte 8.</w:t>
              <w:br/>
              <w:t>• Two-Point Metrology Fit: Universal calibration equation y = 1.0228x + 3.20 cm derived from physical 39.0 cm and 61.4 cm benchmarks (residual RMSE = ±0.00 cm).</w:t>
              <w:br/>
              <w:t>• Signal Conditioning: On-chip running median filter (window size N=5) to eliminate single-sample optical dropouts.</w:t>
              <w:br/>
              <w:t>• Data Handoff: 115200 baud USB-UART streaming with planned UDP telemetry.</w:t>
            </w:r>
          </w:p>
        </w:tc>
        <w:tc>
          <w:tcPr>
            <w:tcW w:type="dxa" w:w="5112"/>
            <w:tcMar>
              <w:top w:w="80" w:type="dxa"/>
              <w:bottom w:w="80" w:type="dxa"/>
              <w:left w:w="120" w:type="dxa"/>
              <w:right w:w="120" w:type="dxa"/>
            </w:tcMar>
          </w:tcPr>
          <w:p>
            <w:pPr>
              <w:spacing w:line="276" w:lineRule="auto"/>
            </w:pPr>
            <w:r>
              <w:rPr>
                <w:sz w:val="19"/>
              </w:rPr>
              <w:t>• Live Telemetry Ingestion: Python serial/buffer reader ingesting calibrated distances.</w:t>
              <w:br/>
              <w:t>• Rolling Baseline Tracking: Window-mean baseline filter tracking surface contours.</w:t>
              <w:br/>
              <w:t>• Rule-Based Anomaly Classifier:</w:t>
              <w:br/>
              <w:t xml:space="preserve">  - Cavity (Spall): Δd ≥ +3.5 cm (recessed into wall, colored Orange).</w:t>
              <w:br/>
              <w:t xml:space="preserve">  - Bulge (Buckle): Δd ≤ -3.5 cm (protruding outward, colored Orange).</w:t>
              <w:br/>
              <w:t xml:space="preserve">  - Crack Indication: |Δd| ≥ 1.5 cm vs adjacent neighbors.</w:t>
              <w:br/>
              <w:t>• 3D Digital Twin Reconstructor: Generates 9,969-point spatial cloud (.PLY) with North/South/East/West wall tags.</w:t>
              <w:br/>
              <w:t>• Verified Physical Defect Segmentation: Accurately rendered 4.8m × 4.2m room with 65 cm inward Almari bulge and 60 cm outward Gate recess.</w:t>
              <w:br/>
              <w:t>• Multi-Tab Streamlit Dashboard: 5 operational tabs for telemetry, profiles, calibration, PLY Forge WebGL, and room metrology.</w:t>
            </w:r>
          </w:p>
        </w:tc>
      </w:tr>
    </w:tbl>
    <w:p>
      <w:pPr>
        <w:spacing w:after="160"/>
      </w:pPr>
    </w:p>
    <w:p>
      <w:pPr>
        <w:jc w:val="center"/>
      </w:pPr>
      <w:r>
        <w:drawing>
          <wp:inline xmlns:a="http://schemas.openxmlformats.org/drawingml/2006/main" xmlns:pic="http://schemas.openxmlformats.org/drawingml/2006/picture">
            <wp:extent cx="3474720" cy="1486257"/>
            <wp:docPr id="4" name="Picture 4"/>
            <wp:cNvGraphicFramePr>
              <a:graphicFrameLocks noChangeAspect="1"/>
            </wp:cNvGraphicFramePr>
            <a:graphic>
              <a:graphicData uri="http://schemas.openxmlformats.org/drawingml/2006/picture">
                <pic:pic>
                  <pic:nvPicPr>
                    <pic:cNvPr id="0" name="room_mesh_labeled.png"/>
                    <pic:cNvPicPr/>
                  </pic:nvPicPr>
                  <pic:blipFill>
                    <a:blip r:embed="rId12"/>
                    <a:stretch>
                      <a:fillRect/>
                    </a:stretch>
                  </pic:blipFill>
                  <pic:spPr>
                    <a:xfrm>
                      <a:off x="0" y="0"/>
                      <a:ext cx="3474720" cy="1486257"/>
                    </a:xfrm>
                    <a:prstGeom prst="rect"/>
                  </pic:spPr>
                </pic:pic>
              </a:graphicData>
            </a:graphic>
          </wp:inline>
        </w:drawing>
      </w:r>
      <w:r>
        <w:t xml:space="preserve">   </w:t>
      </w:r>
      <w:r>
        <w:drawing>
          <wp:inline xmlns:a="http://schemas.openxmlformats.org/drawingml/2006/main" xmlns:pic="http://schemas.openxmlformats.org/drawingml/2006/picture">
            <wp:extent cx="2468880" cy="2001794"/>
            <wp:docPr id="5" name="Picture 5"/>
            <wp:cNvGraphicFramePr>
              <a:graphicFrameLocks noChangeAspect="1"/>
            </wp:cNvGraphicFramePr>
            <a:graphic>
              <a:graphicData uri="http://schemas.openxmlformats.org/drawingml/2006/picture">
                <pic:pic>
                  <pic:nvPicPr>
                    <pic:cNvPr id="0" name="hardware_bench_setup.png"/>
                    <pic:cNvPicPr/>
                  </pic:nvPicPr>
                  <pic:blipFill>
                    <a:blip r:embed="rId13"/>
                    <a:stretch>
                      <a:fillRect/>
                    </a:stretch>
                  </pic:blipFill>
                  <pic:spPr>
                    <a:xfrm>
                      <a:off x="0" y="0"/>
                      <a:ext cx="2468880" cy="2001794"/>
                    </a:xfrm>
                    <a:prstGeom prst="rect"/>
                  </pic:spPr>
                </pic:pic>
              </a:graphicData>
            </a:graphic>
          </wp:inline>
        </w:drawing>
      </w:r>
    </w:p>
    <w:p>
      <w:pPr>
        <w:spacing w:after="120"/>
        <w:jc w:val="center"/>
      </w:pPr>
      <w:r>
        <w:rPr>
          <w:i/>
          <w:color w:val="64748B"/>
          <w:sz w:val="19"/>
        </w:rPr>
        <w:t>Figure 3: Left: 3D Digital Twin Room Mesh with Almari Bulge (+65cm) &amp; Gate Recess (-60cm); Right: Physical ESP32 + TF-Luna Testbed</w:t>
      </w:r>
    </w:p>
    <w:p>
      <w:pPr>
        <w:jc w:val="center"/>
      </w:pPr>
      <w:r>
        <w:drawing>
          <wp:inline xmlns:a="http://schemas.openxmlformats.org/drawingml/2006/main" xmlns:pic="http://schemas.openxmlformats.org/drawingml/2006/picture">
            <wp:extent cx="2560320" cy="2560320"/>
            <wp:docPr id="6" name="Picture 6"/>
            <wp:cNvGraphicFramePr>
              <a:graphicFrameLocks noChangeAspect="1"/>
            </wp:cNvGraphicFramePr>
            <a:graphic>
              <a:graphicData uri="http://schemas.openxmlformats.org/drawingml/2006/picture">
                <pic:pic>
                  <pic:nvPicPr>
                    <pic:cNvPr id="0" name="physical_scan_bench_1.jpg"/>
                    <pic:cNvPicPr/>
                  </pic:nvPicPr>
                  <pic:blipFill>
                    <a:blip r:embed="rId14"/>
                    <a:stretch>
                      <a:fillRect/>
                    </a:stretch>
                  </pic:blipFill>
                  <pic:spPr>
                    <a:xfrm>
                      <a:off x="0" y="0"/>
                      <a:ext cx="2560320" cy="2560320"/>
                    </a:xfrm>
                    <a:prstGeom prst="rect"/>
                  </pic:spPr>
                </pic:pic>
              </a:graphicData>
            </a:graphic>
          </wp:inline>
        </w:drawing>
      </w:r>
      <w:r>
        <w:t xml:space="preserve">   </w:t>
      </w:r>
      <w:r>
        <w:drawing>
          <wp:inline xmlns:a="http://schemas.openxmlformats.org/drawingml/2006/main" xmlns:pic="http://schemas.openxmlformats.org/drawingml/2006/picture">
            <wp:extent cx="3383280" cy="1374458"/>
            <wp:docPr id="7" name="Picture 7"/>
            <wp:cNvGraphicFramePr>
              <a:graphicFrameLocks noChangeAspect="1"/>
            </wp:cNvGraphicFramePr>
            <a:graphic>
              <a:graphicData uri="http://schemas.openxmlformats.org/drawingml/2006/picture">
                <pic:pic>
                  <pic:nvPicPr>
                    <pic:cNvPr id="0" name="pptx2_ground_s8_img2.jpg"/>
                    <pic:cNvPicPr/>
                  </pic:nvPicPr>
                  <pic:blipFill>
                    <a:blip r:embed="rId15"/>
                    <a:stretch>
                      <a:fillRect/>
                    </a:stretch>
                  </pic:blipFill>
                  <pic:spPr>
                    <a:xfrm>
                      <a:off x="0" y="0"/>
                      <a:ext cx="3383280" cy="1374458"/>
                    </a:xfrm>
                    <a:prstGeom prst="rect"/>
                  </pic:spPr>
                </pic:pic>
              </a:graphicData>
            </a:graphic>
          </wp:inline>
        </w:drawing>
      </w:r>
    </w:p>
    <w:p>
      <w:pPr>
        <w:spacing w:after="120"/>
        <w:jc w:val="center"/>
      </w:pPr>
      <w:r>
        <w:rPr>
          <w:i/>
          <w:color w:val="64748B"/>
          <w:sz w:val="19"/>
        </w:rPr>
        <w:t>Figure 4: Left: Physical Bench Measuring Tape Calibration Setup; Right: 2D Structural Residual Profile (Ground Station Tab 2)</w:t>
      </w:r>
    </w:p>
    <w:p>
      <w:pPr>
        <w:keepNext/>
        <w:spacing w:before="280" w:after="80"/>
      </w:pPr>
      <w:r>
        <w:rPr>
          <w:b/>
          <w:color w:val="1E3A8A"/>
          <w:sz w:val="32"/>
        </w:rPr>
        <w:t>5. Current Challenges &amp; The Contingency Smart 4WD Ground Robotic Car</w:t>
      </w:r>
    </w:p>
    <w:p>
      <w:pPr>
        <w:spacing w:after="80" w:line="276" w:lineRule="auto"/>
        <w:jc w:val="left"/>
      </w:pPr>
      <w:r>
        <w:rPr>
          <w:b w:val="0"/>
          <w:i w:val="0"/>
          <w:sz w:val="22"/>
        </w:rPr>
        <w:t>A rigorous empirical analysis of our physical scanning trials revealed several real-world operational challenges that led directly to the formulation of our Dual-Platform Strategy:</w:t>
      </w:r>
    </w:p>
    <w:p>
      <w:pPr>
        <w:pStyle w:val="ListBullet"/>
        <w:spacing w:after="60" w:line="276" w:lineRule="auto"/>
      </w:pPr>
      <w:r>
        <w:rPr>
          <w:b/>
          <w:sz w:val="22"/>
        </w:rPr>
        <w:t xml:space="preserve">1. Manual Sliding Jitter vs. Defect Threshold Overlap: </w:t>
      </w:r>
      <w:r>
        <w:rPr>
          <w:sz w:val="22"/>
        </w:rPr>
        <w:t>During initial wall scanning, the TF-Luna was manually slid along the wall. Uneven human sliding speed and hand tremor introduced ~2–3 cm measurement fluctuations. Because true structural spalls have depths of 2.5–4.0 cm, hand-motion jitter directly overlaps with the detection threshold (default T = ±3.5 cm), creating false alarms.</w:t>
      </w:r>
    </w:p>
    <w:p>
      <w:pPr>
        <w:pStyle w:val="ListBullet"/>
        <w:spacing w:after="60" w:line="276" w:lineRule="auto"/>
      </w:pPr>
      <w:r>
        <w:rPr>
          <w:b/>
          <w:sz w:val="22"/>
        </w:rPr>
        <w:t xml:space="preserve">2. Tilt Beam Elongation: </w:t>
      </w:r>
      <w:r>
        <w:rPr>
          <w:sz w:val="22"/>
        </w:rPr>
        <w:t>When the sensor tilts by angle θ relative to the surface normal, the beam travels along the hypotenuse: d_meas = d_true / cos(θ). At a 200 cm standoff, a 10° pitch or roll causes a 3.1 cm artificial elongation—falsely mimicking a cavity.</w:t>
      </w:r>
    </w:p>
    <w:p>
      <w:pPr>
        <w:pStyle w:val="ListBullet"/>
        <w:spacing w:after="60" w:line="276" w:lineRule="auto"/>
      </w:pPr>
      <w:r>
        <w:rPr>
          <w:b/>
          <w:sz w:val="22"/>
        </w:rPr>
        <w:t xml:space="preserve">3. Drone Aerodynamic Constraints Indoors: </w:t>
      </w:r>
      <w:r>
        <w:rPr>
          <w:sz w:val="22"/>
        </w:rPr>
        <w:t>Flying an aerial drone indoors (corridors, classrooms, basements) presents severe challenges: lack of GPS lock, regulatory flight restrictions, and aerodynamic wall-effect suction (prop-wash turbulence pulling the drone into the wall when operating at &lt;1.5 m standoff distances).</w:t>
      </w:r>
    </w:p>
    <w:p>
      <w:pPr>
        <w:keepNext/>
        <w:spacing w:before="200" w:after="60"/>
      </w:pPr>
      <w:r>
        <w:rPr>
          <w:b/>
          <w:color w:val="0F172A"/>
          <w:sz w:val="26"/>
        </w:rPr>
        <w:t>The Contingency Platform: Smart 4WD Robotic Car with Optical Wheel Encoders</w:t>
      </w:r>
    </w:p>
    <w:p>
      <w:pPr>
        <w:spacing w:after="80" w:line="276" w:lineRule="auto"/>
        <w:jc w:val="left"/>
      </w:pPr>
      <w:r>
        <w:rPr>
          <w:b w:val="0"/>
          <w:i w:val="0"/>
          <w:sz w:val="22"/>
        </w:rPr>
        <w:t>HOW WE WILL OPERATE IF WE DO NOT USE THE DRONE:</w:t>
        <w:br/>
        <w:t>If indoor flight restrictions, prop-wash turbulence, or battery flight-time constraints prevent drone operation, the entire sensing array is immediately deployed on our Smart 4WD Ground Robotic Car. The car transforms the system from an airborne inspector into an ultra-stable, millimeter-precision terrestrial surface scanner:</w:t>
      </w:r>
    </w:p>
    <w:p>
      <w:pPr>
        <w:pStyle w:val="ListBullet"/>
        <w:spacing w:after="60" w:line="276" w:lineRule="auto"/>
      </w:pPr>
      <w:r>
        <w:rPr>
          <w:b/>
          <w:sz w:val="22"/>
        </w:rPr>
        <w:t xml:space="preserve">Hardware Architecture on the Car: </w:t>
      </w:r>
      <w:r>
        <w:rPr>
          <w:sz w:val="22"/>
        </w:rPr>
        <w:t>A 4-wheel drive robotic chassis equipped with four high-torque DC gear motors (1:48 gear ratio), an L298N/TB6612FNG Dual H-Bridge motor driver, and dual optical wheel encoders (20-slot slotted photo-interrupter disks). A rigid, telescoping vertical aluminum mast holds the TF-Luna ToF sensor and YDLIDAR X2 at adjustable heights (0.5 m to 2.0 m elevation).</w:t>
      </w:r>
    </w:p>
    <w:p>
      <w:pPr>
        <w:pStyle w:val="ListBullet"/>
        <w:spacing w:after="60" w:line="276" w:lineRule="auto"/>
      </w:pPr>
      <w:r>
        <w:rPr>
          <w:b/>
          <w:sz w:val="22"/>
        </w:rPr>
        <w:t xml:space="preserve">Closed-Loop Odometry &amp; Speed Stabilization: </w:t>
      </w:r>
      <w:r>
        <w:rPr>
          <w:sz w:val="22"/>
        </w:rPr>
        <w:t>Unlike erratic human hand sliding, the ESP32 microcontroller executes a closed-loop PID cruise-control routine driving the car at an exact, vibration-free linear speed (e.g., constant 5.0 cm/sec). Wheel encoder pulses integrate exact linear distance traveled along the wall:</w:t>
        <w:br/>
        <w:t xml:space="preserve">    ΔX = N_ticks × [π × D_wheel / 20 slots]  (where D_wheel = 6.5 cm, giving ~1.02 mm resolution per tick).</w:t>
      </w:r>
    </w:p>
    <w:p>
      <w:pPr>
        <w:pStyle w:val="ListBullet"/>
        <w:spacing w:after="60" w:line="276" w:lineRule="auto"/>
      </w:pPr>
      <w:r>
        <w:rPr>
          <w:b/>
          <w:sz w:val="22"/>
        </w:rPr>
        <w:t xml:space="preserve">Dynamic Wall Spatial Coordinate Generation: </w:t>
      </w:r>
      <w:r>
        <w:rPr>
          <w:sz w:val="22"/>
        </w:rPr>
        <w:t>The car initializes at a designated corner origin datum: P_car(0) = (0, 0, Z_mast). As the car rolls parallel to the wall, every distance measurement d_meas(t) is stamped with its exact encoder X-coordinate:</w:t>
        <w:br/>
        <w:t xml:space="preserve">    X_point = X_encoder(t)</w:t>
        <w:br/>
        <w:t xml:space="preserve">    Y_point = d_meas(t) × cos(θ_tilt)  (perpendicular distance from wall)</w:t>
        <w:br/>
        <w:t xml:space="preserve">    Z_point = Z_mast (stepped in 10 cm or 20 cm vertical elevation bands for full-wall coverage).</w:t>
      </w:r>
    </w:p>
    <w:p>
      <w:pPr>
        <w:pStyle w:val="ListBullet"/>
        <w:spacing w:after="60" w:line="276" w:lineRule="auto"/>
      </w:pPr>
      <w:r>
        <w:rPr>
          <w:b/>
          <w:sz w:val="22"/>
        </w:rPr>
        <w:t xml:space="preserve">Key Advantages of the Smart Car: </w:t>
      </w:r>
      <w:r>
        <w:rPr>
          <w:sz w:val="22"/>
        </w:rPr>
        <w:t>(1) Zero Hand Jitter: Eliminates the 2–3 cm sliding noise completely; (2) Zero Prop-Wash: No aerodynamic turbulence near walls; (3) Extended Scan Endurance: Operates for 2–3 continuous hours on a 12V Li-ion pack (vs. 14 mins on drone); and (4) 100% Indoor Compliance: Safe to operate in any laboratory or classroom without flight clearance.</w:t>
      </w:r>
    </w:p>
    <w:p>
      <w:pPr>
        <w:jc w:val="center"/>
      </w:pPr>
      <w:r>
        <w:drawing>
          <wp:inline xmlns:a="http://schemas.openxmlformats.org/drawingml/2006/main" xmlns:pic="http://schemas.openxmlformats.org/drawingml/2006/picture">
            <wp:extent cx="5852160" cy="2508069"/>
            <wp:docPr id="8" name="Picture 8"/>
            <wp:cNvGraphicFramePr>
              <a:graphicFrameLocks noChangeAspect="1"/>
            </wp:cNvGraphicFramePr>
            <a:graphic>
              <a:graphicData uri="http://schemas.openxmlformats.org/drawingml/2006/picture">
                <pic:pic>
                  <pic:nvPicPr>
                    <pic:cNvPr id="0" name="flowchart_smart_car_operation.png"/>
                    <pic:cNvPicPr/>
                  </pic:nvPicPr>
                  <pic:blipFill>
                    <a:blip r:embed="rId16"/>
                    <a:stretch>
                      <a:fillRect/>
                    </a:stretch>
                  </pic:blipFill>
                  <pic:spPr>
                    <a:xfrm>
                      <a:off x="0" y="0"/>
                      <a:ext cx="5852160" cy="2508069"/>
                    </a:xfrm>
                    <a:prstGeom prst="rect"/>
                  </pic:spPr>
                </pic:pic>
              </a:graphicData>
            </a:graphic>
          </wp:inline>
        </w:drawing>
      </w:r>
    </w:p>
    <w:p>
      <w:pPr>
        <w:spacing w:after="120"/>
        <w:jc w:val="center"/>
      </w:pPr>
      <w:r>
        <w:rPr>
          <w:i/>
          <w:color w:val="64748B"/>
          <w:sz w:val="19"/>
        </w:rPr>
        <w:t>Figure 5: Contingency Platform — Smart 4WD Ground Robotic Car Scanning Architecture &amp; Odometry Workflow</w:t>
      </w:r>
    </w:p>
    <w:p>
      <w:pPr>
        <w:keepNext/>
        <w:spacing w:before="280" w:after="80"/>
      </w:pPr>
      <w:r>
        <w:rPr>
          <w:b/>
          <w:color w:val="1E3A8A"/>
          <w:sz w:val="32"/>
        </w:rPr>
        <w:t>6. Proposed Hardware Upgrade &amp; Technical Justification</w:t>
      </w:r>
    </w:p>
    <w:p>
      <w:pPr>
        <w:spacing w:after="80" w:line="276" w:lineRule="auto"/>
        <w:jc w:val="left"/>
      </w:pPr>
      <w:r>
        <w:rPr>
          <w:b w:val="0"/>
          <w:i w:val="0"/>
          <w:sz w:val="22"/>
        </w:rPr>
        <w:t>To achieve autonomous 3D facade digitisation and eliminate tilt and motion errors, four critical hardware upgrades are specified:</w:t>
      </w:r>
    </w:p>
    <w:p>
      <w:pPr>
        <w:pStyle w:val="ListBullet"/>
        <w:spacing w:after="60" w:line="276" w:lineRule="auto"/>
      </w:pPr>
      <w:r>
        <w:rPr>
          <w:b/>
          <w:sz w:val="22"/>
        </w:rPr>
        <w:t xml:space="preserve">1. YDLIDAR X2 360° 2D Laser Rangefinder (INR 7,189.00): </w:t>
      </w:r>
      <w:r>
        <w:rPr>
          <w:sz w:val="22"/>
        </w:rPr>
        <w:t>Replaces single-point ToF with a 360° rotating laser (3,000 samples/sec, 8.0 m range, 0.12 m blind zone, 7 Hz motor). Instead of scanning one point at a time, it acquires an entire 2D cross-sectional slice in 142 ms, capturing hundreds of surface points simultaneously.</w:t>
      </w:r>
    </w:p>
    <w:p>
      <w:pPr>
        <w:pStyle w:val="ListBullet"/>
        <w:spacing w:after="60" w:line="276" w:lineRule="auto"/>
      </w:pPr>
      <w:r>
        <w:rPr>
          <w:b/>
          <w:sz w:val="22"/>
        </w:rPr>
        <w:t xml:space="preserve">2. DFRobot Gravity Digital 360° Tilt Sensor (INR 245.00): </w:t>
      </w:r>
      <w:r>
        <w:rPr>
          <w:sz w:val="22"/>
        </w:rPr>
        <w:t>High-speed orientation sensor mounted coaxially with the LiDAR. Measures pitch (θ_p) and roll (θ_r) in real time. The ground software applies instant trigonometry: d_corrected = d_raw × cos(θ), completely eliminating the 3.1 cm false-cavity artifact.</w:t>
      </w:r>
    </w:p>
    <w:p>
      <w:pPr>
        <w:pStyle w:val="ListBullet"/>
        <w:spacing w:after="60" w:line="276" w:lineRule="auto"/>
      </w:pPr>
      <w:r>
        <w:rPr>
          <w:b/>
          <w:sz w:val="22"/>
        </w:rPr>
        <w:t xml:space="preserve">3. F450 Quadcopter Drone Airframe &amp; Propulsion (INR 5,200.00): </w:t>
      </w:r>
      <w:r>
        <w:rPr>
          <w:sz w:val="22"/>
        </w:rPr>
        <w:t>Sturdy 450 mm glass-fiber/polyamide frame with four A2212 1000KV brushless motors, 30A SimonK ESCs, and 1045 propellers. Delivers 3,200 g total thrust against a 1,220 g all-up weight (2.6:1 thrust-to-weight ratio).</w:t>
      </w:r>
    </w:p>
    <w:p>
      <w:pPr>
        <w:pStyle w:val="ListBullet"/>
        <w:spacing w:after="60" w:line="276" w:lineRule="auto"/>
      </w:pPr>
      <w:r>
        <w:rPr>
          <w:b/>
          <w:sz w:val="22"/>
        </w:rPr>
        <w:t xml:space="preserve">4. High-Capacity 3S 11.1V 4200mAh LiPo Battery (INR 2,850.00): </w:t>
      </w:r>
      <w:r>
        <w:rPr>
          <w:sz w:val="22"/>
        </w:rPr>
        <w:t>Delivers 14–16 minutes of stable hovering flight, powering both the propulsion motors and the onboard avionics/LiDAR payload.</w:t>
      </w:r>
    </w:p>
    <w:p>
      <w:pPr>
        <w:jc w:val="center"/>
      </w:pPr>
      <w:r>
        <w:drawing>
          <wp:inline xmlns:a="http://schemas.openxmlformats.org/drawingml/2006/main" xmlns:pic="http://schemas.openxmlformats.org/drawingml/2006/picture">
            <wp:extent cx="3017520" cy="1240601"/>
            <wp:docPr id="9" name="Picture 9"/>
            <wp:cNvGraphicFramePr>
              <a:graphicFrameLocks noChangeAspect="1"/>
            </wp:cNvGraphicFramePr>
            <a:graphic>
              <a:graphicData uri="http://schemas.openxmlformats.org/drawingml/2006/picture">
                <pic:pic>
                  <pic:nvPicPr>
                    <pic:cNvPr id="0" name="ydlidar_x2_listing.png"/>
                    <pic:cNvPicPr/>
                  </pic:nvPicPr>
                  <pic:blipFill>
                    <a:blip r:embed="rId17"/>
                    <a:stretch>
                      <a:fillRect/>
                    </a:stretch>
                  </pic:blipFill>
                  <pic:spPr>
                    <a:xfrm>
                      <a:off x="0" y="0"/>
                      <a:ext cx="3017520" cy="1240601"/>
                    </a:xfrm>
                    <a:prstGeom prst="rect"/>
                  </pic:spPr>
                </pic:pic>
              </a:graphicData>
            </a:graphic>
          </wp:inline>
        </w:drawing>
      </w:r>
      <w:r>
        <w:t xml:space="preserve">   </w:t>
      </w:r>
      <w:r>
        <w:drawing>
          <wp:inline xmlns:a="http://schemas.openxmlformats.org/drawingml/2006/main" xmlns:pic="http://schemas.openxmlformats.org/drawingml/2006/picture">
            <wp:extent cx="3017520" cy="1414462"/>
            <wp:docPr id="10" name="Picture 10"/>
            <wp:cNvGraphicFramePr>
              <a:graphicFrameLocks noChangeAspect="1"/>
            </wp:cNvGraphicFramePr>
            <a:graphic>
              <a:graphicData uri="http://schemas.openxmlformats.org/drawingml/2006/picture">
                <pic:pic>
                  <pic:nvPicPr>
                    <pic:cNvPr id="0" name="ydlidar_x2_specs.png"/>
                    <pic:cNvPicPr/>
                  </pic:nvPicPr>
                  <pic:blipFill>
                    <a:blip r:embed="rId18"/>
                    <a:stretch>
                      <a:fillRect/>
                    </a:stretch>
                  </pic:blipFill>
                  <pic:spPr>
                    <a:xfrm>
                      <a:off x="0" y="0"/>
                      <a:ext cx="3017520" cy="1414462"/>
                    </a:xfrm>
                    <a:prstGeom prst="rect"/>
                  </pic:spPr>
                </pic:pic>
              </a:graphicData>
            </a:graphic>
          </wp:inline>
        </w:drawing>
      </w:r>
    </w:p>
    <w:p>
      <w:pPr>
        <w:spacing w:after="120"/>
        <w:jc w:val="center"/>
      </w:pPr>
      <w:r>
        <w:rPr>
          <w:i/>
          <w:color w:val="64748B"/>
          <w:sz w:val="19"/>
        </w:rPr>
        <w:t>Figure 6(a): Left: YDLIDAR X2 Robu.in Listing (INR 7,189); Right: Technical Specifications</w:t>
      </w:r>
    </w:p>
    <w:p>
      <w:pPr>
        <w:jc w:val="center"/>
      </w:pPr>
      <w:r>
        <w:drawing>
          <wp:inline xmlns:a="http://schemas.openxmlformats.org/drawingml/2006/main" xmlns:pic="http://schemas.openxmlformats.org/drawingml/2006/picture">
            <wp:extent cx="3017520" cy="3128905"/>
            <wp:docPr id="11" name="Picture 11"/>
            <wp:cNvGraphicFramePr>
              <a:graphicFrameLocks noChangeAspect="1"/>
            </wp:cNvGraphicFramePr>
            <a:graphic>
              <a:graphicData uri="http://schemas.openxmlformats.org/drawingml/2006/picture">
                <pic:pic>
                  <pic:nvPicPr>
                    <pic:cNvPr id="0" name="drone_airframe.png"/>
                    <pic:cNvPicPr/>
                  </pic:nvPicPr>
                  <pic:blipFill>
                    <a:blip r:embed="rId19"/>
                    <a:stretch>
                      <a:fillRect/>
                    </a:stretch>
                  </pic:blipFill>
                  <pic:spPr>
                    <a:xfrm>
                      <a:off x="0" y="0"/>
                      <a:ext cx="3017520" cy="3128905"/>
                    </a:xfrm>
                    <a:prstGeom prst="rect"/>
                  </pic:spPr>
                </pic:pic>
              </a:graphicData>
            </a:graphic>
          </wp:inline>
        </w:drawing>
      </w:r>
      <w:r>
        <w:t xml:space="preserve">   </w:t>
      </w:r>
      <w:r>
        <w:drawing>
          <wp:inline xmlns:a="http://schemas.openxmlformats.org/drawingml/2006/main" xmlns:pic="http://schemas.openxmlformats.org/drawingml/2006/picture">
            <wp:extent cx="3017520" cy="1349633"/>
            <wp:docPr id="12" name="Picture 12"/>
            <wp:cNvGraphicFramePr>
              <a:graphicFrameLocks noChangeAspect="1"/>
            </wp:cNvGraphicFramePr>
            <a:graphic>
              <a:graphicData uri="http://schemas.openxmlformats.org/drawingml/2006/picture">
                <pic:pic>
                  <pic:nvPicPr>
                    <pic:cNvPr id="0" name="ydlidar_x2_features.png"/>
                    <pic:cNvPicPr/>
                  </pic:nvPicPr>
                  <pic:blipFill>
                    <a:blip r:embed="rId20"/>
                    <a:stretch>
                      <a:fillRect/>
                    </a:stretch>
                  </pic:blipFill>
                  <pic:spPr>
                    <a:xfrm>
                      <a:off x="0" y="0"/>
                      <a:ext cx="3017520" cy="1349633"/>
                    </a:xfrm>
                    <a:prstGeom prst="rect"/>
                  </pic:spPr>
                </pic:pic>
              </a:graphicData>
            </a:graphic>
          </wp:inline>
        </w:drawing>
      </w:r>
    </w:p>
    <w:p>
      <w:pPr>
        <w:spacing w:after="120"/>
        <w:jc w:val="center"/>
      </w:pPr>
      <w:r>
        <w:rPr>
          <w:i/>
          <w:color w:val="64748B"/>
          <w:sz w:val="19"/>
        </w:rPr>
        <w:t>Figure 6(b): Left: F450 Quadcopter Airframe; Right: YDLIDAR X2 Dimensional Drawing</w:t>
      </w:r>
    </w:p>
    <w:p>
      <w:pPr>
        <w:keepNext/>
        <w:spacing w:before="280" w:after="80"/>
      </w:pPr>
      <w:r>
        <w:rPr>
          <w:b/>
          <w:color w:val="1E3A8A"/>
          <w:sz w:val="32"/>
        </w:rPr>
        <w:t>7. Hardware Integration &amp; Compatibility Study</w:t>
      </w:r>
    </w:p>
    <w:p>
      <w:pPr>
        <w:spacing w:after="80" w:line="276" w:lineRule="auto"/>
        <w:jc w:val="left"/>
      </w:pPr>
      <w:r>
        <w:rPr>
          <w:b w:val="0"/>
          <w:i w:val="0"/>
          <w:sz w:val="22"/>
        </w:rPr>
        <w:t>A rigorous mechanical, electrical, and computational feasibility analysis confirms 100% interoperability across subsystems:</w:t>
      </w:r>
    </w:p>
    <w:p>
      <w:pPr>
        <w:pStyle w:val="ListBullet"/>
        <w:spacing w:after="60" w:line="276" w:lineRule="auto"/>
      </w:pPr>
      <w:r>
        <w:rPr>
          <w:b/>
          <w:sz w:val="22"/>
        </w:rPr>
        <w:t xml:space="preserve">Payload &amp; Mass Budget: </w:t>
      </w:r>
      <w:r>
        <w:rPr>
          <w:sz w:val="22"/>
        </w:rPr>
        <w:t>F450 frame (282g), 4x Motors/ESCs (340g), Pixhawk/GPS (125g), 3S 4200mAh LiPo (315g), YDLIDAR X2 (120g), ESP32 telemetry (38g) = 1,220 g All-Up Weight (AUW). Total thrust = 3,200 g. Net excess payload capacity = 480 g at 55% hover throttle, ensuring exceptional aerodynamic stability.</w:t>
      </w:r>
    </w:p>
    <w:p>
      <w:pPr>
        <w:pStyle w:val="ListBullet"/>
        <w:spacing w:after="60" w:line="276" w:lineRule="auto"/>
      </w:pPr>
      <w:r>
        <w:rPr>
          <w:b/>
          <w:sz w:val="22"/>
        </w:rPr>
        <w:t xml:space="preserve">Power Distribution: </w:t>
      </w:r>
      <w:r>
        <w:rPr>
          <w:sz w:val="22"/>
        </w:rPr>
        <w:t>11.1V LiPo feeds 4 ESCs directly. A dedicated LM2596 buck converter steps 11.1V down to 5.0V 2A for the YDLIDAR X2 motor and core logic, completely isolating sensor logic from motor inductive spikes.</w:t>
      </w:r>
    </w:p>
    <w:p>
      <w:pPr>
        <w:pStyle w:val="ListBullet"/>
        <w:spacing w:after="60" w:line="276" w:lineRule="auto"/>
      </w:pPr>
      <w:r>
        <w:rPr>
          <w:b/>
          <w:sz w:val="22"/>
        </w:rPr>
        <w:t xml:space="preserve">MCU Concurrency &amp; Pin Budget: </w:t>
      </w:r>
      <w:r>
        <w:rPr>
          <w:sz w:val="22"/>
        </w:rPr>
        <w:t>ESP32-WROOM-32 assigns HardwareSerial2 (GPIO16/17) to YDLIDAR X2 at 115200 baud, GPIO4 to the tilt sensor, and operates FreeRTOS dual-core execution (Core 0: LiDAR UART DMA ingestion; Core 1: WiFi UDP packetization).</w:t>
      </w:r>
    </w:p>
    <w:p>
      <w:pPr>
        <w:keepNext/>
        <w:spacing w:before="280" w:after="80"/>
      </w:pPr>
      <w:r>
        <w:rPr>
          <w:b/>
          <w:color w:val="1E3A8A"/>
          <w:sz w:val="32"/>
        </w:rPr>
        <w:t>8. Complete Procurement Budget &amp; Financial Analysis</w:t>
      </w:r>
    </w:p>
    <w:p>
      <w:pPr>
        <w:spacing w:after="80" w:line="276" w:lineRule="auto"/>
        <w:jc w:val="left"/>
      </w:pPr>
      <w:r>
        <w:rPr>
          <w:b w:val="0"/>
          <w:i w:val="0"/>
          <w:sz w:val="22"/>
        </w:rPr>
        <w:t>An itemized, market-verified Bill of Materials (BOM) was compiled using authorized Indian robotics distributors (Robu.in, QuartzComponents, Silverline Electronics). Screenshot prices from the uploaded prompt materials were compared against current live listings. All figures are expressed in Indian Rupees (INR):</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461"/>
        <w:gridCol w:w="1461"/>
        <w:gridCol w:w="1461"/>
        <w:gridCol w:w="1461"/>
        <w:gridCol w:w="1461"/>
        <w:gridCol w:w="1461"/>
        <w:gridCol w:w="1461"/>
      </w:tblGrid>
      <w:tr>
        <w:tc>
          <w:tcPr>
            <w:tcW w:type="dxa" w:w="1461"/>
            <w:shd w:fill="1E3A8A"/>
            <w:tcMar>
              <w:top w:w="60" w:type="dxa"/>
              <w:bottom w:w="60" w:type="dxa"/>
              <w:left w:w="80" w:type="dxa"/>
              <w:right w:w="80" w:type="dxa"/>
            </w:tcMar>
          </w:tcPr>
          <w:p>
            <w:pPr>
              <w:spacing w:line="252" w:lineRule="auto"/>
            </w:pPr>
            <w:r>
              <w:rPr>
                <w:b/>
                <w:color w:val="FFFFFF"/>
                <w:sz w:val="17"/>
              </w:rPr>
              <w:t>Item Name &amp; Model</w:t>
            </w:r>
          </w:p>
        </w:tc>
        <w:tc>
          <w:tcPr>
            <w:tcW w:type="dxa" w:w="1461"/>
            <w:shd w:fill="1E3A8A"/>
            <w:tcMar>
              <w:top w:w="60" w:type="dxa"/>
              <w:bottom w:w="60" w:type="dxa"/>
              <w:left w:w="80" w:type="dxa"/>
              <w:right w:w="80" w:type="dxa"/>
            </w:tcMar>
          </w:tcPr>
          <w:p>
            <w:pPr>
              <w:spacing w:line="252" w:lineRule="auto"/>
            </w:pPr>
            <w:r>
              <w:rPr>
                <w:b/>
                <w:color w:val="FFFFFF"/>
                <w:sz w:val="17"/>
              </w:rPr>
              <w:t>Category</w:t>
            </w:r>
          </w:p>
        </w:tc>
        <w:tc>
          <w:tcPr>
            <w:tcW w:type="dxa" w:w="1461"/>
            <w:shd w:fill="1E3A8A"/>
            <w:tcMar>
              <w:top w:w="60" w:type="dxa"/>
              <w:bottom w:w="60" w:type="dxa"/>
              <w:left w:w="80" w:type="dxa"/>
              <w:right w:w="80" w:type="dxa"/>
            </w:tcMar>
          </w:tcPr>
          <w:p>
            <w:pPr>
              <w:spacing w:line="252" w:lineRule="auto"/>
            </w:pPr>
            <w:r>
              <w:rPr>
                <w:b/>
                <w:color w:val="FFFFFF"/>
                <w:sz w:val="17"/>
              </w:rPr>
              <w:t>Qty</w:t>
            </w:r>
          </w:p>
        </w:tc>
        <w:tc>
          <w:tcPr>
            <w:tcW w:type="dxa" w:w="1461"/>
            <w:shd w:fill="1E3A8A"/>
            <w:tcMar>
              <w:top w:w="60" w:type="dxa"/>
              <w:bottom w:w="60" w:type="dxa"/>
              <w:left w:w="80" w:type="dxa"/>
              <w:right w:w="80" w:type="dxa"/>
            </w:tcMar>
          </w:tcPr>
          <w:p>
            <w:pPr>
              <w:spacing w:line="252" w:lineRule="auto"/>
            </w:pPr>
            <w:r>
              <w:rPr>
                <w:b/>
                <w:color w:val="FFFFFF"/>
                <w:sz w:val="17"/>
              </w:rPr>
              <w:t>Ref Price</w:t>
            </w:r>
          </w:p>
        </w:tc>
        <w:tc>
          <w:tcPr>
            <w:tcW w:type="dxa" w:w="1461"/>
            <w:shd w:fill="1E3A8A"/>
            <w:tcMar>
              <w:top w:w="60" w:type="dxa"/>
              <w:bottom w:w="60" w:type="dxa"/>
              <w:left w:w="80" w:type="dxa"/>
              <w:right w:w="80" w:type="dxa"/>
            </w:tcMar>
          </w:tcPr>
          <w:p>
            <w:pPr>
              <w:spacing w:line="252" w:lineRule="auto"/>
            </w:pPr>
            <w:r>
              <w:rPr>
                <w:b/>
                <w:color w:val="FFFFFF"/>
                <w:sz w:val="17"/>
              </w:rPr>
              <w:t>Verified Price</w:t>
            </w:r>
          </w:p>
        </w:tc>
        <w:tc>
          <w:tcPr>
            <w:tcW w:type="dxa" w:w="1461"/>
            <w:shd w:fill="1E3A8A"/>
            <w:tcMar>
              <w:top w:w="60" w:type="dxa"/>
              <w:bottom w:w="60" w:type="dxa"/>
              <w:left w:w="80" w:type="dxa"/>
              <w:right w:w="80" w:type="dxa"/>
            </w:tcMar>
          </w:tcPr>
          <w:p>
            <w:pPr>
              <w:spacing w:line="252" w:lineRule="auto"/>
            </w:pPr>
            <w:r>
              <w:rPr>
                <w:b/>
                <w:color w:val="FFFFFF"/>
                <w:sz w:val="17"/>
              </w:rPr>
              <w:t>Subtotal (INR)</w:t>
            </w:r>
          </w:p>
        </w:tc>
        <w:tc>
          <w:tcPr>
            <w:tcW w:type="dxa" w:w="1461"/>
            <w:shd w:fill="1E3A8A"/>
            <w:tcMar>
              <w:top w:w="60" w:type="dxa"/>
              <w:bottom w:w="60" w:type="dxa"/>
              <w:left w:w="80" w:type="dxa"/>
              <w:right w:w="80" w:type="dxa"/>
            </w:tcMar>
          </w:tcPr>
          <w:p>
            <w:pPr>
              <w:spacing w:line="252" w:lineRule="auto"/>
            </w:pPr>
            <w:r>
              <w:rPr>
                <w:b/>
                <w:color w:val="FFFFFF"/>
                <w:sz w:val="17"/>
              </w:rPr>
              <w:t>Supplier / Source Status</w:t>
            </w:r>
          </w:p>
        </w:tc>
      </w:tr>
      <w:tr>
        <w:tc>
          <w:tcPr>
            <w:tcW w:type="dxa" w:w="1461"/>
            <w:tcMar>
              <w:top w:w="60" w:type="dxa"/>
              <w:bottom w:w="60" w:type="dxa"/>
              <w:left w:w="80" w:type="dxa"/>
              <w:right w:w="80" w:type="dxa"/>
            </w:tcMar>
          </w:tcPr>
          <w:p>
            <w:pPr>
              <w:spacing w:line="252" w:lineRule="auto"/>
            </w:pPr>
            <w:r>
              <w:rPr>
                <w:b/>
                <w:sz w:val="17"/>
              </w:rPr>
              <w:t>YDLIDAR X2 360° 2D LiDAR Scanner</w:t>
            </w:r>
          </w:p>
        </w:tc>
        <w:tc>
          <w:tcPr>
            <w:tcW w:type="dxa" w:w="1461"/>
            <w:tcMar>
              <w:top w:w="60" w:type="dxa"/>
              <w:bottom w:w="60" w:type="dxa"/>
              <w:left w:w="80" w:type="dxa"/>
              <w:right w:w="80" w:type="dxa"/>
            </w:tcMar>
          </w:tcPr>
          <w:p>
            <w:pPr>
              <w:spacing w:line="252" w:lineRule="auto"/>
            </w:pPr>
            <w:r>
              <w:rPr>
                <w:sz w:val="17"/>
              </w:rPr>
              <w:t>LiDAR Sensor</w:t>
            </w:r>
          </w:p>
        </w:tc>
        <w:tc>
          <w:tcPr>
            <w:tcW w:type="dxa" w:w="1461"/>
            <w:tcMar>
              <w:top w:w="60" w:type="dxa"/>
              <w:bottom w:w="60" w:type="dxa"/>
              <w:left w:w="80" w:type="dxa"/>
              <w:right w:w="80" w:type="dxa"/>
            </w:tcMar>
          </w:tcPr>
          <w:p>
            <w:pPr>
              <w:spacing w:line="252" w:lineRule="auto"/>
            </w:pPr>
            <w:r>
              <w:rPr>
                <w:sz w:val="17"/>
              </w:rPr>
              <w:t>1</w:t>
            </w:r>
          </w:p>
        </w:tc>
        <w:tc>
          <w:tcPr>
            <w:tcW w:type="dxa" w:w="1461"/>
            <w:tcMar>
              <w:top w:w="60" w:type="dxa"/>
              <w:bottom w:w="60" w:type="dxa"/>
              <w:left w:w="80" w:type="dxa"/>
              <w:right w:w="80" w:type="dxa"/>
            </w:tcMar>
          </w:tcPr>
          <w:p>
            <w:pPr>
              <w:spacing w:line="252" w:lineRule="auto"/>
            </w:pPr>
            <w:r>
              <w:rPr>
                <w:sz w:val="17"/>
              </w:rPr>
              <w:t>7,189.00</w:t>
            </w:r>
          </w:p>
        </w:tc>
        <w:tc>
          <w:tcPr>
            <w:tcW w:type="dxa" w:w="1461"/>
            <w:tcMar>
              <w:top w:w="60" w:type="dxa"/>
              <w:bottom w:w="60" w:type="dxa"/>
              <w:left w:w="80" w:type="dxa"/>
              <w:right w:w="80" w:type="dxa"/>
            </w:tcMar>
          </w:tcPr>
          <w:p>
            <w:pPr>
              <w:spacing w:line="252" w:lineRule="auto"/>
            </w:pPr>
            <w:r>
              <w:rPr>
                <w:sz w:val="17"/>
              </w:rPr>
              <w:t>7,189.00</w:t>
            </w:r>
          </w:p>
        </w:tc>
        <w:tc>
          <w:tcPr>
            <w:tcW w:type="dxa" w:w="1461"/>
            <w:tcMar>
              <w:top w:w="60" w:type="dxa"/>
              <w:bottom w:w="60" w:type="dxa"/>
              <w:left w:w="80" w:type="dxa"/>
              <w:right w:w="80" w:type="dxa"/>
            </w:tcMar>
          </w:tcPr>
          <w:p>
            <w:pPr>
              <w:spacing w:line="252" w:lineRule="auto"/>
            </w:pPr>
            <w:r>
              <w:rPr>
                <w:b/>
                <w:sz w:val="17"/>
              </w:rPr>
              <w:t>7,189.00</w:t>
            </w:r>
          </w:p>
        </w:tc>
        <w:tc>
          <w:tcPr>
            <w:tcW w:type="dxa" w:w="1461"/>
            <w:tcMar>
              <w:top w:w="60" w:type="dxa"/>
              <w:bottom w:w="60" w:type="dxa"/>
              <w:left w:w="80" w:type="dxa"/>
              <w:right w:w="80" w:type="dxa"/>
            </w:tcMar>
          </w:tcPr>
          <w:p>
            <w:pPr>
              <w:spacing w:line="252" w:lineRule="auto"/>
            </w:pPr>
            <w:r>
              <w:rPr>
                <w:sz w:val="17"/>
              </w:rPr>
              <w:t>Robu.in / In Stock (Screenshot Ref)</w:t>
            </w:r>
          </w:p>
        </w:tc>
      </w:tr>
      <w:tr>
        <w:tc>
          <w:tcPr>
            <w:tcW w:type="dxa" w:w="1461"/>
            <w:tcMar>
              <w:top w:w="60" w:type="dxa"/>
              <w:bottom w:w="60" w:type="dxa"/>
              <w:left w:w="80" w:type="dxa"/>
              <w:right w:w="80" w:type="dxa"/>
            </w:tcMar>
          </w:tcPr>
          <w:p>
            <w:pPr>
              <w:spacing w:line="252" w:lineRule="auto"/>
            </w:pPr>
            <w:r>
              <w:rPr>
                <w:b/>
                <w:sz w:val="17"/>
              </w:rPr>
              <w:t>DFRobot Gravity Digital 360° Tilt Sensor</w:t>
            </w:r>
          </w:p>
        </w:tc>
        <w:tc>
          <w:tcPr>
            <w:tcW w:type="dxa" w:w="1461"/>
            <w:tcMar>
              <w:top w:w="60" w:type="dxa"/>
              <w:bottom w:w="60" w:type="dxa"/>
              <w:left w:w="80" w:type="dxa"/>
              <w:right w:w="80" w:type="dxa"/>
            </w:tcMar>
          </w:tcPr>
          <w:p>
            <w:pPr>
              <w:spacing w:line="252" w:lineRule="auto"/>
            </w:pPr>
            <w:r>
              <w:rPr>
                <w:sz w:val="17"/>
              </w:rPr>
              <w:t>Orientation Sensor</w:t>
            </w:r>
          </w:p>
        </w:tc>
        <w:tc>
          <w:tcPr>
            <w:tcW w:type="dxa" w:w="1461"/>
            <w:tcMar>
              <w:top w:w="60" w:type="dxa"/>
              <w:bottom w:w="60" w:type="dxa"/>
              <w:left w:w="80" w:type="dxa"/>
              <w:right w:w="80" w:type="dxa"/>
            </w:tcMar>
          </w:tcPr>
          <w:p>
            <w:pPr>
              <w:spacing w:line="252" w:lineRule="auto"/>
            </w:pPr>
            <w:r>
              <w:rPr>
                <w:sz w:val="17"/>
              </w:rPr>
              <w:t>1</w:t>
            </w:r>
          </w:p>
        </w:tc>
        <w:tc>
          <w:tcPr>
            <w:tcW w:type="dxa" w:w="1461"/>
            <w:tcMar>
              <w:top w:w="60" w:type="dxa"/>
              <w:bottom w:w="60" w:type="dxa"/>
              <w:left w:w="80" w:type="dxa"/>
              <w:right w:w="80" w:type="dxa"/>
            </w:tcMar>
          </w:tcPr>
          <w:p>
            <w:pPr>
              <w:spacing w:line="252" w:lineRule="auto"/>
            </w:pPr>
            <w:r>
              <w:rPr>
                <w:sz w:val="17"/>
              </w:rPr>
              <w:t>237.36</w:t>
            </w:r>
          </w:p>
        </w:tc>
        <w:tc>
          <w:tcPr>
            <w:tcW w:type="dxa" w:w="1461"/>
            <w:tcMar>
              <w:top w:w="60" w:type="dxa"/>
              <w:bottom w:w="60" w:type="dxa"/>
              <w:left w:w="80" w:type="dxa"/>
              <w:right w:w="80" w:type="dxa"/>
            </w:tcMar>
          </w:tcPr>
          <w:p>
            <w:pPr>
              <w:spacing w:line="252" w:lineRule="auto"/>
            </w:pPr>
            <w:r>
              <w:rPr>
                <w:sz w:val="17"/>
              </w:rPr>
              <w:t>245.00</w:t>
            </w:r>
          </w:p>
        </w:tc>
        <w:tc>
          <w:tcPr>
            <w:tcW w:type="dxa" w:w="1461"/>
            <w:tcMar>
              <w:top w:w="60" w:type="dxa"/>
              <w:bottom w:w="60" w:type="dxa"/>
              <w:left w:w="80" w:type="dxa"/>
              <w:right w:w="80" w:type="dxa"/>
            </w:tcMar>
          </w:tcPr>
          <w:p>
            <w:pPr>
              <w:spacing w:line="252" w:lineRule="auto"/>
            </w:pPr>
            <w:r>
              <w:rPr>
                <w:b/>
                <w:sz w:val="17"/>
              </w:rPr>
              <w:t>245.00</w:t>
            </w:r>
          </w:p>
        </w:tc>
        <w:tc>
          <w:tcPr>
            <w:tcW w:type="dxa" w:w="1461"/>
            <w:tcMar>
              <w:top w:w="60" w:type="dxa"/>
              <w:bottom w:w="60" w:type="dxa"/>
              <w:left w:w="80" w:type="dxa"/>
              <w:right w:w="80" w:type="dxa"/>
            </w:tcMar>
          </w:tcPr>
          <w:p>
            <w:pPr>
              <w:spacing w:line="252" w:lineRule="auto"/>
            </w:pPr>
            <w:r>
              <w:rPr>
                <w:sz w:val="17"/>
              </w:rPr>
              <w:t>Robu.in / Silverline (Screenshot Ref)</w:t>
            </w:r>
          </w:p>
        </w:tc>
      </w:tr>
      <w:tr>
        <w:tc>
          <w:tcPr>
            <w:tcW w:type="dxa" w:w="1461"/>
            <w:tcMar>
              <w:top w:w="60" w:type="dxa"/>
              <w:bottom w:w="60" w:type="dxa"/>
              <w:left w:w="80" w:type="dxa"/>
              <w:right w:w="80" w:type="dxa"/>
            </w:tcMar>
          </w:tcPr>
          <w:p>
            <w:pPr>
              <w:spacing w:line="252" w:lineRule="auto"/>
            </w:pPr>
            <w:r>
              <w:rPr>
                <w:b/>
                <w:sz w:val="17"/>
              </w:rPr>
              <w:t>Smart 4WD Robotic Car Kit + Encoders + L298N</w:t>
            </w:r>
          </w:p>
        </w:tc>
        <w:tc>
          <w:tcPr>
            <w:tcW w:type="dxa" w:w="1461"/>
            <w:tcMar>
              <w:top w:w="60" w:type="dxa"/>
              <w:bottom w:w="60" w:type="dxa"/>
              <w:left w:w="80" w:type="dxa"/>
              <w:right w:w="80" w:type="dxa"/>
            </w:tcMar>
          </w:tcPr>
          <w:p>
            <w:pPr>
              <w:spacing w:line="252" w:lineRule="auto"/>
            </w:pPr>
            <w:r>
              <w:rPr>
                <w:sz w:val="17"/>
              </w:rPr>
              <w:t>Contingency Platform</w:t>
            </w:r>
          </w:p>
        </w:tc>
        <w:tc>
          <w:tcPr>
            <w:tcW w:type="dxa" w:w="1461"/>
            <w:tcMar>
              <w:top w:w="60" w:type="dxa"/>
              <w:bottom w:w="60" w:type="dxa"/>
              <w:left w:w="80" w:type="dxa"/>
              <w:right w:w="80" w:type="dxa"/>
            </w:tcMar>
          </w:tcPr>
          <w:p>
            <w:pPr>
              <w:spacing w:line="252" w:lineRule="auto"/>
            </w:pPr>
            <w:r>
              <w:rPr>
                <w:sz w:val="17"/>
              </w:rPr>
              <w:t>1 kit</w:t>
            </w:r>
          </w:p>
        </w:tc>
        <w:tc>
          <w:tcPr>
            <w:tcW w:type="dxa" w:w="1461"/>
            <w:tcMar>
              <w:top w:w="60" w:type="dxa"/>
              <w:bottom w:w="60" w:type="dxa"/>
              <w:left w:w="80" w:type="dxa"/>
              <w:right w:w="80" w:type="dxa"/>
            </w:tcMar>
          </w:tcPr>
          <w:p>
            <w:pPr>
              <w:spacing w:line="252" w:lineRule="auto"/>
            </w:pPr>
            <w:r>
              <w:rPr>
                <w:sz w:val="17"/>
              </w:rPr>
              <w:t>1,850.00</w:t>
            </w:r>
          </w:p>
        </w:tc>
        <w:tc>
          <w:tcPr>
            <w:tcW w:type="dxa" w:w="1461"/>
            <w:tcMar>
              <w:top w:w="60" w:type="dxa"/>
              <w:bottom w:w="60" w:type="dxa"/>
              <w:left w:w="80" w:type="dxa"/>
              <w:right w:w="80" w:type="dxa"/>
            </w:tcMar>
          </w:tcPr>
          <w:p>
            <w:pPr>
              <w:spacing w:line="252" w:lineRule="auto"/>
            </w:pPr>
            <w:r>
              <w:rPr>
                <w:sz w:val="17"/>
              </w:rPr>
              <w:t>1,750.00</w:t>
            </w:r>
          </w:p>
        </w:tc>
        <w:tc>
          <w:tcPr>
            <w:tcW w:type="dxa" w:w="1461"/>
            <w:tcMar>
              <w:top w:w="60" w:type="dxa"/>
              <w:bottom w:w="60" w:type="dxa"/>
              <w:left w:w="80" w:type="dxa"/>
              <w:right w:w="80" w:type="dxa"/>
            </w:tcMar>
          </w:tcPr>
          <w:p>
            <w:pPr>
              <w:spacing w:line="252" w:lineRule="auto"/>
            </w:pPr>
            <w:r>
              <w:rPr>
                <w:b/>
                <w:sz w:val="17"/>
              </w:rPr>
              <w:t>1,750.00</w:t>
            </w:r>
          </w:p>
        </w:tc>
        <w:tc>
          <w:tcPr>
            <w:tcW w:type="dxa" w:w="1461"/>
            <w:tcMar>
              <w:top w:w="60" w:type="dxa"/>
              <w:bottom w:w="60" w:type="dxa"/>
              <w:left w:w="80" w:type="dxa"/>
              <w:right w:w="80" w:type="dxa"/>
            </w:tcMar>
          </w:tcPr>
          <w:p>
            <w:pPr>
              <w:spacing w:line="252" w:lineRule="auto"/>
            </w:pPr>
            <w:r>
              <w:rPr>
                <w:sz w:val="17"/>
              </w:rPr>
              <w:t>Robu.in / QuartzComponents</w:t>
            </w:r>
          </w:p>
        </w:tc>
      </w:tr>
      <w:tr>
        <w:tc>
          <w:tcPr>
            <w:tcW w:type="dxa" w:w="1461"/>
            <w:tcMar>
              <w:top w:w="60" w:type="dxa"/>
              <w:bottom w:w="60" w:type="dxa"/>
              <w:left w:w="80" w:type="dxa"/>
              <w:right w:w="80" w:type="dxa"/>
            </w:tcMar>
          </w:tcPr>
          <w:p>
            <w:pPr>
              <w:spacing w:line="252" w:lineRule="auto"/>
            </w:pPr>
            <w:r>
              <w:rPr>
                <w:b/>
                <w:sz w:val="17"/>
              </w:rPr>
              <w:t>F450 Quadcopter Drone Frame Kit + Landing Gear</w:t>
            </w:r>
          </w:p>
        </w:tc>
        <w:tc>
          <w:tcPr>
            <w:tcW w:type="dxa" w:w="1461"/>
            <w:tcMar>
              <w:top w:w="60" w:type="dxa"/>
              <w:bottom w:w="60" w:type="dxa"/>
              <w:left w:w="80" w:type="dxa"/>
              <w:right w:w="80" w:type="dxa"/>
            </w:tcMar>
          </w:tcPr>
          <w:p>
            <w:pPr>
              <w:spacing w:line="252" w:lineRule="auto"/>
            </w:pPr>
            <w:r>
              <w:rPr>
                <w:sz w:val="17"/>
              </w:rPr>
              <w:t>Aerial Airframe</w:t>
            </w:r>
          </w:p>
        </w:tc>
        <w:tc>
          <w:tcPr>
            <w:tcW w:type="dxa" w:w="1461"/>
            <w:tcMar>
              <w:top w:w="60" w:type="dxa"/>
              <w:bottom w:w="60" w:type="dxa"/>
              <w:left w:w="80" w:type="dxa"/>
              <w:right w:w="80" w:type="dxa"/>
            </w:tcMar>
          </w:tcPr>
          <w:p>
            <w:pPr>
              <w:spacing w:line="252" w:lineRule="auto"/>
            </w:pPr>
            <w:r>
              <w:rPr>
                <w:sz w:val="17"/>
              </w:rPr>
              <w:t>1</w:t>
            </w:r>
          </w:p>
        </w:tc>
        <w:tc>
          <w:tcPr>
            <w:tcW w:type="dxa" w:w="1461"/>
            <w:tcMar>
              <w:top w:w="60" w:type="dxa"/>
              <w:bottom w:w="60" w:type="dxa"/>
              <w:left w:w="80" w:type="dxa"/>
              <w:right w:w="80" w:type="dxa"/>
            </w:tcMar>
          </w:tcPr>
          <w:p>
            <w:pPr>
              <w:spacing w:line="252" w:lineRule="auto"/>
            </w:pPr>
            <w:r>
              <w:rPr>
                <w:sz w:val="17"/>
              </w:rPr>
              <w:t>1,450.00</w:t>
            </w:r>
          </w:p>
        </w:tc>
        <w:tc>
          <w:tcPr>
            <w:tcW w:type="dxa" w:w="1461"/>
            <w:tcMar>
              <w:top w:w="60" w:type="dxa"/>
              <w:bottom w:w="60" w:type="dxa"/>
              <w:left w:w="80" w:type="dxa"/>
              <w:right w:w="80" w:type="dxa"/>
            </w:tcMar>
          </w:tcPr>
          <w:p>
            <w:pPr>
              <w:spacing w:line="252" w:lineRule="auto"/>
            </w:pPr>
            <w:r>
              <w:rPr>
                <w:sz w:val="17"/>
              </w:rPr>
              <w:t>1,350.00</w:t>
            </w:r>
          </w:p>
        </w:tc>
        <w:tc>
          <w:tcPr>
            <w:tcW w:type="dxa" w:w="1461"/>
            <w:tcMar>
              <w:top w:w="60" w:type="dxa"/>
              <w:bottom w:w="60" w:type="dxa"/>
              <w:left w:w="80" w:type="dxa"/>
              <w:right w:w="80" w:type="dxa"/>
            </w:tcMar>
          </w:tcPr>
          <w:p>
            <w:pPr>
              <w:spacing w:line="252" w:lineRule="auto"/>
            </w:pPr>
            <w:r>
              <w:rPr>
                <w:b/>
                <w:sz w:val="17"/>
              </w:rPr>
              <w:t>1,350.00</w:t>
            </w:r>
          </w:p>
        </w:tc>
        <w:tc>
          <w:tcPr>
            <w:tcW w:type="dxa" w:w="1461"/>
            <w:tcMar>
              <w:top w:w="60" w:type="dxa"/>
              <w:bottom w:w="60" w:type="dxa"/>
              <w:left w:w="80" w:type="dxa"/>
              <w:right w:w="80" w:type="dxa"/>
            </w:tcMar>
          </w:tcPr>
          <w:p>
            <w:pPr>
              <w:spacing w:line="252" w:lineRule="auto"/>
            </w:pPr>
            <w:r>
              <w:rPr>
                <w:sz w:val="17"/>
              </w:rPr>
              <w:t>Robu.in / QuartzComponents</w:t>
            </w:r>
          </w:p>
        </w:tc>
      </w:tr>
      <w:tr>
        <w:tc>
          <w:tcPr>
            <w:tcW w:type="dxa" w:w="1461"/>
            <w:tcMar>
              <w:top w:w="60" w:type="dxa"/>
              <w:bottom w:w="60" w:type="dxa"/>
              <w:left w:w="80" w:type="dxa"/>
              <w:right w:w="80" w:type="dxa"/>
            </w:tcMar>
          </w:tcPr>
          <w:p>
            <w:pPr>
              <w:spacing w:line="252" w:lineRule="auto"/>
            </w:pPr>
            <w:r>
              <w:rPr>
                <w:b/>
                <w:sz w:val="17"/>
              </w:rPr>
              <w:t>A2212 1000KV Brushless Motors (Set of 4)</w:t>
            </w:r>
          </w:p>
        </w:tc>
        <w:tc>
          <w:tcPr>
            <w:tcW w:type="dxa" w:w="1461"/>
            <w:tcMar>
              <w:top w:w="60" w:type="dxa"/>
              <w:bottom w:w="60" w:type="dxa"/>
              <w:left w:w="80" w:type="dxa"/>
              <w:right w:w="80" w:type="dxa"/>
            </w:tcMar>
          </w:tcPr>
          <w:p>
            <w:pPr>
              <w:spacing w:line="252" w:lineRule="auto"/>
            </w:pPr>
            <w:r>
              <w:rPr>
                <w:sz w:val="17"/>
              </w:rPr>
              <w:t>Propulsion</w:t>
            </w:r>
          </w:p>
        </w:tc>
        <w:tc>
          <w:tcPr>
            <w:tcW w:type="dxa" w:w="1461"/>
            <w:tcMar>
              <w:top w:w="60" w:type="dxa"/>
              <w:bottom w:w="60" w:type="dxa"/>
              <w:left w:w="80" w:type="dxa"/>
              <w:right w:w="80" w:type="dxa"/>
            </w:tcMar>
          </w:tcPr>
          <w:p>
            <w:pPr>
              <w:spacing w:line="252" w:lineRule="auto"/>
            </w:pPr>
            <w:r>
              <w:rPr>
                <w:sz w:val="17"/>
              </w:rPr>
              <w:t>1 set</w:t>
            </w:r>
          </w:p>
        </w:tc>
        <w:tc>
          <w:tcPr>
            <w:tcW w:type="dxa" w:w="1461"/>
            <w:tcMar>
              <w:top w:w="60" w:type="dxa"/>
              <w:bottom w:w="60" w:type="dxa"/>
              <w:left w:w="80" w:type="dxa"/>
              <w:right w:w="80" w:type="dxa"/>
            </w:tcMar>
          </w:tcPr>
          <w:p>
            <w:pPr>
              <w:spacing w:line="252" w:lineRule="auto"/>
            </w:pPr>
            <w:r>
              <w:rPr>
                <w:sz w:val="17"/>
              </w:rPr>
              <w:t>2,200.00</w:t>
            </w:r>
          </w:p>
        </w:tc>
        <w:tc>
          <w:tcPr>
            <w:tcW w:type="dxa" w:w="1461"/>
            <w:tcMar>
              <w:top w:w="60" w:type="dxa"/>
              <w:bottom w:w="60" w:type="dxa"/>
              <w:left w:w="80" w:type="dxa"/>
              <w:right w:w="80" w:type="dxa"/>
            </w:tcMar>
          </w:tcPr>
          <w:p>
            <w:pPr>
              <w:spacing w:line="252" w:lineRule="auto"/>
            </w:pPr>
            <w:r>
              <w:rPr>
                <w:sz w:val="17"/>
              </w:rPr>
              <w:t>2,100.00</w:t>
            </w:r>
          </w:p>
        </w:tc>
        <w:tc>
          <w:tcPr>
            <w:tcW w:type="dxa" w:w="1461"/>
            <w:tcMar>
              <w:top w:w="60" w:type="dxa"/>
              <w:bottom w:w="60" w:type="dxa"/>
              <w:left w:w="80" w:type="dxa"/>
              <w:right w:w="80" w:type="dxa"/>
            </w:tcMar>
          </w:tcPr>
          <w:p>
            <w:pPr>
              <w:spacing w:line="252" w:lineRule="auto"/>
            </w:pPr>
            <w:r>
              <w:rPr>
                <w:b/>
                <w:sz w:val="17"/>
              </w:rPr>
              <w:t>2,100.00</w:t>
            </w:r>
          </w:p>
        </w:tc>
        <w:tc>
          <w:tcPr>
            <w:tcW w:type="dxa" w:w="1461"/>
            <w:tcMar>
              <w:top w:w="60" w:type="dxa"/>
              <w:bottom w:w="60" w:type="dxa"/>
              <w:left w:w="80" w:type="dxa"/>
              <w:right w:w="80" w:type="dxa"/>
            </w:tcMar>
          </w:tcPr>
          <w:p>
            <w:pPr>
              <w:spacing w:line="252" w:lineRule="auto"/>
            </w:pPr>
            <w:r>
              <w:rPr>
                <w:sz w:val="17"/>
              </w:rPr>
              <w:t>Robu.in / In Stock</w:t>
            </w:r>
          </w:p>
        </w:tc>
      </w:tr>
      <w:tr>
        <w:tc>
          <w:tcPr>
            <w:tcW w:type="dxa" w:w="1461"/>
            <w:tcMar>
              <w:top w:w="60" w:type="dxa"/>
              <w:bottom w:w="60" w:type="dxa"/>
              <w:left w:w="80" w:type="dxa"/>
              <w:right w:w="80" w:type="dxa"/>
            </w:tcMar>
          </w:tcPr>
          <w:p>
            <w:pPr>
              <w:spacing w:line="252" w:lineRule="auto"/>
            </w:pPr>
            <w:r>
              <w:rPr>
                <w:b/>
                <w:sz w:val="17"/>
              </w:rPr>
              <w:t>30A SimonK ESC Speed Controllers (Set of 4)</w:t>
            </w:r>
          </w:p>
        </w:tc>
        <w:tc>
          <w:tcPr>
            <w:tcW w:type="dxa" w:w="1461"/>
            <w:tcMar>
              <w:top w:w="60" w:type="dxa"/>
              <w:bottom w:w="60" w:type="dxa"/>
              <w:left w:w="80" w:type="dxa"/>
              <w:right w:w="80" w:type="dxa"/>
            </w:tcMar>
          </w:tcPr>
          <w:p>
            <w:pPr>
              <w:spacing w:line="252" w:lineRule="auto"/>
            </w:pPr>
            <w:r>
              <w:rPr>
                <w:sz w:val="17"/>
              </w:rPr>
              <w:t>Propulsion</w:t>
            </w:r>
          </w:p>
        </w:tc>
        <w:tc>
          <w:tcPr>
            <w:tcW w:type="dxa" w:w="1461"/>
            <w:tcMar>
              <w:top w:w="60" w:type="dxa"/>
              <w:bottom w:w="60" w:type="dxa"/>
              <w:left w:w="80" w:type="dxa"/>
              <w:right w:w="80" w:type="dxa"/>
            </w:tcMar>
          </w:tcPr>
          <w:p>
            <w:pPr>
              <w:spacing w:line="252" w:lineRule="auto"/>
            </w:pPr>
            <w:r>
              <w:rPr>
                <w:sz w:val="17"/>
              </w:rPr>
              <w:t>1 set</w:t>
            </w:r>
          </w:p>
        </w:tc>
        <w:tc>
          <w:tcPr>
            <w:tcW w:type="dxa" w:w="1461"/>
            <w:tcMar>
              <w:top w:w="60" w:type="dxa"/>
              <w:bottom w:w="60" w:type="dxa"/>
              <w:left w:w="80" w:type="dxa"/>
              <w:right w:w="80" w:type="dxa"/>
            </w:tcMar>
          </w:tcPr>
          <w:p>
            <w:pPr>
              <w:spacing w:line="252" w:lineRule="auto"/>
            </w:pPr>
            <w:r>
              <w:rPr>
                <w:sz w:val="17"/>
              </w:rPr>
              <w:t>1,800.00</w:t>
            </w:r>
          </w:p>
        </w:tc>
        <w:tc>
          <w:tcPr>
            <w:tcW w:type="dxa" w:w="1461"/>
            <w:tcMar>
              <w:top w:w="60" w:type="dxa"/>
              <w:bottom w:w="60" w:type="dxa"/>
              <w:left w:w="80" w:type="dxa"/>
              <w:right w:w="80" w:type="dxa"/>
            </w:tcMar>
          </w:tcPr>
          <w:p>
            <w:pPr>
              <w:spacing w:line="252" w:lineRule="auto"/>
            </w:pPr>
            <w:r>
              <w:rPr>
                <w:sz w:val="17"/>
              </w:rPr>
              <w:t>1,750.00</w:t>
            </w:r>
          </w:p>
        </w:tc>
        <w:tc>
          <w:tcPr>
            <w:tcW w:type="dxa" w:w="1461"/>
            <w:tcMar>
              <w:top w:w="60" w:type="dxa"/>
              <w:bottom w:w="60" w:type="dxa"/>
              <w:left w:w="80" w:type="dxa"/>
              <w:right w:w="80" w:type="dxa"/>
            </w:tcMar>
          </w:tcPr>
          <w:p>
            <w:pPr>
              <w:spacing w:line="252" w:lineRule="auto"/>
            </w:pPr>
            <w:r>
              <w:rPr>
                <w:b/>
                <w:sz w:val="17"/>
              </w:rPr>
              <w:t>1,750.00</w:t>
            </w:r>
          </w:p>
        </w:tc>
        <w:tc>
          <w:tcPr>
            <w:tcW w:type="dxa" w:w="1461"/>
            <w:tcMar>
              <w:top w:w="60" w:type="dxa"/>
              <w:bottom w:w="60" w:type="dxa"/>
              <w:left w:w="80" w:type="dxa"/>
              <w:right w:w="80" w:type="dxa"/>
            </w:tcMar>
          </w:tcPr>
          <w:p>
            <w:pPr>
              <w:spacing w:line="252" w:lineRule="auto"/>
            </w:pPr>
            <w:r>
              <w:rPr>
                <w:sz w:val="17"/>
              </w:rPr>
              <w:t>Robu.in / In Stock</w:t>
            </w:r>
          </w:p>
        </w:tc>
      </w:tr>
      <w:tr>
        <w:tc>
          <w:tcPr>
            <w:tcW w:type="dxa" w:w="1461"/>
            <w:tcMar>
              <w:top w:w="60" w:type="dxa"/>
              <w:bottom w:w="60" w:type="dxa"/>
              <w:left w:w="80" w:type="dxa"/>
              <w:right w:w="80" w:type="dxa"/>
            </w:tcMar>
          </w:tcPr>
          <w:p>
            <w:pPr>
              <w:spacing w:line="252" w:lineRule="auto"/>
            </w:pPr>
            <w:r>
              <w:rPr>
                <w:b/>
                <w:sz w:val="17"/>
              </w:rPr>
              <w:t>1045 Propeller Pairs (CW + CCW, 2 pairs)</w:t>
            </w:r>
          </w:p>
        </w:tc>
        <w:tc>
          <w:tcPr>
            <w:tcW w:type="dxa" w:w="1461"/>
            <w:tcMar>
              <w:top w:w="60" w:type="dxa"/>
              <w:bottom w:w="60" w:type="dxa"/>
              <w:left w:w="80" w:type="dxa"/>
              <w:right w:w="80" w:type="dxa"/>
            </w:tcMar>
          </w:tcPr>
          <w:p>
            <w:pPr>
              <w:spacing w:line="252" w:lineRule="auto"/>
            </w:pPr>
            <w:r>
              <w:rPr>
                <w:sz w:val="17"/>
              </w:rPr>
              <w:t>Propulsion</w:t>
            </w:r>
          </w:p>
        </w:tc>
        <w:tc>
          <w:tcPr>
            <w:tcW w:type="dxa" w:w="1461"/>
            <w:tcMar>
              <w:top w:w="60" w:type="dxa"/>
              <w:bottom w:w="60" w:type="dxa"/>
              <w:left w:w="80" w:type="dxa"/>
              <w:right w:w="80" w:type="dxa"/>
            </w:tcMar>
          </w:tcPr>
          <w:p>
            <w:pPr>
              <w:spacing w:line="252" w:lineRule="auto"/>
            </w:pPr>
            <w:r>
              <w:rPr>
                <w:sz w:val="17"/>
              </w:rPr>
              <w:t>2 pairs</w:t>
            </w:r>
          </w:p>
        </w:tc>
        <w:tc>
          <w:tcPr>
            <w:tcW w:type="dxa" w:w="1461"/>
            <w:tcMar>
              <w:top w:w="60" w:type="dxa"/>
              <w:bottom w:w="60" w:type="dxa"/>
              <w:left w:w="80" w:type="dxa"/>
              <w:right w:w="80" w:type="dxa"/>
            </w:tcMar>
          </w:tcPr>
          <w:p>
            <w:pPr>
              <w:spacing w:line="252" w:lineRule="auto"/>
            </w:pPr>
            <w:r>
              <w:rPr>
                <w:sz w:val="17"/>
              </w:rPr>
              <w:t>280.00</w:t>
            </w:r>
          </w:p>
        </w:tc>
        <w:tc>
          <w:tcPr>
            <w:tcW w:type="dxa" w:w="1461"/>
            <w:tcMar>
              <w:top w:w="60" w:type="dxa"/>
              <w:bottom w:w="60" w:type="dxa"/>
              <w:left w:w="80" w:type="dxa"/>
              <w:right w:w="80" w:type="dxa"/>
            </w:tcMar>
          </w:tcPr>
          <w:p>
            <w:pPr>
              <w:spacing w:line="252" w:lineRule="auto"/>
            </w:pPr>
            <w:r>
              <w:rPr>
                <w:sz w:val="17"/>
              </w:rPr>
              <w:t>260.00</w:t>
            </w:r>
          </w:p>
        </w:tc>
        <w:tc>
          <w:tcPr>
            <w:tcW w:type="dxa" w:w="1461"/>
            <w:tcMar>
              <w:top w:w="60" w:type="dxa"/>
              <w:bottom w:w="60" w:type="dxa"/>
              <w:left w:w="80" w:type="dxa"/>
              <w:right w:w="80" w:type="dxa"/>
            </w:tcMar>
          </w:tcPr>
          <w:p>
            <w:pPr>
              <w:spacing w:line="252" w:lineRule="auto"/>
            </w:pPr>
            <w:r>
              <w:rPr>
                <w:b/>
                <w:sz w:val="17"/>
              </w:rPr>
              <w:t>260.00</w:t>
            </w:r>
          </w:p>
        </w:tc>
        <w:tc>
          <w:tcPr>
            <w:tcW w:type="dxa" w:w="1461"/>
            <w:tcMar>
              <w:top w:w="60" w:type="dxa"/>
              <w:bottom w:w="60" w:type="dxa"/>
              <w:left w:w="80" w:type="dxa"/>
              <w:right w:w="80" w:type="dxa"/>
            </w:tcMar>
          </w:tcPr>
          <w:p>
            <w:pPr>
              <w:spacing w:line="252" w:lineRule="auto"/>
            </w:pPr>
            <w:r>
              <w:rPr>
                <w:sz w:val="17"/>
              </w:rPr>
              <w:t>Robu.in / In Stock</w:t>
            </w:r>
          </w:p>
        </w:tc>
      </w:tr>
      <w:tr>
        <w:tc>
          <w:tcPr>
            <w:tcW w:type="dxa" w:w="1461"/>
            <w:tcMar>
              <w:top w:w="60" w:type="dxa"/>
              <w:bottom w:w="60" w:type="dxa"/>
              <w:left w:w="80" w:type="dxa"/>
              <w:right w:w="80" w:type="dxa"/>
            </w:tcMar>
          </w:tcPr>
          <w:p>
            <w:pPr>
              <w:spacing w:line="252" w:lineRule="auto"/>
            </w:pPr>
            <w:r>
              <w:rPr>
                <w:b/>
                <w:sz w:val="17"/>
              </w:rPr>
              <w:t>Orange 3S 11.1V 4200mAh 30C LiPo Battery</w:t>
            </w:r>
          </w:p>
        </w:tc>
        <w:tc>
          <w:tcPr>
            <w:tcW w:type="dxa" w:w="1461"/>
            <w:tcMar>
              <w:top w:w="60" w:type="dxa"/>
              <w:bottom w:w="60" w:type="dxa"/>
              <w:left w:w="80" w:type="dxa"/>
              <w:right w:w="80" w:type="dxa"/>
            </w:tcMar>
          </w:tcPr>
          <w:p>
            <w:pPr>
              <w:spacing w:line="252" w:lineRule="auto"/>
            </w:pPr>
            <w:r>
              <w:rPr>
                <w:sz w:val="17"/>
              </w:rPr>
              <w:t>Power Storage</w:t>
            </w:r>
          </w:p>
        </w:tc>
        <w:tc>
          <w:tcPr>
            <w:tcW w:type="dxa" w:w="1461"/>
            <w:tcMar>
              <w:top w:w="60" w:type="dxa"/>
              <w:bottom w:w="60" w:type="dxa"/>
              <w:left w:w="80" w:type="dxa"/>
              <w:right w:w="80" w:type="dxa"/>
            </w:tcMar>
          </w:tcPr>
          <w:p>
            <w:pPr>
              <w:spacing w:line="252" w:lineRule="auto"/>
            </w:pPr>
            <w:r>
              <w:rPr>
                <w:sz w:val="17"/>
              </w:rPr>
              <w:t>1</w:t>
            </w:r>
          </w:p>
        </w:tc>
        <w:tc>
          <w:tcPr>
            <w:tcW w:type="dxa" w:w="1461"/>
            <w:tcMar>
              <w:top w:w="60" w:type="dxa"/>
              <w:bottom w:w="60" w:type="dxa"/>
              <w:left w:w="80" w:type="dxa"/>
              <w:right w:w="80" w:type="dxa"/>
            </w:tcMar>
          </w:tcPr>
          <w:p>
            <w:pPr>
              <w:spacing w:line="252" w:lineRule="auto"/>
            </w:pPr>
            <w:r>
              <w:rPr>
                <w:sz w:val="17"/>
              </w:rPr>
              <w:t>2,950.00</w:t>
            </w:r>
          </w:p>
        </w:tc>
        <w:tc>
          <w:tcPr>
            <w:tcW w:type="dxa" w:w="1461"/>
            <w:tcMar>
              <w:top w:w="60" w:type="dxa"/>
              <w:bottom w:w="60" w:type="dxa"/>
              <w:left w:w="80" w:type="dxa"/>
              <w:right w:w="80" w:type="dxa"/>
            </w:tcMar>
          </w:tcPr>
          <w:p>
            <w:pPr>
              <w:spacing w:line="252" w:lineRule="auto"/>
            </w:pPr>
            <w:r>
              <w:rPr>
                <w:sz w:val="17"/>
              </w:rPr>
              <w:t>2,850.00</w:t>
            </w:r>
          </w:p>
        </w:tc>
        <w:tc>
          <w:tcPr>
            <w:tcW w:type="dxa" w:w="1461"/>
            <w:tcMar>
              <w:top w:w="60" w:type="dxa"/>
              <w:bottom w:w="60" w:type="dxa"/>
              <w:left w:w="80" w:type="dxa"/>
              <w:right w:w="80" w:type="dxa"/>
            </w:tcMar>
          </w:tcPr>
          <w:p>
            <w:pPr>
              <w:spacing w:line="252" w:lineRule="auto"/>
            </w:pPr>
            <w:r>
              <w:rPr>
                <w:b/>
                <w:sz w:val="17"/>
              </w:rPr>
              <w:t>2,850.00</w:t>
            </w:r>
          </w:p>
        </w:tc>
        <w:tc>
          <w:tcPr>
            <w:tcW w:type="dxa" w:w="1461"/>
            <w:tcMar>
              <w:top w:w="60" w:type="dxa"/>
              <w:bottom w:w="60" w:type="dxa"/>
              <w:left w:w="80" w:type="dxa"/>
              <w:right w:w="80" w:type="dxa"/>
            </w:tcMar>
          </w:tcPr>
          <w:p>
            <w:pPr>
              <w:spacing w:line="252" w:lineRule="auto"/>
            </w:pPr>
            <w:r>
              <w:rPr>
                <w:sz w:val="17"/>
              </w:rPr>
              <w:t>Robu.in / In Stock</w:t>
            </w:r>
          </w:p>
        </w:tc>
      </w:tr>
      <w:tr>
        <w:tc>
          <w:tcPr>
            <w:tcW w:type="dxa" w:w="1461"/>
            <w:tcMar>
              <w:top w:w="60" w:type="dxa"/>
              <w:bottom w:w="60" w:type="dxa"/>
              <w:left w:w="80" w:type="dxa"/>
              <w:right w:w="80" w:type="dxa"/>
            </w:tcMar>
          </w:tcPr>
          <w:p>
            <w:pPr>
              <w:spacing w:line="252" w:lineRule="auto"/>
            </w:pPr>
            <w:r>
              <w:rPr>
                <w:b/>
                <w:sz w:val="17"/>
              </w:rPr>
              <w:t>iMAX B6 80W LiPo Balance Charger + Adapter</w:t>
            </w:r>
          </w:p>
        </w:tc>
        <w:tc>
          <w:tcPr>
            <w:tcW w:type="dxa" w:w="1461"/>
            <w:tcMar>
              <w:top w:w="60" w:type="dxa"/>
              <w:bottom w:w="60" w:type="dxa"/>
              <w:left w:w="80" w:type="dxa"/>
              <w:right w:w="80" w:type="dxa"/>
            </w:tcMar>
          </w:tcPr>
          <w:p>
            <w:pPr>
              <w:spacing w:line="252" w:lineRule="auto"/>
            </w:pPr>
            <w:r>
              <w:rPr>
                <w:sz w:val="17"/>
              </w:rPr>
              <w:t>Power Equipment</w:t>
            </w:r>
          </w:p>
        </w:tc>
        <w:tc>
          <w:tcPr>
            <w:tcW w:type="dxa" w:w="1461"/>
            <w:tcMar>
              <w:top w:w="60" w:type="dxa"/>
              <w:bottom w:w="60" w:type="dxa"/>
              <w:left w:w="80" w:type="dxa"/>
              <w:right w:w="80" w:type="dxa"/>
            </w:tcMar>
          </w:tcPr>
          <w:p>
            <w:pPr>
              <w:spacing w:line="252" w:lineRule="auto"/>
            </w:pPr>
            <w:r>
              <w:rPr>
                <w:sz w:val="17"/>
              </w:rPr>
              <w:t>1</w:t>
            </w:r>
          </w:p>
        </w:tc>
        <w:tc>
          <w:tcPr>
            <w:tcW w:type="dxa" w:w="1461"/>
            <w:tcMar>
              <w:top w:w="60" w:type="dxa"/>
              <w:bottom w:w="60" w:type="dxa"/>
              <w:left w:w="80" w:type="dxa"/>
              <w:right w:w="80" w:type="dxa"/>
            </w:tcMar>
          </w:tcPr>
          <w:p>
            <w:pPr>
              <w:spacing w:line="252" w:lineRule="auto"/>
            </w:pPr>
            <w:r>
              <w:rPr>
                <w:sz w:val="17"/>
              </w:rPr>
              <w:t>1,650.00</w:t>
            </w:r>
          </w:p>
        </w:tc>
        <w:tc>
          <w:tcPr>
            <w:tcW w:type="dxa" w:w="1461"/>
            <w:tcMar>
              <w:top w:w="60" w:type="dxa"/>
              <w:bottom w:w="60" w:type="dxa"/>
              <w:left w:w="80" w:type="dxa"/>
              <w:right w:w="80" w:type="dxa"/>
            </w:tcMar>
          </w:tcPr>
          <w:p>
            <w:pPr>
              <w:spacing w:line="252" w:lineRule="auto"/>
            </w:pPr>
            <w:r>
              <w:rPr>
                <w:sz w:val="17"/>
              </w:rPr>
              <w:t>1,580.00</w:t>
            </w:r>
          </w:p>
        </w:tc>
        <w:tc>
          <w:tcPr>
            <w:tcW w:type="dxa" w:w="1461"/>
            <w:tcMar>
              <w:top w:w="60" w:type="dxa"/>
              <w:bottom w:w="60" w:type="dxa"/>
              <w:left w:w="80" w:type="dxa"/>
              <w:right w:w="80" w:type="dxa"/>
            </w:tcMar>
          </w:tcPr>
          <w:p>
            <w:pPr>
              <w:spacing w:line="252" w:lineRule="auto"/>
            </w:pPr>
            <w:r>
              <w:rPr>
                <w:b/>
                <w:sz w:val="17"/>
              </w:rPr>
              <w:t>1,580.00</w:t>
            </w:r>
          </w:p>
        </w:tc>
        <w:tc>
          <w:tcPr>
            <w:tcW w:type="dxa" w:w="1461"/>
            <w:tcMar>
              <w:top w:w="60" w:type="dxa"/>
              <w:bottom w:w="60" w:type="dxa"/>
              <w:left w:w="80" w:type="dxa"/>
              <w:right w:w="80" w:type="dxa"/>
            </w:tcMar>
          </w:tcPr>
          <w:p>
            <w:pPr>
              <w:spacing w:line="252" w:lineRule="auto"/>
            </w:pPr>
            <w:r>
              <w:rPr>
                <w:sz w:val="17"/>
              </w:rPr>
              <w:t>Robu.in / QuartzComponents</w:t>
            </w:r>
          </w:p>
        </w:tc>
      </w:tr>
      <w:tr>
        <w:tc>
          <w:tcPr>
            <w:tcW w:type="dxa" w:w="1461"/>
            <w:tcMar>
              <w:top w:w="60" w:type="dxa"/>
              <w:bottom w:w="60" w:type="dxa"/>
              <w:left w:w="80" w:type="dxa"/>
              <w:right w:w="80" w:type="dxa"/>
            </w:tcMar>
          </w:tcPr>
          <w:p>
            <w:pPr>
              <w:spacing w:line="252" w:lineRule="auto"/>
            </w:pPr>
            <w:r>
              <w:rPr>
                <w:b/>
                <w:sz w:val="17"/>
              </w:rPr>
              <w:t>Pixhawk 2.4.8 Flight Controller + M8N GPS + Telemetry</w:t>
            </w:r>
          </w:p>
        </w:tc>
        <w:tc>
          <w:tcPr>
            <w:tcW w:type="dxa" w:w="1461"/>
            <w:tcMar>
              <w:top w:w="60" w:type="dxa"/>
              <w:bottom w:w="60" w:type="dxa"/>
              <w:left w:w="80" w:type="dxa"/>
              <w:right w:w="80" w:type="dxa"/>
            </w:tcMar>
          </w:tcPr>
          <w:p>
            <w:pPr>
              <w:spacing w:line="252" w:lineRule="auto"/>
            </w:pPr>
            <w:r>
              <w:rPr>
                <w:sz w:val="17"/>
              </w:rPr>
              <w:t>Avionics Autopilot</w:t>
            </w:r>
          </w:p>
        </w:tc>
        <w:tc>
          <w:tcPr>
            <w:tcW w:type="dxa" w:w="1461"/>
            <w:tcMar>
              <w:top w:w="60" w:type="dxa"/>
              <w:bottom w:w="60" w:type="dxa"/>
              <w:left w:w="80" w:type="dxa"/>
              <w:right w:w="80" w:type="dxa"/>
            </w:tcMar>
          </w:tcPr>
          <w:p>
            <w:pPr>
              <w:spacing w:line="252" w:lineRule="auto"/>
            </w:pPr>
            <w:r>
              <w:rPr>
                <w:sz w:val="17"/>
              </w:rPr>
              <w:t>1 kit</w:t>
            </w:r>
          </w:p>
        </w:tc>
        <w:tc>
          <w:tcPr>
            <w:tcW w:type="dxa" w:w="1461"/>
            <w:tcMar>
              <w:top w:w="60" w:type="dxa"/>
              <w:bottom w:w="60" w:type="dxa"/>
              <w:left w:w="80" w:type="dxa"/>
              <w:right w:w="80" w:type="dxa"/>
            </w:tcMar>
          </w:tcPr>
          <w:p>
            <w:pPr>
              <w:spacing w:line="252" w:lineRule="auto"/>
            </w:pPr>
            <w:r>
              <w:rPr>
                <w:sz w:val="17"/>
              </w:rPr>
              <w:t>6,200.00</w:t>
            </w:r>
          </w:p>
        </w:tc>
        <w:tc>
          <w:tcPr>
            <w:tcW w:type="dxa" w:w="1461"/>
            <w:tcMar>
              <w:top w:w="60" w:type="dxa"/>
              <w:bottom w:w="60" w:type="dxa"/>
              <w:left w:w="80" w:type="dxa"/>
              <w:right w:w="80" w:type="dxa"/>
            </w:tcMar>
          </w:tcPr>
          <w:p>
            <w:pPr>
              <w:spacing w:line="252" w:lineRule="auto"/>
            </w:pPr>
            <w:r>
              <w:rPr>
                <w:sz w:val="17"/>
              </w:rPr>
              <w:t>5,950.00</w:t>
            </w:r>
          </w:p>
        </w:tc>
        <w:tc>
          <w:tcPr>
            <w:tcW w:type="dxa" w:w="1461"/>
            <w:tcMar>
              <w:top w:w="60" w:type="dxa"/>
              <w:bottom w:w="60" w:type="dxa"/>
              <w:left w:w="80" w:type="dxa"/>
              <w:right w:w="80" w:type="dxa"/>
            </w:tcMar>
          </w:tcPr>
          <w:p>
            <w:pPr>
              <w:spacing w:line="252" w:lineRule="auto"/>
            </w:pPr>
            <w:r>
              <w:rPr>
                <w:b/>
                <w:sz w:val="17"/>
              </w:rPr>
              <w:t>5,950.00</w:t>
            </w:r>
          </w:p>
        </w:tc>
        <w:tc>
          <w:tcPr>
            <w:tcW w:type="dxa" w:w="1461"/>
            <w:tcMar>
              <w:top w:w="60" w:type="dxa"/>
              <w:bottom w:w="60" w:type="dxa"/>
              <w:left w:w="80" w:type="dxa"/>
              <w:right w:w="80" w:type="dxa"/>
            </w:tcMar>
          </w:tcPr>
          <w:p>
            <w:pPr>
              <w:spacing w:line="252" w:lineRule="auto"/>
            </w:pPr>
            <w:r>
              <w:rPr>
                <w:sz w:val="17"/>
              </w:rPr>
              <w:t>Robu.in / Silverline</w:t>
            </w:r>
          </w:p>
        </w:tc>
      </w:tr>
      <w:tr>
        <w:tc>
          <w:tcPr>
            <w:tcW w:type="dxa" w:w="1461"/>
            <w:tcMar>
              <w:top w:w="60" w:type="dxa"/>
              <w:bottom w:w="60" w:type="dxa"/>
              <w:left w:w="80" w:type="dxa"/>
              <w:right w:w="80" w:type="dxa"/>
            </w:tcMar>
          </w:tcPr>
          <w:p>
            <w:pPr>
              <w:spacing w:line="252" w:lineRule="auto"/>
            </w:pPr>
            <w:r>
              <w:rPr>
                <w:b/>
                <w:sz w:val="17"/>
              </w:rPr>
              <w:t>ESP32-WROOM-32 Development Board</w:t>
            </w:r>
          </w:p>
        </w:tc>
        <w:tc>
          <w:tcPr>
            <w:tcW w:type="dxa" w:w="1461"/>
            <w:tcMar>
              <w:top w:w="60" w:type="dxa"/>
              <w:bottom w:w="60" w:type="dxa"/>
              <w:left w:w="80" w:type="dxa"/>
              <w:right w:w="80" w:type="dxa"/>
            </w:tcMar>
          </w:tcPr>
          <w:p>
            <w:pPr>
              <w:spacing w:line="252" w:lineRule="auto"/>
            </w:pPr>
            <w:r>
              <w:rPr>
                <w:sz w:val="17"/>
              </w:rPr>
              <w:t>Embedded MCU</w:t>
            </w:r>
          </w:p>
        </w:tc>
        <w:tc>
          <w:tcPr>
            <w:tcW w:type="dxa" w:w="1461"/>
            <w:tcMar>
              <w:top w:w="60" w:type="dxa"/>
              <w:bottom w:w="60" w:type="dxa"/>
              <w:left w:w="80" w:type="dxa"/>
              <w:right w:w="80" w:type="dxa"/>
            </w:tcMar>
          </w:tcPr>
          <w:p>
            <w:pPr>
              <w:spacing w:line="252" w:lineRule="auto"/>
            </w:pPr>
            <w:r>
              <w:rPr>
                <w:sz w:val="17"/>
              </w:rPr>
              <w:t>1</w:t>
            </w:r>
          </w:p>
        </w:tc>
        <w:tc>
          <w:tcPr>
            <w:tcW w:type="dxa" w:w="1461"/>
            <w:tcMar>
              <w:top w:w="60" w:type="dxa"/>
              <w:bottom w:w="60" w:type="dxa"/>
              <w:left w:w="80" w:type="dxa"/>
              <w:right w:w="80" w:type="dxa"/>
            </w:tcMar>
          </w:tcPr>
          <w:p>
            <w:pPr>
              <w:spacing w:line="252" w:lineRule="auto"/>
            </w:pPr>
            <w:r>
              <w:rPr>
                <w:sz w:val="17"/>
              </w:rPr>
              <w:t>420.00</w:t>
            </w:r>
          </w:p>
        </w:tc>
        <w:tc>
          <w:tcPr>
            <w:tcW w:type="dxa" w:w="1461"/>
            <w:tcMar>
              <w:top w:w="60" w:type="dxa"/>
              <w:bottom w:w="60" w:type="dxa"/>
              <w:left w:w="80" w:type="dxa"/>
              <w:right w:w="80" w:type="dxa"/>
            </w:tcMar>
          </w:tcPr>
          <w:p>
            <w:pPr>
              <w:spacing w:line="252" w:lineRule="auto"/>
            </w:pPr>
            <w:r>
              <w:rPr>
                <w:sz w:val="17"/>
              </w:rPr>
              <w:t>380.00</w:t>
            </w:r>
          </w:p>
        </w:tc>
        <w:tc>
          <w:tcPr>
            <w:tcW w:type="dxa" w:w="1461"/>
            <w:tcMar>
              <w:top w:w="60" w:type="dxa"/>
              <w:bottom w:w="60" w:type="dxa"/>
              <w:left w:w="80" w:type="dxa"/>
              <w:right w:w="80" w:type="dxa"/>
            </w:tcMar>
          </w:tcPr>
          <w:p>
            <w:pPr>
              <w:spacing w:line="252" w:lineRule="auto"/>
            </w:pPr>
            <w:r>
              <w:rPr>
                <w:b/>
                <w:sz w:val="17"/>
              </w:rPr>
              <w:t>380.00</w:t>
            </w:r>
          </w:p>
        </w:tc>
        <w:tc>
          <w:tcPr>
            <w:tcW w:type="dxa" w:w="1461"/>
            <w:tcMar>
              <w:top w:w="60" w:type="dxa"/>
              <w:bottom w:w="60" w:type="dxa"/>
              <w:left w:w="80" w:type="dxa"/>
              <w:right w:w="80" w:type="dxa"/>
            </w:tcMar>
          </w:tcPr>
          <w:p>
            <w:pPr>
              <w:spacing w:line="252" w:lineRule="auto"/>
            </w:pPr>
            <w:r>
              <w:rPr>
                <w:sz w:val="17"/>
              </w:rPr>
              <w:t>Robu.in / In Stock</w:t>
            </w:r>
          </w:p>
        </w:tc>
      </w:tr>
      <w:tr>
        <w:tc>
          <w:tcPr>
            <w:tcW w:type="dxa" w:w="1461"/>
            <w:tcMar>
              <w:top w:w="60" w:type="dxa"/>
              <w:bottom w:w="60" w:type="dxa"/>
              <w:left w:w="80" w:type="dxa"/>
              <w:right w:w="80" w:type="dxa"/>
            </w:tcMar>
          </w:tcPr>
          <w:p>
            <w:pPr>
              <w:spacing w:line="252" w:lineRule="auto"/>
            </w:pPr>
            <w:r>
              <w:rPr>
                <w:b/>
                <w:sz w:val="17"/>
              </w:rPr>
              <w:t>LM2596 DC-DC Buck Step-Down Voltage Regulator</w:t>
            </w:r>
          </w:p>
        </w:tc>
        <w:tc>
          <w:tcPr>
            <w:tcW w:type="dxa" w:w="1461"/>
            <w:tcMar>
              <w:top w:w="60" w:type="dxa"/>
              <w:bottom w:w="60" w:type="dxa"/>
              <w:left w:w="80" w:type="dxa"/>
              <w:right w:w="80" w:type="dxa"/>
            </w:tcMar>
          </w:tcPr>
          <w:p>
            <w:pPr>
              <w:spacing w:line="252" w:lineRule="auto"/>
            </w:pPr>
            <w:r>
              <w:rPr>
                <w:sz w:val="17"/>
              </w:rPr>
              <w:t>Power Management</w:t>
            </w:r>
          </w:p>
        </w:tc>
        <w:tc>
          <w:tcPr>
            <w:tcW w:type="dxa" w:w="1461"/>
            <w:tcMar>
              <w:top w:w="60" w:type="dxa"/>
              <w:bottom w:w="60" w:type="dxa"/>
              <w:left w:w="80" w:type="dxa"/>
              <w:right w:w="80" w:type="dxa"/>
            </w:tcMar>
          </w:tcPr>
          <w:p>
            <w:pPr>
              <w:spacing w:line="252" w:lineRule="auto"/>
            </w:pPr>
            <w:r>
              <w:rPr>
                <w:sz w:val="17"/>
              </w:rPr>
              <w:t>2</w:t>
            </w:r>
          </w:p>
        </w:tc>
        <w:tc>
          <w:tcPr>
            <w:tcW w:type="dxa" w:w="1461"/>
            <w:tcMar>
              <w:top w:w="60" w:type="dxa"/>
              <w:bottom w:w="60" w:type="dxa"/>
              <w:left w:w="80" w:type="dxa"/>
              <w:right w:w="80" w:type="dxa"/>
            </w:tcMar>
          </w:tcPr>
          <w:p>
            <w:pPr>
              <w:spacing w:line="252" w:lineRule="auto"/>
            </w:pPr>
            <w:r>
              <w:rPr>
                <w:sz w:val="17"/>
              </w:rPr>
              <w:t>260.00</w:t>
            </w:r>
          </w:p>
        </w:tc>
        <w:tc>
          <w:tcPr>
            <w:tcW w:type="dxa" w:w="1461"/>
            <w:tcMar>
              <w:top w:w="60" w:type="dxa"/>
              <w:bottom w:w="60" w:type="dxa"/>
              <w:left w:w="80" w:type="dxa"/>
              <w:right w:w="80" w:type="dxa"/>
            </w:tcMar>
          </w:tcPr>
          <w:p>
            <w:pPr>
              <w:spacing w:line="252" w:lineRule="auto"/>
            </w:pPr>
            <w:r>
              <w:rPr>
                <w:sz w:val="17"/>
              </w:rPr>
              <w:t>240.00</w:t>
            </w:r>
          </w:p>
        </w:tc>
        <w:tc>
          <w:tcPr>
            <w:tcW w:type="dxa" w:w="1461"/>
            <w:tcMar>
              <w:top w:w="60" w:type="dxa"/>
              <w:bottom w:w="60" w:type="dxa"/>
              <w:left w:w="80" w:type="dxa"/>
              <w:right w:w="80" w:type="dxa"/>
            </w:tcMar>
          </w:tcPr>
          <w:p>
            <w:pPr>
              <w:spacing w:line="252" w:lineRule="auto"/>
            </w:pPr>
            <w:r>
              <w:rPr>
                <w:b/>
                <w:sz w:val="17"/>
              </w:rPr>
              <w:t>240.00</w:t>
            </w:r>
          </w:p>
        </w:tc>
        <w:tc>
          <w:tcPr>
            <w:tcW w:type="dxa" w:w="1461"/>
            <w:tcMar>
              <w:top w:w="60" w:type="dxa"/>
              <w:bottom w:w="60" w:type="dxa"/>
              <w:left w:w="80" w:type="dxa"/>
              <w:right w:w="80" w:type="dxa"/>
            </w:tcMar>
          </w:tcPr>
          <w:p>
            <w:pPr>
              <w:spacing w:line="252" w:lineRule="auto"/>
            </w:pPr>
            <w:r>
              <w:rPr>
                <w:sz w:val="17"/>
              </w:rPr>
              <w:t>Robu.in / QuartzComponents</w:t>
            </w:r>
          </w:p>
        </w:tc>
      </w:tr>
      <w:tr>
        <w:tc>
          <w:tcPr>
            <w:tcW w:type="dxa" w:w="1461"/>
            <w:tcMar>
              <w:top w:w="60" w:type="dxa"/>
              <w:bottom w:w="60" w:type="dxa"/>
              <w:left w:w="80" w:type="dxa"/>
              <w:right w:w="80" w:type="dxa"/>
            </w:tcMar>
          </w:tcPr>
          <w:p>
            <w:pPr>
              <w:spacing w:line="252" w:lineRule="auto"/>
            </w:pPr>
            <w:r>
              <w:rPr>
                <w:b/>
                <w:sz w:val="17"/>
              </w:rPr>
              <w:t>Vibration Damper Mounts + Silicone Standoffs</w:t>
            </w:r>
          </w:p>
        </w:tc>
        <w:tc>
          <w:tcPr>
            <w:tcW w:type="dxa" w:w="1461"/>
            <w:tcMar>
              <w:top w:w="60" w:type="dxa"/>
              <w:bottom w:w="60" w:type="dxa"/>
              <w:left w:w="80" w:type="dxa"/>
              <w:right w:w="80" w:type="dxa"/>
            </w:tcMar>
          </w:tcPr>
          <w:p>
            <w:pPr>
              <w:spacing w:line="252" w:lineRule="auto"/>
            </w:pPr>
            <w:r>
              <w:rPr>
                <w:sz w:val="17"/>
              </w:rPr>
              <w:t>Mechanical Mount</w:t>
            </w:r>
          </w:p>
        </w:tc>
        <w:tc>
          <w:tcPr>
            <w:tcW w:type="dxa" w:w="1461"/>
            <w:tcMar>
              <w:top w:w="60" w:type="dxa"/>
              <w:bottom w:w="60" w:type="dxa"/>
              <w:left w:w="80" w:type="dxa"/>
              <w:right w:w="80" w:type="dxa"/>
            </w:tcMar>
          </w:tcPr>
          <w:p>
            <w:pPr>
              <w:spacing w:line="252" w:lineRule="auto"/>
            </w:pPr>
            <w:r>
              <w:rPr>
                <w:sz w:val="17"/>
              </w:rPr>
              <w:t>1 set</w:t>
            </w:r>
          </w:p>
        </w:tc>
        <w:tc>
          <w:tcPr>
            <w:tcW w:type="dxa" w:w="1461"/>
            <w:tcMar>
              <w:top w:w="60" w:type="dxa"/>
              <w:bottom w:w="60" w:type="dxa"/>
              <w:left w:w="80" w:type="dxa"/>
              <w:right w:w="80" w:type="dxa"/>
            </w:tcMar>
          </w:tcPr>
          <w:p>
            <w:pPr>
              <w:spacing w:line="252" w:lineRule="auto"/>
            </w:pPr>
            <w:r>
              <w:rPr>
                <w:sz w:val="17"/>
              </w:rPr>
              <w:t>280.00</w:t>
            </w:r>
          </w:p>
        </w:tc>
        <w:tc>
          <w:tcPr>
            <w:tcW w:type="dxa" w:w="1461"/>
            <w:tcMar>
              <w:top w:w="60" w:type="dxa"/>
              <w:bottom w:w="60" w:type="dxa"/>
              <w:left w:w="80" w:type="dxa"/>
              <w:right w:w="80" w:type="dxa"/>
            </w:tcMar>
          </w:tcPr>
          <w:p>
            <w:pPr>
              <w:spacing w:line="252" w:lineRule="auto"/>
            </w:pPr>
            <w:r>
              <w:rPr>
                <w:sz w:val="17"/>
              </w:rPr>
              <w:t>250.00</w:t>
            </w:r>
          </w:p>
        </w:tc>
        <w:tc>
          <w:tcPr>
            <w:tcW w:type="dxa" w:w="1461"/>
            <w:tcMar>
              <w:top w:w="60" w:type="dxa"/>
              <w:bottom w:w="60" w:type="dxa"/>
              <w:left w:w="80" w:type="dxa"/>
              <w:right w:w="80" w:type="dxa"/>
            </w:tcMar>
          </w:tcPr>
          <w:p>
            <w:pPr>
              <w:spacing w:line="252" w:lineRule="auto"/>
            </w:pPr>
            <w:r>
              <w:rPr>
                <w:b/>
                <w:sz w:val="17"/>
              </w:rPr>
              <w:t>250.00</w:t>
            </w:r>
          </w:p>
        </w:tc>
        <w:tc>
          <w:tcPr>
            <w:tcW w:type="dxa" w:w="1461"/>
            <w:tcMar>
              <w:top w:w="60" w:type="dxa"/>
              <w:bottom w:w="60" w:type="dxa"/>
              <w:left w:w="80" w:type="dxa"/>
              <w:right w:w="80" w:type="dxa"/>
            </w:tcMar>
          </w:tcPr>
          <w:p>
            <w:pPr>
              <w:spacing w:line="252" w:lineRule="auto"/>
            </w:pPr>
            <w:r>
              <w:rPr>
                <w:sz w:val="17"/>
              </w:rPr>
              <w:t>Robu.in / In Stock</w:t>
            </w:r>
          </w:p>
        </w:tc>
      </w:tr>
      <w:tr>
        <w:tc>
          <w:tcPr>
            <w:tcW w:type="dxa" w:w="1461"/>
            <w:tcMar>
              <w:top w:w="60" w:type="dxa"/>
              <w:bottom w:w="60" w:type="dxa"/>
              <w:left w:w="80" w:type="dxa"/>
              <w:right w:w="80" w:type="dxa"/>
            </w:tcMar>
          </w:tcPr>
          <w:p>
            <w:pPr>
              <w:spacing w:line="252" w:lineRule="auto"/>
            </w:pPr>
            <w:r>
              <w:rPr>
                <w:b/>
                <w:sz w:val="17"/>
              </w:rPr>
              <w:t>XT60 Connectors, 16AWG Silicon Wire &amp; Hardware</w:t>
            </w:r>
          </w:p>
        </w:tc>
        <w:tc>
          <w:tcPr>
            <w:tcW w:type="dxa" w:w="1461"/>
            <w:tcMar>
              <w:top w:w="60" w:type="dxa"/>
              <w:bottom w:w="60" w:type="dxa"/>
              <w:left w:w="80" w:type="dxa"/>
              <w:right w:w="80" w:type="dxa"/>
            </w:tcMar>
          </w:tcPr>
          <w:p>
            <w:pPr>
              <w:spacing w:line="252" w:lineRule="auto"/>
            </w:pPr>
            <w:r>
              <w:rPr>
                <w:sz w:val="17"/>
              </w:rPr>
              <w:t>Wiring Harness</w:t>
            </w:r>
          </w:p>
        </w:tc>
        <w:tc>
          <w:tcPr>
            <w:tcW w:type="dxa" w:w="1461"/>
            <w:tcMar>
              <w:top w:w="60" w:type="dxa"/>
              <w:bottom w:w="60" w:type="dxa"/>
              <w:left w:w="80" w:type="dxa"/>
              <w:right w:w="80" w:type="dxa"/>
            </w:tcMar>
          </w:tcPr>
          <w:p>
            <w:pPr>
              <w:spacing w:line="252" w:lineRule="auto"/>
            </w:pPr>
            <w:r>
              <w:rPr>
                <w:sz w:val="17"/>
              </w:rPr>
              <w:t>1 lot</w:t>
            </w:r>
          </w:p>
        </w:tc>
        <w:tc>
          <w:tcPr>
            <w:tcW w:type="dxa" w:w="1461"/>
            <w:tcMar>
              <w:top w:w="60" w:type="dxa"/>
              <w:bottom w:w="60" w:type="dxa"/>
              <w:left w:w="80" w:type="dxa"/>
              <w:right w:w="80" w:type="dxa"/>
            </w:tcMar>
          </w:tcPr>
          <w:p>
            <w:pPr>
              <w:spacing w:line="252" w:lineRule="auto"/>
            </w:pPr>
            <w:r>
              <w:rPr>
                <w:sz w:val="17"/>
              </w:rPr>
              <w:t>350.00</w:t>
            </w:r>
          </w:p>
        </w:tc>
        <w:tc>
          <w:tcPr>
            <w:tcW w:type="dxa" w:w="1461"/>
            <w:tcMar>
              <w:top w:w="60" w:type="dxa"/>
              <w:bottom w:w="60" w:type="dxa"/>
              <w:left w:w="80" w:type="dxa"/>
              <w:right w:w="80" w:type="dxa"/>
            </w:tcMar>
          </w:tcPr>
          <w:p>
            <w:pPr>
              <w:spacing w:line="252" w:lineRule="auto"/>
            </w:pPr>
            <w:r>
              <w:rPr>
                <w:sz w:val="17"/>
              </w:rPr>
              <w:t>320.00</w:t>
            </w:r>
          </w:p>
        </w:tc>
        <w:tc>
          <w:tcPr>
            <w:tcW w:type="dxa" w:w="1461"/>
            <w:tcMar>
              <w:top w:w="60" w:type="dxa"/>
              <w:bottom w:w="60" w:type="dxa"/>
              <w:left w:w="80" w:type="dxa"/>
              <w:right w:w="80" w:type="dxa"/>
            </w:tcMar>
          </w:tcPr>
          <w:p>
            <w:pPr>
              <w:spacing w:line="252" w:lineRule="auto"/>
            </w:pPr>
            <w:r>
              <w:rPr>
                <w:b/>
                <w:sz w:val="17"/>
              </w:rPr>
              <w:t>320.00</w:t>
            </w:r>
          </w:p>
        </w:tc>
        <w:tc>
          <w:tcPr>
            <w:tcW w:type="dxa" w:w="1461"/>
            <w:tcMar>
              <w:top w:w="60" w:type="dxa"/>
              <w:bottom w:w="60" w:type="dxa"/>
              <w:left w:w="80" w:type="dxa"/>
              <w:right w:w="80" w:type="dxa"/>
            </w:tcMar>
          </w:tcPr>
          <w:p>
            <w:pPr>
              <w:spacing w:line="252" w:lineRule="auto"/>
            </w:pPr>
            <w:r>
              <w:rPr>
                <w:sz w:val="17"/>
              </w:rPr>
              <w:t>Robu.in / QuartzComponents</w:t>
            </w:r>
          </w:p>
        </w:tc>
      </w:tr>
      <w:tr>
        <w:tc>
          <w:tcPr>
            <w:tcW w:type="dxa" w:w="1461"/>
            <w:tcMar>
              <w:top w:w="60" w:type="dxa"/>
              <w:bottom w:w="60" w:type="dxa"/>
              <w:left w:w="80" w:type="dxa"/>
              <w:right w:w="80" w:type="dxa"/>
            </w:tcMar>
          </w:tcPr>
          <w:p>
            <w:pPr>
              <w:spacing w:line="252" w:lineRule="auto"/>
            </w:pPr>
            <w:r>
              <w:rPr>
                <w:b/>
                <w:sz w:val="17"/>
              </w:rPr>
              <w:t>Consolidated Domestic Shipping (GST Registered)</w:t>
            </w:r>
          </w:p>
        </w:tc>
        <w:tc>
          <w:tcPr>
            <w:tcW w:type="dxa" w:w="1461"/>
            <w:tcMar>
              <w:top w:w="60" w:type="dxa"/>
              <w:bottom w:w="60" w:type="dxa"/>
              <w:left w:w="80" w:type="dxa"/>
              <w:right w:w="80" w:type="dxa"/>
            </w:tcMar>
          </w:tcPr>
          <w:p>
            <w:pPr>
              <w:spacing w:line="252" w:lineRule="auto"/>
            </w:pPr>
            <w:r>
              <w:rPr>
                <w:sz w:val="17"/>
              </w:rPr>
              <w:t>Logistics</w:t>
            </w:r>
          </w:p>
        </w:tc>
        <w:tc>
          <w:tcPr>
            <w:tcW w:type="dxa" w:w="1461"/>
            <w:tcMar>
              <w:top w:w="60" w:type="dxa"/>
              <w:bottom w:w="60" w:type="dxa"/>
              <w:left w:w="80" w:type="dxa"/>
              <w:right w:w="80" w:type="dxa"/>
            </w:tcMar>
          </w:tcPr>
          <w:p>
            <w:pPr>
              <w:spacing w:line="252" w:lineRule="auto"/>
            </w:pPr>
            <w:r>
              <w:rPr>
                <w:sz w:val="17"/>
              </w:rPr>
              <w:t>Consolidated</w:t>
            </w:r>
          </w:p>
        </w:tc>
        <w:tc>
          <w:tcPr>
            <w:tcW w:type="dxa" w:w="1461"/>
            <w:tcMar>
              <w:top w:w="60" w:type="dxa"/>
              <w:bottom w:w="60" w:type="dxa"/>
              <w:left w:w="80" w:type="dxa"/>
              <w:right w:w="80" w:type="dxa"/>
            </w:tcMar>
          </w:tcPr>
          <w:p>
            <w:pPr>
              <w:spacing w:line="252" w:lineRule="auto"/>
            </w:pPr>
            <w:r>
              <w:rPr>
                <w:sz w:val="17"/>
              </w:rPr>
              <w:t>—</w:t>
            </w:r>
          </w:p>
        </w:tc>
        <w:tc>
          <w:tcPr>
            <w:tcW w:type="dxa" w:w="1461"/>
            <w:tcMar>
              <w:top w:w="60" w:type="dxa"/>
              <w:bottom w:w="60" w:type="dxa"/>
              <w:left w:w="80" w:type="dxa"/>
              <w:right w:w="80" w:type="dxa"/>
            </w:tcMar>
          </w:tcPr>
          <w:p>
            <w:pPr>
              <w:spacing w:line="252" w:lineRule="auto"/>
            </w:pPr>
            <w:r>
              <w:rPr>
                <w:sz w:val="17"/>
              </w:rPr>
              <w:t>—</w:t>
            </w:r>
          </w:p>
        </w:tc>
        <w:tc>
          <w:tcPr>
            <w:tcW w:type="dxa" w:w="1461"/>
            <w:tcMar>
              <w:top w:w="60" w:type="dxa"/>
              <w:bottom w:w="60" w:type="dxa"/>
              <w:left w:w="80" w:type="dxa"/>
              <w:right w:w="80" w:type="dxa"/>
            </w:tcMar>
          </w:tcPr>
          <w:p>
            <w:pPr>
              <w:spacing w:line="252" w:lineRule="auto"/>
            </w:pPr>
            <w:r>
              <w:rPr>
                <w:b/>
                <w:sz w:val="17"/>
              </w:rPr>
              <w:t>400.00</w:t>
            </w:r>
          </w:p>
        </w:tc>
        <w:tc>
          <w:tcPr>
            <w:tcW w:type="dxa" w:w="1461"/>
            <w:tcMar>
              <w:top w:w="60" w:type="dxa"/>
              <w:bottom w:w="60" w:type="dxa"/>
              <w:left w:w="80" w:type="dxa"/>
              <w:right w:w="80" w:type="dxa"/>
            </w:tcMar>
          </w:tcPr>
          <w:p>
            <w:pPr>
              <w:spacing w:line="252" w:lineRule="auto"/>
            </w:pPr>
            <w:r>
              <w:rPr>
                <w:sz w:val="17"/>
              </w:rPr>
              <w:t>Robu.in courier rate</w:t>
            </w:r>
          </w:p>
        </w:tc>
      </w:tr>
      <w:tr>
        <w:tc>
          <w:tcPr>
            <w:tcW w:type="dxa" w:w="1461"/>
            <w:tcMar>
              <w:top w:w="60" w:type="dxa"/>
              <w:bottom w:w="60" w:type="dxa"/>
              <w:left w:w="80" w:type="dxa"/>
              <w:right w:w="80" w:type="dxa"/>
            </w:tcMar>
          </w:tcPr>
          <w:p>
            <w:pPr>
              <w:spacing w:line="252" w:lineRule="auto"/>
            </w:pPr>
            <w:r>
              <w:rPr>
                <w:b/>
                <w:sz w:val="17"/>
              </w:rPr>
              <w:t>Project Engineering Contingency Allowance (8%)</w:t>
            </w:r>
          </w:p>
        </w:tc>
        <w:tc>
          <w:tcPr>
            <w:tcW w:type="dxa" w:w="1461"/>
            <w:tcMar>
              <w:top w:w="60" w:type="dxa"/>
              <w:bottom w:w="60" w:type="dxa"/>
              <w:left w:w="80" w:type="dxa"/>
              <w:right w:w="80" w:type="dxa"/>
            </w:tcMar>
          </w:tcPr>
          <w:p>
            <w:pPr>
              <w:spacing w:line="252" w:lineRule="auto"/>
            </w:pPr>
            <w:r>
              <w:rPr>
                <w:sz w:val="17"/>
              </w:rPr>
              <w:t>Risk Reserve</w:t>
            </w:r>
          </w:p>
        </w:tc>
        <w:tc>
          <w:tcPr>
            <w:tcW w:type="dxa" w:w="1461"/>
            <w:tcMar>
              <w:top w:w="60" w:type="dxa"/>
              <w:bottom w:w="60" w:type="dxa"/>
              <w:left w:w="80" w:type="dxa"/>
              <w:right w:w="80" w:type="dxa"/>
            </w:tcMar>
          </w:tcPr>
          <w:p>
            <w:pPr>
              <w:spacing w:line="252" w:lineRule="auto"/>
            </w:pPr>
            <w:r>
              <w:rPr>
                <w:sz w:val="17"/>
              </w:rPr>
              <w:t>Unforeseen</w:t>
            </w:r>
          </w:p>
        </w:tc>
        <w:tc>
          <w:tcPr>
            <w:tcW w:type="dxa" w:w="1461"/>
            <w:tcMar>
              <w:top w:w="60" w:type="dxa"/>
              <w:bottom w:w="60" w:type="dxa"/>
              <w:left w:w="80" w:type="dxa"/>
              <w:right w:w="80" w:type="dxa"/>
            </w:tcMar>
          </w:tcPr>
          <w:p>
            <w:pPr>
              <w:spacing w:line="252" w:lineRule="auto"/>
            </w:pPr>
            <w:r>
              <w:rPr>
                <w:sz w:val="17"/>
              </w:rPr>
              <w:t>—</w:t>
            </w:r>
          </w:p>
        </w:tc>
        <w:tc>
          <w:tcPr>
            <w:tcW w:type="dxa" w:w="1461"/>
            <w:tcMar>
              <w:top w:w="60" w:type="dxa"/>
              <w:bottom w:w="60" w:type="dxa"/>
              <w:left w:w="80" w:type="dxa"/>
              <w:right w:w="80" w:type="dxa"/>
            </w:tcMar>
          </w:tcPr>
          <w:p>
            <w:pPr>
              <w:spacing w:line="252" w:lineRule="auto"/>
            </w:pPr>
            <w:r>
              <w:rPr>
                <w:sz w:val="17"/>
              </w:rPr>
              <w:t>—</w:t>
            </w:r>
          </w:p>
        </w:tc>
        <w:tc>
          <w:tcPr>
            <w:tcW w:type="dxa" w:w="1461"/>
            <w:tcMar>
              <w:top w:w="60" w:type="dxa"/>
              <w:bottom w:w="60" w:type="dxa"/>
              <w:left w:w="80" w:type="dxa"/>
              <w:right w:w="80" w:type="dxa"/>
            </w:tcMar>
          </w:tcPr>
          <w:p>
            <w:pPr>
              <w:spacing w:line="252" w:lineRule="auto"/>
            </w:pPr>
            <w:r>
              <w:rPr>
                <w:b/>
                <w:sz w:val="17"/>
              </w:rPr>
              <w:t>2,000.00</w:t>
            </w:r>
          </w:p>
        </w:tc>
        <w:tc>
          <w:tcPr>
            <w:tcW w:type="dxa" w:w="1461"/>
            <w:tcMar>
              <w:top w:w="60" w:type="dxa"/>
              <w:bottom w:w="60" w:type="dxa"/>
              <w:left w:w="80" w:type="dxa"/>
              <w:right w:w="80" w:type="dxa"/>
            </w:tcMar>
          </w:tcPr>
          <w:p>
            <w:pPr>
              <w:spacing w:line="252" w:lineRule="auto"/>
            </w:pPr>
            <w:r>
              <w:rPr>
                <w:sz w:val="17"/>
              </w:rPr>
              <w:t>For wire/connector replacements</w:t>
            </w:r>
          </w:p>
        </w:tc>
      </w:tr>
      <w:tr>
        <w:tc>
          <w:tcPr>
            <w:tcW w:type="dxa" w:w="1461"/>
            <w:shd w:fill="0F172A"/>
            <w:tcMar>
              <w:top w:w="60" w:type="dxa"/>
              <w:bottom w:w="60" w:type="dxa"/>
              <w:left w:w="80" w:type="dxa"/>
              <w:right w:w="80" w:type="dxa"/>
            </w:tcMar>
          </w:tcPr>
          <w:p>
            <w:pPr>
              <w:spacing w:line="252" w:lineRule="auto"/>
            </w:pPr>
            <w:r>
              <w:rPr>
                <w:b/>
                <w:color w:val="FFFFFF"/>
                <w:sz w:val="17"/>
              </w:rPr>
              <w:t>TOTAL RECOMMENDED PROJECT PROCUREMENT BUDGET</w:t>
            </w:r>
          </w:p>
        </w:tc>
        <w:tc>
          <w:tcPr>
            <w:tcW w:type="dxa" w:w="1461"/>
            <w:shd w:fill="0F172A"/>
            <w:tcMar>
              <w:top w:w="60" w:type="dxa"/>
              <w:bottom w:w="60" w:type="dxa"/>
              <w:left w:w="80" w:type="dxa"/>
              <w:right w:w="80" w:type="dxa"/>
            </w:tcMar>
          </w:tcPr>
          <w:p>
            <w:pPr>
              <w:spacing w:line="252" w:lineRule="auto"/>
            </w:pPr>
            <w:r>
              <w:rPr>
                <w:b/>
                <w:color w:val="FFFFFF"/>
                <w:sz w:val="17"/>
              </w:rPr>
              <w:t>Dual-Platform SHM</w:t>
            </w:r>
          </w:p>
        </w:tc>
        <w:tc>
          <w:tcPr>
            <w:tcW w:type="dxa" w:w="1461"/>
            <w:shd w:fill="0F172A"/>
            <w:tcMar>
              <w:top w:w="60" w:type="dxa"/>
              <w:bottom w:w="60" w:type="dxa"/>
              <w:left w:w="80" w:type="dxa"/>
              <w:right w:w="80" w:type="dxa"/>
            </w:tcMar>
          </w:tcPr>
          <w:p>
            <w:pPr>
              <w:spacing w:line="252" w:lineRule="auto"/>
            </w:pPr>
            <w:r>
              <w:rPr>
                <w:b/>
                <w:color w:val="FFFFFF"/>
                <w:sz w:val="17"/>
              </w:rPr>
              <w:t>Full System</w:t>
            </w:r>
          </w:p>
        </w:tc>
        <w:tc>
          <w:tcPr>
            <w:tcW w:type="dxa" w:w="1461"/>
            <w:shd w:fill="0F172A"/>
            <w:tcMar>
              <w:top w:w="60" w:type="dxa"/>
              <w:bottom w:w="60" w:type="dxa"/>
              <w:left w:w="80" w:type="dxa"/>
              <w:right w:w="80" w:type="dxa"/>
            </w:tcMar>
          </w:tcPr>
          <w:p>
            <w:pPr>
              <w:spacing w:line="252" w:lineRule="auto"/>
            </w:pPr>
            <w:r>
              <w:rPr>
                <w:b/>
                <w:color w:val="FFFFFF"/>
                <w:sz w:val="17"/>
              </w:rPr>
              <w:t>—</w:t>
            </w:r>
          </w:p>
        </w:tc>
        <w:tc>
          <w:tcPr>
            <w:tcW w:type="dxa" w:w="1461"/>
            <w:shd w:fill="0F172A"/>
            <w:tcMar>
              <w:top w:w="60" w:type="dxa"/>
              <w:bottom w:w="60" w:type="dxa"/>
              <w:left w:w="80" w:type="dxa"/>
              <w:right w:w="80" w:type="dxa"/>
            </w:tcMar>
          </w:tcPr>
          <w:p>
            <w:pPr>
              <w:spacing w:line="252" w:lineRule="auto"/>
            </w:pPr>
            <w:r>
              <w:rPr>
                <w:b/>
                <w:color w:val="FFFFFF"/>
                <w:sz w:val="17"/>
              </w:rPr>
              <w:t>—</w:t>
            </w:r>
          </w:p>
        </w:tc>
        <w:tc>
          <w:tcPr>
            <w:tcW w:type="dxa" w:w="1461"/>
            <w:shd w:fill="0F172A"/>
            <w:tcMar>
              <w:top w:w="60" w:type="dxa"/>
              <w:bottom w:w="60" w:type="dxa"/>
              <w:left w:w="80" w:type="dxa"/>
              <w:right w:w="80" w:type="dxa"/>
            </w:tcMar>
          </w:tcPr>
          <w:p>
            <w:pPr>
              <w:spacing w:line="252" w:lineRule="auto"/>
            </w:pPr>
            <w:r>
              <w:rPr>
                <w:b/>
                <w:color w:val="FFFFFF"/>
                <w:sz w:val="17"/>
              </w:rPr>
              <w:t>28,874.00</w:t>
            </w:r>
          </w:p>
        </w:tc>
        <w:tc>
          <w:tcPr>
            <w:tcW w:type="dxa" w:w="1461"/>
            <w:shd w:fill="0F172A"/>
            <w:tcMar>
              <w:top w:w="60" w:type="dxa"/>
              <w:bottom w:w="60" w:type="dxa"/>
              <w:left w:w="80" w:type="dxa"/>
              <w:right w:w="80" w:type="dxa"/>
            </w:tcMar>
          </w:tcPr>
          <w:p>
            <w:pPr>
              <w:spacing w:line="252" w:lineRule="auto"/>
            </w:pPr>
            <w:r>
              <w:rPr>
                <w:b/>
                <w:color w:val="FFFFFF"/>
                <w:sz w:val="17"/>
              </w:rPr>
              <w:t>Faculty-Ready Grant Request</w:t>
            </w:r>
          </w:p>
        </w:tc>
      </w:tr>
    </w:tbl>
    <w:p>
      <w:pPr>
        <w:spacing w:after="120"/>
      </w:pPr>
    </w:p>
    <w:tbl>
      <w:tblPr>
        <w:tblW w:type="auto" w:w="0"/>
        <w:jc w:val="center"/>
        <w:tblLook w:firstColumn="1" w:firstRow="1" w:lastColumn="0" w:lastRow="0" w:noHBand="0" w:noVBand="1" w:val="04A0"/>
      </w:tblPr>
      <w:tblGrid>
        <w:gridCol w:w="10224"/>
      </w:tblGrid>
      <w:tr>
        <w:tc>
          <w:tcPr>
            <w:tcW w:type="dxa" w:w="10224"/>
            <w:shd w:fill="F0FDF4"/>
            <w:tcMar>
              <w:top w:w="140" w:type="dxa"/>
              <w:bottom w:w="140" w:type="dxa"/>
              <w:left w:w="200" w:type="dxa"/>
              <w:right w:w="200" w:type="dxa"/>
            </w:tcMar>
          </w:tcPr>
          <w:p>
            <w:pPr>
              <w:spacing w:after="40"/>
            </w:pPr>
            <w:r>
              <w:rPr>
                <w:b/>
                <w:color w:val="059669"/>
                <w:sz w:val="20"/>
              </w:rPr>
              <w:t>[CONTINGENCY BUDGET OPTION]</w:t>
              <w:br/>
            </w:r>
            <w:r>
              <w:rPr>
                <w:i/>
                <w:sz w:val="20"/>
              </w:rPr>
              <w:t>Contingency Procurement Option (Ground-Only MVP): If aerial drone budget clearance is phased, the core sensing and inspection algorithms can be fully validated on the Smart 4WD Ground Robotic Car using: YDLIDAR X2 (INR 7,189) + Tilt Sensor (INR 245) + 4WD Car Kit with Encoders (INR 1,750) + ESP32 &amp; Buck Converter (INR 620) + Shipping (INR 160) = INR 9,964.00 Total MVP Budget.</w:t>
            </w:r>
          </w:p>
        </w:tc>
      </w:tr>
    </w:tbl>
    <w:p>
      <w:pPr>
        <w:spacing w:after="80"/>
      </w:pPr>
    </w:p>
    <w:p>
      <w:pPr>
        <w:keepNext/>
        <w:spacing w:before="280" w:after="80"/>
      </w:pPr>
      <w:r>
        <w:rPr>
          <w:b/>
          <w:color w:val="1E3A8A"/>
          <w:sz w:val="32"/>
        </w:rPr>
        <w:t>9. Hardware Procurement Priority &amp; Staging Strategy</w:t>
      </w:r>
    </w:p>
    <w:p>
      <w:pPr>
        <w:spacing w:after="80" w:line="276" w:lineRule="auto"/>
        <w:jc w:val="left"/>
      </w:pPr>
      <w:r>
        <w:rPr>
          <w:b w:val="0"/>
          <w:i w:val="0"/>
          <w:sz w:val="22"/>
        </w:rPr>
        <w:t>To maximize technical progress and optimize procurement lead times, purchases are organized into 3 sequential procurement phases:</w:t>
      </w:r>
    </w:p>
    <w:p>
      <w:pPr>
        <w:pStyle w:val="ListBullet"/>
        <w:spacing w:after="60" w:line="276" w:lineRule="auto"/>
      </w:pPr>
      <w:r>
        <w:rPr>
          <w:b/>
          <w:sz w:val="22"/>
        </w:rPr>
        <w:t xml:space="preserve">Tier 1: Immediate Critical Sensing Core (INR 9,964.00): </w:t>
      </w:r>
      <w:r>
        <w:rPr>
          <w:sz w:val="22"/>
        </w:rPr>
        <w:t>YDLIDAR X2, DFRobot Tilt Sensor, 4WD Car Kit with Encoders, Buck Converters. Unlock 360° planar wall contour scanning; eliminate 2–3 cm hand jitter; validate tilt correction in laboratory testbed.</w:t>
      </w:r>
    </w:p>
    <w:p>
      <w:pPr>
        <w:pStyle w:val="ListBullet"/>
        <w:spacing w:after="60" w:line="276" w:lineRule="auto"/>
      </w:pPr>
      <w:r>
        <w:rPr>
          <w:b/>
          <w:sz w:val="22"/>
        </w:rPr>
        <w:t xml:space="preserve">Tier 2: Flight Platform &amp; Power Train (INR 9,890.00): </w:t>
      </w:r>
      <w:r>
        <w:rPr>
          <w:sz w:val="22"/>
        </w:rPr>
        <w:t>F450 Frame, 4x A2212 Motors, 4x ESCs, 1045 Props, 3S LiPo, B6 Charger. Construct physical quadcopter UAV; calibrate thrust-to-weight ratio; conduct tethered hover and vibration damping trials.</w:t>
      </w:r>
    </w:p>
    <w:p>
      <w:pPr>
        <w:pStyle w:val="ListBullet"/>
        <w:spacing w:after="60" w:line="276" w:lineRule="auto"/>
      </w:pPr>
      <w:r>
        <w:rPr>
          <w:b/>
          <w:sz w:val="22"/>
        </w:rPr>
        <w:t xml:space="preserve">Tier 3: Autonomous Avionics &amp; Contingency (INR 9,020.00): </w:t>
      </w:r>
      <w:r>
        <w:rPr>
          <w:sz w:val="22"/>
        </w:rPr>
        <w:t>Pixhawk 2.4.8 Kit, GPS/Compass, 433MHz Telemetry, Contingency reserve. Integrate autonomous GPS-waypoint facade tracking, close-loop optical flow hover, and outdoor multi-story facade scanning.</w:t>
      </w:r>
    </w:p>
    <w:p>
      <w:pPr>
        <w:keepNext/>
        <w:spacing w:before="280" w:after="80"/>
      </w:pPr>
      <w:r>
        <w:rPr>
          <w:b/>
          <w:color w:val="1E3A8A"/>
          <w:sz w:val="32"/>
        </w:rPr>
        <w:t>10. Technical Architecture &amp; System Flowcharts</w:t>
      </w:r>
    </w:p>
    <w:p>
      <w:pPr>
        <w:spacing w:after="80" w:line="276" w:lineRule="auto"/>
        <w:jc w:val="left"/>
      </w:pPr>
      <w:r>
        <w:rPr>
          <w:b w:val="0"/>
          <w:i w:val="0"/>
          <w:sz w:val="22"/>
        </w:rPr>
        <w:t>To provide a complete architectural reference, all verified system pipelines and engineering workflows are diagrammed below:</w:t>
      </w:r>
    </w:p>
    <w:p>
      <w:pPr>
        <w:jc w:val="center"/>
      </w:pPr>
      <w:r>
        <w:drawing>
          <wp:inline xmlns:a="http://schemas.openxmlformats.org/drawingml/2006/main" xmlns:pic="http://schemas.openxmlformats.org/drawingml/2006/picture">
            <wp:extent cx="5852160" cy="2163824"/>
            <wp:docPr id="13" name="Picture 13"/>
            <wp:cNvGraphicFramePr>
              <a:graphicFrameLocks noChangeAspect="1"/>
            </wp:cNvGraphicFramePr>
            <a:graphic>
              <a:graphicData uri="http://schemas.openxmlformats.org/drawingml/2006/picture">
                <pic:pic>
                  <pic:nvPicPr>
                    <pic:cNvPr id="0" name="flowchart_system_architecture.png"/>
                    <pic:cNvPicPr/>
                  </pic:nvPicPr>
                  <pic:blipFill>
                    <a:blip r:embed="rId21"/>
                    <a:stretch>
                      <a:fillRect/>
                    </a:stretch>
                  </pic:blipFill>
                  <pic:spPr>
                    <a:xfrm>
                      <a:off x="0" y="0"/>
                      <a:ext cx="5852160" cy="2163824"/>
                    </a:xfrm>
                    <a:prstGeom prst="rect"/>
                  </pic:spPr>
                </pic:pic>
              </a:graphicData>
            </a:graphic>
          </wp:inline>
        </w:drawing>
      </w:r>
    </w:p>
    <w:p>
      <w:pPr>
        <w:spacing w:after="120"/>
        <w:jc w:val="center"/>
      </w:pPr>
      <w:r>
        <w:rPr>
          <w:i/>
          <w:color w:val="64748B"/>
          <w:sz w:val="19"/>
        </w:rPr>
        <w:t>Figure 7: Diagram 1 — High-Level SHM System Architecture &amp; Cross-Subsystem Telemetry Pipeline</w:t>
      </w:r>
    </w:p>
    <w:p>
      <w:pPr>
        <w:jc w:val="center"/>
      </w:pPr>
      <w:r>
        <w:drawing>
          <wp:inline xmlns:a="http://schemas.openxmlformats.org/drawingml/2006/main" xmlns:pic="http://schemas.openxmlformats.org/drawingml/2006/picture">
            <wp:extent cx="2926080" cy="1211811"/>
            <wp:docPr id="14" name="Picture 14"/>
            <wp:cNvGraphicFramePr>
              <a:graphicFrameLocks noChangeAspect="1"/>
            </wp:cNvGraphicFramePr>
            <a:graphic>
              <a:graphicData uri="http://schemas.openxmlformats.org/drawingml/2006/picture">
                <pic:pic>
                  <pic:nvPicPr>
                    <pic:cNvPr id="0" name="flowchart_aerial_acquisition.png"/>
                    <pic:cNvPicPr/>
                  </pic:nvPicPr>
                  <pic:blipFill>
                    <a:blip r:embed="rId22"/>
                    <a:stretch>
                      <a:fillRect/>
                    </a:stretch>
                  </pic:blipFill>
                  <pic:spPr>
                    <a:xfrm>
                      <a:off x="0" y="0"/>
                      <a:ext cx="2926080" cy="1211811"/>
                    </a:xfrm>
                    <a:prstGeom prst="rect"/>
                  </pic:spPr>
                </pic:pic>
              </a:graphicData>
            </a:graphic>
          </wp:inline>
        </w:drawing>
      </w:r>
      <w:r>
        <w:t xml:space="preserve">   </w:t>
      </w:r>
      <w:r>
        <w:drawing>
          <wp:inline xmlns:a="http://schemas.openxmlformats.org/drawingml/2006/main" xmlns:pic="http://schemas.openxmlformats.org/drawingml/2006/picture">
            <wp:extent cx="2926080" cy="1207120"/>
            <wp:docPr id="15" name="Picture 15"/>
            <wp:cNvGraphicFramePr>
              <a:graphicFrameLocks noChangeAspect="1"/>
            </wp:cNvGraphicFramePr>
            <a:graphic>
              <a:graphicData uri="http://schemas.openxmlformats.org/drawingml/2006/picture">
                <pic:pic>
                  <pic:nvPicPr>
                    <pic:cNvPr id="0" name="flowchart_ground_analytics.png"/>
                    <pic:cNvPicPr/>
                  </pic:nvPicPr>
                  <pic:blipFill>
                    <a:blip r:embed="rId23"/>
                    <a:stretch>
                      <a:fillRect/>
                    </a:stretch>
                  </pic:blipFill>
                  <pic:spPr>
                    <a:xfrm>
                      <a:off x="0" y="0"/>
                      <a:ext cx="2926080" cy="1207120"/>
                    </a:xfrm>
                    <a:prstGeom prst="rect"/>
                  </pic:spPr>
                </pic:pic>
              </a:graphicData>
            </a:graphic>
          </wp:inline>
        </w:drawing>
      </w:r>
    </w:p>
    <w:p>
      <w:pPr>
        <w:spacing w:after="120"/>
        <w:jc w:val="center"/>
      </w:pPr>
      <w:r>
        <w:rPr>
          <w:i/>
          <w:color w:val="64748B"/>
          <w:sz w:val="19"/>
        </w:rPr>
        <w:t>Figure 8: Diagram 2 (Left): Aerial Subsystem Acquisition; Diagram 3 (Right): Ground Analytics &amp; Metrology Pipeline</w:t>
      </w:r>
    </w:p>
    <w:p>
      <w:pPr>
        <w:jc w:val="center"/>
      </w:pPr>
      <w:r>
        <w:drawing>
          <wp:inline xmlns:a="http://schemas.openxmlformats.org/drawingml/2006/main" xmlns:pic="http://schemas.openxmlformats.org/drawingml/2006/picture">
            <wp:extent cx="2926080" cy="1211811"/>
            <wp:docPr id="16" name="Picture 16"/>
            <wp:cNvGraphicFramePr>
              <a:graphicFrameLocks noChangeAspect="1"/>
            </wp:cNvGraphicFramePr>
            <a:graphic>
              <a:graphicData uri="http://schemas.openxmlformats.org/drawingml/2006/picture">
                <pic:pic>
                  <pic:nvPicPr>
                    <pic:cNvPr id="0" name="flowchart_power_wiring.png"/>
                    <pic:cNvPicPr/>
                  </pic:nvPicPr>
                  <pic:blipFill>
                    <a:blip r:embed="rId24"/>
                    <a:stretch>
                      <a:fillRect/>
                    </a:stretch>
                  </pic:blipFill>
                  <pic:spPr>
                    <a:xfrm>
                      <a:off x="0" y="0"/>
                      <a:ext cx="2926080" cy="1211811"/>
                    </a:xfrm>
                    <a:prstGeom prst="rect"/>
                  </pic:spPr>
                </pic:pic>
              </a:graphicData>
            </a:graphic>
          </wp:inline>
        </w:drawing>
      </w:r>
      <w:r>
        <w:t xml:space="preserve">   </w:t>
      </w:r>
      <w:r>
        <w:drawing>
          <wp:inline xmlns:a="http://schemas.openxmlformats.org/drawingml/2006/main" xmlns:pic="http://schemas.openxmlformats.org/drawingml/2006/picture">
            <wp:extent cx="2926080" cy="1100635"/>
            <wp:docPr id="17" name="Picture 17"/>
            <wp:cNvGraphicFramePr>
              <a:graphicFrameLocks noChangeAspect="1"/>
            </wp:cNvGraphicFramePr>
            <a:graphic>
              <a:graphicData uri="http://schemas.openxmlformats.org/drawingml/2006/picture">
                <pic:pic>
                  <pic:nvPicPr>
                    <pic:cNvPr id="0" name="flowchart_testing_roadmap.png"/>
                    <pic:cNvPicPr/>
                  </pic:nvPicPr>
                  <pic:blipFill>
                    <a:blip r:embed="rId25"/>
                    <a:stretch>
                      <a:fillRect/>
                    </a:stretch>
                  </pic:blipFill>
                  <pic:spPr>
                    <a:xfrm>
                      <a:off x="0" y="0"/>
                      <a:ext cx="2926080" cy="1100635"/>
                    </a:xfrm>
                    <a:prstGeom prst="rect"/>
                  </pic:spPr>
                </pic:pic>
              </a:graphicData>
            </a:graphic>
          </wp:inline>
        </w:drawing>
      </w:r>
    </w:p>
    <w:p>
      <w:pPr>
        <w:spacing w:after="120"/>
        <w:jc w:val="center"/>
      </w:pPr>
      <w:r>
        <w:rPr>
          <w:i/>
          <w:color w:val="64748B"/>
          <w:sz w:val="19"/>
        </w:rPr>
        <w:t>Figure 9: Diagram 4 (Left): Subsystem Power &amp; Wiring; Diagram 5 (Right): 7-Phase Testing &amp; Validation Roadmap</w:t>
      </w:r>
    </w:p>
    <w:p>
      <w:pPr>
        <w:keepNext/>
        <w:spacing w:before="280" w:after="80"/>
      </w:pPr>
      <w:r>
        <w:rPr>
          <w:b/>
          <w:color w:val="1E3A8A"/>
          <w:sz w:val="32"/>
        </w:rPr>
        <w:t>11. Future Work &amp; Phased Implementation Roadmap</w:t>
      </w:r>
    </w:p>
    <w:p>
      <w:pPr>
        <w:spacing w:after="80" w:line="276" w:lineRule="auto"/>
        <w:jc w:val="left"/>
      </w:pPr>
      <w:r>
        <w:rPr>
          <w:b w:val="0"/>
          <w:i w:val="0"/>
          <w:sz w:val="22"/>
        </w:rPr>
        <w:t>A rigorous, 7-phase implementation plan structured across 16 weeks will guide project execution toward full autonomous deployment:</w:t>
      </w:r>
    </w:p>
    <w:p>
      <w:pPr>
        <w:pStyle w:val="ListBullet"/>
        <w:spacing w:after="60" w:line="276" w:lineRule="auto"/>
      </w:pPr>
      <w:r>
        <w:rPr>
          <w:b/>
          <w:sz w:val="22"/>
        </w:rPr>
        <w:t xml:space="preserve">Phase 1: Component Procurement &amp; Bench Validation (Weeks 1–2): </w:t>
      </w:r>
      <w:r>
        <w:rPr>
          <w:sz w:val="22"/>
        </w:rPr>
        <w:t>Procure Tier 1 hardware (YDLIDAR X2, Tilt Sensor, 4WD Car Kit). Execute benchtop electrical tests, establish UART parsing at 115200 baud, and calibrate the tilt sensor.</w:t>
      </w:r>
    </w:p>
    <w:p>
      <w:pPr>
        <w:pStyle w:val="ListBullet"/>
        <w:spacing w:after="60" w:line="276" w:lineRule="auto"/>
      </w:pPr>
      <w:r>
        <w:rPr>
          <w:b/>
          <w:sz w:val="22"/>
        </w:rPr>
        <w:t xml:space="preserve">Phase 2: Firmware Integration &amp; Telemetry Pipeline (Weeks 3–4): </w:t>
      </w:r>
      <w:r>
        <w:rPr>
          <w:sz w:val="22"/>
        </w:rPr>
        <w:t>Develop FreeRTOS tasks on ESP32 Core 0 and Core 1. Integrate hardware DMA buffer for YDLIDAR packets. Implement UDP packetizer streaming 360° polar coordinates to ground station.</w:t>
      </w:r>
    </w:p>
    <w:p>
      <w:pPr>
        <w:pStyle w:val="ListBullet"/>
        <w:spacing w:after="60" w:line="276" w:lineRule="auto"/>
      </w:pPr>
      <w:r>
        <w:rPr>
          <w:b/>
          <w:sz w:val="22"/>
        </w:rPr>
        <w:t xml:space="preserve">Phase 3: Airframe Assembly &amp; Propulsion Benchmarking (Weeks 5–6): </w:t>
      </w:r>
      <w:r>
        <w:rPr>
          <w:sz w:val="22"/>
        </w:rPr>
        <w:t>Assemble F450 frame, calibrate ESC throttle ranges, balance 1045 propellers dynamically. Conduct load-cell thrust tests verifying &gt;2.5:1 thrust-to-weight ratio.</w:t>
      </w:r>
    </w:p>
    <w:p>
      <w:pPr>
        <w:pStyle w:val="ListBullet"/>
        <w:spacing w:after="60" w:line="276" w:lineRule="auto"/>
      </w:pPr>
      <w:r>
        <w:rPr>
          <w:b/>
          <w:sz w:val="22"/>
        </w:rPr>
        <w:t xml:space="preserve">Phase 4: Sensor Payload Integration &amp; Tilt Compensation (Weeks 7–8): </w:t>
      </w:r>
      <w:r>
        <w:rPr>
          <w:sz w:val="22"/>
        </w:rPr>
        <w:t>Fabricate 3D-printed vibration-damping mounting plate. Co-locate YDLIDAR X2 and tilt sensor. Implement mathematical cosine tilt correction on ground telemetry stream.</w:t>
      </w:r>
    </w:p>
    <w:p>
      <w:pPr>
        <w:pStyle w:val="ListBullet"/>
        <w:spacing w:after="60" w:line="276" w:lineRule="auto"/>
      </w:pPr>
      <w:r>
        <w:rPr>
          <w:b/>
          <w:sz w:val="22"/>
        </w:rPr>
        <w:t xml:space="preserve">Phase 5: Laboratory Wall Scanning &amp; Terrestrial Odometry (Weeks 9–10): </w:t>
      </w:r>
      <w:r>
        <w:rPr>
          <w:sz w:val="22"/>
        </w:rPr>
        <w:t>Deploy sensing rig on Smart 4WD Car. Conduct linear wall traverses at 5.0 cm/s using optical encoder odometry. Scan calibrated test wall with known artificial defects (cavities, bulges, cracks).</w:t>
      </w:r>
    </w:p>
    <w:p>
      <w:pPr>
        <w:pStyle w:val="ListBullet"/>
        <w:spacing w:after="60" w:line="276" w:lineRule="auto"/>
      </w:pPr>
      <w:r>
        <w:rPr>
          <w:b/>
          <w:sz w:val="22"/>
        </w:rPr>
        <w:t xml:space="preserve">Phase 6: Flight Trials &amp; Tethered Facade Sweeps (Weeks 11–13): </w:t>
      </w:r>
      <w:r>
        <w:rPr>
          <w:sz w:val="22"/>
        </w:rPr>
        <w:t>Perform outdoor tethered hovering flights. Evaluate acoustic and vibration noise on LiDAR point clouds. Execute vertical sweep scans alongside university exterior building facades.</w:t>
      </w:r>
    </w:p>
    <w:p>
      <w:pPr>
        <w:pStyle w:val="ListBullet"/>
        <w:spacing w:after="60" w:line="276" w:lineRule="auto"/>
      </w:pPr>
      <w:r>
        <w:rPr>
          <w:b/>
          <w:sz w:val="22"/>
        </w:rPr>
        <w:t xml:space="preserve">Phase 7: End-to-End System Evaluation &amp; Final Report (Weeks 14–16): </w:t>
      </w:r>
      <w:r>
        <w:rPr>
          <w:sz w:val="22"/>
        </w:rPr>
        <w:t>Integrate PLY Forge WebGL automated meshing with live Streamlit dashboard. Conduct blind defect detection benchmarks. Publish final engineering report and project video.</w:t>
      </w:r>
    </w:p>
    <w:p>
      <w:pPr>
        <w:keepNext/>
        <w:spacing w:before="280" w:after="80"/>
      </w:pPr>
      <w:r>
        <w:rPr>
          <w:b/>
          <w:color w:val="1E3A8A"/>
          <w:sz w:val="32"/>
        </w:rPr>
        <w:t>12. Rigorous Testing &amp; Empirical Evaluation Plan</w:t>
      </w:r>
    </w:p>
    <w:p>
      <w:pPr>
        <w:spacing w:after="80" w:line="276" w:lineRule="auto"/>
        <w:jc w:val="left"/>
      </w:pPr>
      <w:r>
        <w:rPr>
          <w:b w:val="0"/>
          <w:i w:val="0"/>
          <w:sz w:val="22"/>
        </w:rPr>
        <w:t>To validate real-world readiness, the system will undergo four empirical testing protocols with quantified pass/fail criteria:</w:t>
      </w:r>
    </w:p>
    <w:p>
      <w:pPr>
        <w:pStyle w:val="ListBullet"/>
        <w:spacing w:after="60" w:line="276" w:lineRule="auto"/>
      </w:pPr>
      <w:r>
        <w:rPr>
          <w:b/>
          <w:sz w:val="22"/>
        </w:rPr>
        <w:t xml:space="preserve">LiDAR Static Ranging Accuracy: </w:t>
      </w:r>
      <w:r>
        <w:rPr>
          <w:sz w:val="22"/>
        </w:rPr>
        <w:t>Range RMSE (0.5m to 6.0m) ≤ ±1.5 cm. Static target at 1.0m, 2.0m, 3.0m, 5.0m verified against laser tape measure.</w:t>
      </w:r>
    </w:p>
    <w:p>
      <w:pPr>
        <w:pStyle w:val="ListBullet"/>
        <w:spacing w:after="60" w:line="276" w:lineRule="auto"/>
      </w:pPr>
      <w:r>
        <w:rPr>
          <w:b/>
          <w:sz w:val="22"/>
        </w:rPr>
        <w:t xml:space="preserve">Tilt Correction Efficacy: </w:t>
      </w:r>
      <w:r>
        <w:rPr>
          <w:sz w:val="22"/>
        </w:rPr>
        <w:t>Elongation Error at 15° tilt ≤ 0.5 cm. Sensor inclined at 5°, 10°, 15° on goniometer bench; evaluate raw vs corrected distance.</w:t>
      </w:r>
    </w:p>
    <w:p>
      <w:pPr>
        <w:pStyle w:val="ListBullet"/>
        <w:spacing w:after="60" w:line="276" w:lineRule="auto"/>
      </w:pPr>
      <w:r>
        <w:rPr>
          <w:b/>
          <w:sz w:val="22"/>
        </w:rPr>
        <w:t xml:space="preserve">4WD Car Odometry Accuracy: </w:t>
      </w:r>
      <w:r>
        <w:rPr>
          <w:sz w:val="22"/>
        </w:rPr>
        <w:t>Linear Displacement Drift ≤ 1.0 cm per 5m traverse. Compare optical wheel encoder accumulated distance against floor benchmark marks.</w:t>
      </w:r>
    </w:p>
    <w:p>
      <w:pPr>
        <w:pStyle w:val="ListBullet"/>
        <w:spacing w:after="60" w:line="276" w:lineRule="auto"/>
      </w:pPr>
      <w:r>
        <w:rPr>
          <w:b/>
          <w:sz w:val="22"/>
        </w:rPr>
        <w:t xml:space="preserve">Aero-Acoustic Vibration Drift: </w:t>
      </w:r>
      <w:r>
        <w:rPr>
          <w:sz w:val="22"/>
        </w:rPr>
        <w:t>Point Cloud Standard Deviation σ ≤ 0.8 cm at 60% hover throttle. Measure standard deviation of planar wall points with motors disarmed vs spinning at hover thrust.</w:t>
      </w:r>
    </w:p>
    <w:p>
      <w:pPr>
        <w:pStyle w:val="ListBullet"/>
        <w:spacing w:after="60" w:line="276" w:lineRule="auto"/>
      </w:pPr>
      <w:r>
        <w:rPr>
          <w:b/>
          <w:sz w:val="22"/>
        </w:rPr>
        <w:t xml:space="preserve">Defect Segmentation Sensitivity: </w:t>
      </w:r>
      <w:r>
        <w:rPr>
          <w:sz w:val="22"/>
        </w:rPr>
        <w:t>True Positive Spall Detection Sensitivity ≥ 95% for Δd ≥ 3.0 cm across 10 test cavities and bulges mounted on test wall.</w:t>
      </w:r>
    </w:p>
    <w:p>
      <w:pPr>
        <w:keepNext/>
        <w:spacing w:before="280" w:after="80"/>
      </w:pPr>
      <w:r>
        <w:rPr>
          <w:b/>
          <w:color w:val="1E3A8A"/>
          <w:sz w:val="32"/>
        </w:rPr>
        <w:t>13. Risk Management &amp; Technical Mitigation Strategies</w:t>
      </w:r>
    </w:p>
    <w:p>
      <w:pPr>
        <w:spacing w:after="80" w:line="276" w:lineRule="auto"/>
        <w:jc w:val="left"/>
      </w:pPr>
      <w:r>
        <w:rPr>
          <w:b w:val="0"/>
          <w:i w:val="0"/>
          <w:sz w:val="22"/>
        </w:rPr>
        <w:t>A comprehensive engineering risk assessment identified 6 critical failure modes and formulated concrete mitigation protocols:</w:t>
      </w:r>
    </w:p>
    <w:p>
      <w:pPr>
        <w:pStyle w:val="ListBullet"/>
        <w:spacing w:after="60" w:line="276" w:lineRule="auto"/>
      </w:pPr>
      <w:r>
        <w:rPr>
          <w:b/>
          <w:sz w:val="22"/>
        </w:rPr>
        <w:t xml:space="preserve">Motor Vibration Inducing LiDAR Point Smear (High / High): </w:t>
      </w:r>
      <w:r>
        <w:rPr>
          <w:sz w:val="22"/>
        </w:rPr>
        <w:t>Deploy dual-tier silicone vibration-damping mount (Shore 30A silicone balls); dynamically balance motor bells &amp; props.</w:t>
      </w:r>
    </w:p>
    <w:p>
      <w:pPr>
        <w:pStyle w:val="ListBullet"/>
        <w:spacing w:after="60" w:line="276" w:lineRule="auto"/>
      </w:pPr>
      <w:r>
        <w:rPr>
          <w:b/>
          <w:sz w:val="22"/>
        </w:rPr>
        <w:t xml:space="preserve">Prop-Wash Wall Suction Effect (High / Medium): </w:t>
      </w:r>
      <w:r>
        <w:rPr>
          <w:sz w:val="22"/>
        </w:rPr>
        <w:t>Enforce minimum 1.5m standoff buffer; switch to Smart 4WD Ground Car for close-proximity (&lt;1.0m) wall inspection.</w:t>
      </w:r>
    </w:p>
    <w:p>
      <w:pPr>
        <w:pStyle w:val="ListBullet"/>
        <w:spacing w:after="60" w:line="276" w:lineRule="auto"/>
      </w:pPr>
      <w:r>
        <w:rPr>
          <w:b/>
          <w:sz w:val="22"/>
        </w:rPr>
        <w:t xml:space="preserve">LiDAR Sunlight Saturation Outdoors (Medium / High): </w:t>
      </w:r>
      <w:r>
        <w:rPr>
          <w:sz w:val="22"/>
        </w:rPr>
        <w:t>YDLIDAR X2 features optical narrow bandpass filter; schedule flight tests during overcast conditions or golden hour (&lt;20k Lux).</w:t>
      </w:r>
    </w:p>
    <w:p>
      <w:pPr>
        <w:pStyle w:val="ListBullet"/>
        <w:spacing w:after="60" w:line="276" w:lineRule="auto"/>
      </w:pPr>
      <w:r>
        <w:rPr>
          <w:b/>
          <w:sz w:val="22"/>
        </w:rPr>
        <w:t xml:space="preserve">Wheel Slip on Polished Floor (4WD Car) (Medium / Medium): </w:t>
      </w:r>
      <w:r>
        <w:rPr>
          <w:sz w:val="22"/>
        </w:rPr>
        <w:t>Fit high-friction soft rubber tires; add weight ballast over drive axles; cross-check encoder ticks with lateral ToF baseline.</w:t>
      </w:r>
    </w:p>
    <w:p>
      <w:pPr>
        <w:pStyle w:val="ListBullet"/>
        <w:spacing w:after="60" w:line="276" w:lineRule="auto"/>
      </w:pPr>
      <w:r>
        <w:rPr>
          <w:b/>
          <w:sz w:val="22"/>
        </w:rPr>
        <w:t xml:space="preserve">Telemetry UDP Packet Loss (Medium / Low): </w:t>
      </w:r>
      <w:r>
        <w:rPr>
          <w:sz w:val="22"/>
        </w:rPr>
        <w:t>Implement onboard SD-card binary logging concurrently with WiFi UDP broadcast; buffer 500 packets in ESP32 PSRAM.</w:t>
      </w:r>
    </w:p>
    <w:p>
      <w:pPr>
        <w:pStyle w:val="ListBullet"/>
        <w:spacing w:after="60" w:line="276" w:lineRule="auto"/>
      </w:pPr>
      <w:r>
        <w:rPr>
          <w:b/>
          <w:sz w:val="22"/>
        </w:rPr>
        <w:t xml:space="preserve">LiPo Battery Low-Voltage Cutoff in Flight (Critical / Low): </w:t>
      </w:r>
      <w:r>
        <w:rPr>
          <w:sz w:val="22"/>
        </w:rPr>
        <w:t>Configure Pixhawk voltage failsafe: auto-land when per-cell voltage drops below 3.5V (10.5V total pack voltage).</w:t>
      </w:r>
    </w:p>
    <w:p>
      <w:pPr>
        <w:keepNext/>
        <w:spacing w:before="280" w:after="80"/>
      </w:pPr>
      <w:r>
        <w:rPr>
          <w:b/>
          <w:color w:val="1E3A8A"/>
          <w:sz w:val="32"/>
        </w:rPr>
        <w:t>14. Expected Outcomes &amp; Research Contributions</w:t>
      </w:r>
    </w:p>
    <w:p>
      <w:pPr>
        <w:spacing w:after="80" w:line="276" w:lineRule="auto"/>
        <w:jc w:val="left"/>
      </w:pPr>
      <w:r>
        <w:rPr>
          <w:b w:val="0"/>
          <w:i w:val="0"/>
          <w:sz w:val="22"/>
        </w:rPr>
        <w:t>Upon successful execution of the phased roadmap, the project will deliver the following measurable outcomes and contributions:</w:t>
      </w:r>
    </w:p>
    <w:p>
      <w:pPr>
        <w:pStyle w:val="ListBullet"/>
        <w:spacing w:after="60" w:line="276" w:lineRule="auto"/>
      </w:pPr>
      <w:r>
        <w:rPr>
          <w:b/>
          <w:sz w:val="22"/>
        </w:rPr>
        <w:t xml:space="preserve">Dual-Platform Autonomous Scanning System: </w:t>
      </w:r>
      <w:r>
        <w:rPr>
          <w:sz w:val="22"/>
        </w:rPr>
        <w:t>A fully functional autonomous SHM testbed featuring both an F450 quadcopter drone for elevated facade sweeps and a Smart 4WD Ground Robotic Car with optical wheel encoders for GPS-denied indoor corridors.</w:t>
      </w:r>
    </w:p>
    <w:p>
      <w:pPr>
        <w:pStyle w:val="ListBullet"/>
        <w:spacing w:after="60" w:line="276" w:lineRule="auto"/>
      </w:pPr>
      <w:r>
        <w:rPr>
          <w:b/>
          <w:sz w:val="22"/>
        </w:rPr>
        <w:t xml:space="preserve">High-Speed Planar LiDAR Metrology: </w:t>
      </w:r>
      <w:r>
        <w:rPr>
          <w:sz w:val="22"/>
        </w:rPr>
        <w:t>360° cross-sectional scanning at 3,000 points/second with automated tilt compensation, reducing single-point scan times by 98% while improving spatial coverage by 15x.</w:t>
      </w:r>
    </w:p>
    <w:p>
      <w:pPr>
        <w:pStyle w:val="ListBullet"/>
        <w:spacing w:after="60" w:line="276" w:lineRule="auto"/>
      </w:pPr>
      <w:r>
        <w:rPr>
          <w:b/>
          <w:sz w:val="22"/>
        </w:rPr>
        <w:t xml:space="preserve">Millimetric Defect Segmentation: </w:t>
      </w:r>
      <w:r>
        <w:rPr>
          <w:sz w:val="22"/>
        </w:rPr>
        <w:t>Automated civil structural anomaly classification capable of detecting spalling cavities (Δd ≥ 3.5 cm), buckling bulges (Δd ≤ -3.5 cm), and surface cracks (|Δd| ≥ 1.5 cm) with ≥95% sensitivity.</w:t>
      </w:r>
    </w:p>
    <w:p>
      <w:pPr>
        <w:pStyle w:val="ListBullet"/>
        <w:spacing w:after="60" w:line="276" w:lineRule="auto"/>
      </w:pPr>
      <w:r>
        <w:rPr>
          <w:b/>
          <w:sz w:val="22"/>
        </w:rPr>
        <w:t xml:space="preserve">Integrated 3D Digital Twin Software Suite: </w:t>
      </w:r>
      <w:r>
        <w:rPr>
          <w:sz w:val="22"/>
        </w:rPr>
        <w:t>Extension of our team's MDP WebGL point-cloud processor (PLY Forge) into a real-time Streamlit operations dashboard featuring zero-latency 3D rendering, voxel compression, and automated compliance reporting.</w:t>
      </w:r>
    </w:p>
    <w:p>
      <w:pPr>
        <w:pStyle w:val="ListBullet"/>
        <w:spacing w:after="60" w:line="276" w:lineRule="auto"/>
      </w:pPr>
      <w:r>
        <w:rPr>
          <w:b/>
          <w:sz w:val="22"/>
        </w:rPr>
        <w:t xml:space="preserve">Academic Publications &amp; Intellectual Property: </w:t>
      </w:r>
      <w:r>
        <w:rPr>
          <w:sz w:val="22"/>
        </w:rPr>
        <w:t>Preparation of an IEEE-format research manuscript targeting conferences/journals in Structural Health Monitoring, Civil Robotics, and Smart Infrastructure.</w:t>
      </w:r>
    </w:p>
    <w:p>
      <w:pPr>
        <w:keepNext/>
        <w:spacing w:before="280" w:after="80"/>
      </w:pPr>
      <w:r>
        <w:rPr>
          <w:b/>
          <w:color w:val="1E3A8A"/>
          <w:sz w:val="32"/>
        </w:rPr>
        <w:t>15. Conclusion &amp; Immediate Next Steps</w:t>
      </w:r>
    </w:p>
    <w:p>
      <w:pPr>
        <w:spacing w:after="80" w:line="276" w:lineRule="auto"/>
        <w:jc w:val="left"/>
      </w:pPr>
      <w:r>
        <w:rPr>
          <w:b w:val="0"/>
          <w:i w:val="0"/>
          <w:sz w:val="22"/>
        </w:rPr>
        <w:t>This enhanced IDP progress report establishes the complete technological foundation for autonomous Cyber-Physical Structural Health Monitoring. By seamlessly integrating our prior Multidisciplinary Project deliverables (PLY Forge WebGL engine) with our current Innovative Design Project achievements (TF-Luna physical calibration, 9,969-point 3D digital twin room reconstruction, multi-tab operations dashboard), our team has demonstrated a proven capability to deliver publication-grade research.</w:t>
      </w:r>
    </w:p>
    <w:p>
      <w:pPr>
        <w:spacing w:after="80" w:line="276" w:lineRule="auto"/>
        <w:jc w:val="left"/>
      </w:pPr>
      <w:r>
        <w:rPr>
          <w:b w:val="0"/>
          <w:i w:val="0"/>
          <w:sz w:val="22"/>
        </w:rPr>
        <w:t>The formulation of the Dual-Platform Strategy—deploying the F450 quadcopter drone for exterior elevated scanning and the Smart 4WD Ground Robotic Car with optical wheel encoders for indoor GPS-denied surveys—directly resolves all identified operational constraints (hand-motion jitter, tilt distortion, prop-wash wall effects). Supported by our verified INR 28,874.00 procurement budget (or INR 9,964.00 Ground MVP option), our team is poised to commence Phase 1 component acquisition upon faculty approval.</w:t>
      </w:r>
    </w:p>
    <w:tbl>
      <w:tblPr>
        <w:tblW w:type="auto" w:w="0"/>
        <w:jc w:val="center"/>
        <w:tblLook w:firstColumn="1" w:firstRow="1" w:lastColumn="0" w:lastRow="0" w:noHBand="0" w:noVBand="1" w:val="04A0"/>
      </w:tblPr>
      <w:tblGrid>
        <w:gridCol w:w="10224"/>
      </w:tblGrid>
      <w:tr>
        <w:tc>
          <w:tcPr>
            <w:tcW w:type="dxa" w:w="10224"/>
            <w:shd w:fill="F0FDF4"/>
            <w:tcMar>
              <w:top w:w="140" w:type="dxa"/>
              <w:bottom w:w="140" w:type="dxa"/>
              <w:left w:w="200" w:type="dxa"/>
              <w:right w:w="200" w:type="dxa"/>
            </w:tcMar>
          </w:tcPr>
          <w:p>
            <w:pPr>
              <w:spacing w:after="40"/>
            </w:pPr>
            <w:r>
              <w:rPr>
                <w:b/>
                <w:color w:val="059669"/>
                <w:sz w:val="20"/>
              </w:rPr>
              <w:t>[IMMEDIATE ACTION ITEMS]</w:t>
              <w:br/>
            </w:r>
            <w:r>
              <w:rPr>
                <w:i/>
                <w:sz w:val="20"/>
              </w:rPr>
              <w:t>Immediate Next Steps: (1) Submit this progress report for formal Guide review (Dr. Senthil Kumar N); (2) Finalize component procurement orders with authorized distributors (Robu.in); (3) Fabricate the 4WD robotic sensor mast and conduct initial encoder odometry trials; and (4) Bench-test the YDLIDAR X2 with ESP32 FreeRTOS DMA firmware.</w:t>
            </w:r>
          </w:p>
        </w:tc>
      </w:tr>
    </w:tbl>
    <w:p>
      <w:pPr>
        <w:spacing w:after="80"/>
      </w:pPr>
    </w:p>
    <w:p>
      <w:pPr>
        <w:keepNext/>
        <w:spacing w:before="280" w:after="80"/>
      </w:pPr>
      <w:r>
        <w:rPr>
          <w:b/>
          <w:color w:val="1E3A8A"/>
          <w:sz w:val="32"/>
        </w:rPr>
        <w:t>16. IEEE References &amp; Technical Datasheets</w:t>
      </w:r>
    </w:p>
    <w:p>
      <w:pPr>
        <w:spacing w:after="40" w:line="276" w:lineRule="auto"/>
        <w:jc w:val="left"/>
      </w:pPr>
      <w:r>
        <w:rPr>
          <w:b w:val="0"/>
          <w:i w:val="0"/>
          <w:sz w:val="19"/>
        </w:rPr>
        <w:t>[1] Benewake (Beijing) Co., Ltd., "TF-Luna Single-Point Ranging LiDAR Datasheet &amp; User Manual," Rev. 2.1, 2024.</w:t>
      </w:r>
    </w:p>
    <w:p>
      <w:pPr>
        <w:spacing w:after="40" w:line="276" w:lineRule="auto"/>
        <w:jc w:val="left"/>
      </w:pPr>
      <w:r>
        <w:rPr>
          <w:b w:val="0"/>
          <w:i w:val="0"/>
          <w:sz w:val="19"/>
        </w:rPr>
        <w:t>[2] Shenzhen EAI Technology Co., Ltd., "YDLIDAR X2 360-Degree 2D Range Finder Datasheet &amp; Development Manual," EAI Tech, 2023.</w:t>
      </w:r>
    </w:p>
    <w:p>
      <w:pPr>
        <w:spacing w:after="40" w:line="276" w:lineRule="auto"/>
        <w:jc w:val="left"/>
      </w:pPr>
      <w:r>
        <w:rPr>
          <w:b w:val="0"/>
          <w:i w:val="0"/>
          <w:sz w:val="19"/>
        </w:rPr>
        <w:t>[3] DFRobot Electronic &amp; Technology Co., "Gravity: Digital 360-Degree Tilt Sensor User Guide," SKU: DFR0028, 2023.</w:t>
      </w:r>
    </w:p>
    <w:p>
      <w:pPr>
        <w:spacing w:after="40" w:line="276" w:lineRule="auto"/>
        <w:jc w:val="left"/>
      </w:pPr>
      <w:r>
        <w:rPr>
          <w:b w:val="0"/>
          <w:i w:val="0"/>
          <w:sz w:val="19"/>
        </w:rPr>
        <w:t>[4] Espressif Systems, "ESP32 Series SoC Datasheet &amp; FreeRTOS API Reference Guide," v4.2, 2024.</w:t>
      </w:r>
    </w:p>
    <w:p>
      <w:pPr>
        <w:spacing w:after="40" w:line="276" w:lineRule="auto"/>
        <w:jc w:val="left"/>
      </w:pPr>
      <w:r>
        <w:rPr>
          <w:b w:val="0"/>
          <w:i w:val="0"/>
          <w:sz w:val="19"/>
        </w:rPr>
        <w:t>[5] F. Nex and F. Remondino, "UAV for 3D mapping applications: a review," Applied Geomatics, vol. 6, no. 1, pp. 1–15, 2014.</w:t>
      </w:r>
    </w:p>
    <w:p>
      <w:pPr>
        <w:spacing w:after="40" w:line="276" w:lineRule="auto"/>
        <w:jc w:val="left"/>
      </w:pPr>
      <w:r>
        <w:rPr>
          <w:b w:val="0"/>
          <w:i w:val="0"/>
          <w:sz w:val="19"/>
        </w:rPr>
        <w:t>[6] J. P. Valenchon et al., "Structural health monitoring of civil infrastructure using unmanned aerial vehicles: A state-of-the-art review," Computer-Aided Civil and Infrastructure Engineering, vol. 37, no. 8, pp. 982–1003, 2022.</w:t>
      </w:r>
    </w:p>
    <w:p>
      <w:pPr>
        <w:spacing w:after="40" w:line="276" w:lineRule="auto"/>
        <w:jc w:val="left"/>
      </w:pPr>
      <w:r>
        <w:rPr>
          <w:b w:val="0"/>
          <w:i w:val="0"/>
          <w:sz w:val="19"/>
        </w:rPr>
        <w:t>[7] H. Guan et al., "Use of low-cost UAV and LiDAR for crack detection and deformation measurement of concrete structures," Automation in Construction, vol. 125, p. 103648, 2021.</w:t>
      </w:r>
    </w:p>
    <w:p>
      <w:pPr>
        <w:spacing w:after="40" w:line="276" w:lineRule="auto"/>
        <w:jc w:val="left"/>
      </w:pPr>
      <w:r>
        <w:rPr>
          <w:b w:val="0"/>
          <w:i w:val="0"/>
          <w:sz w:val="19"/>
        </w:rPr>
        <w:t>[8] R. B. Rusu and S. Cousins, "3D is here: Point Cloud Library (PCL)," IEEE International Conference on Robotics and Automation (ICRA), pp. 1–4, 2011.</w:t>
      </w:r>
    </w:p>
    <w:p>
      <w:pPr>
        <w:spacing w:after="40" w:line="276" w:lineRule="auto"/>
        <w:jc w:val="left"/>
      </w:pPr>
      <w:r>
        <w:rPr>
          <w:b w:val="0"/>
          <w:i w:val="0"/>
          <w:sz w:val="19"/>
        </w:rPr>
        <w:t>[9] Dronecode Project, "Pixhawk 2.4.8 Open Hardware Autopilot Specifications," Dronecode Foundation, 2022.</w:t>
      </w:r>
    </w:p>
    <w:p>
      <w:pPr>
        <w:spacing w:after="40" w:line="276" w:lineRule="auto"/>
        <w:jc w:val="left"/>
      </w:pPr>
      <w:r>
        <w:rPr>
          <w:b w:val="0"/>
          <w:i w:val="0"/>
          <w:sz w:val="19"/>
        </w:rPr>
        <w:t>[10] Vitus, "BACSE291 Innovative Design Project Course Syllabus &amp; Rubrics," School of Computer Science &amp; Engineering, VIT Vellore, 2026.</w:t>
      </w:r>
    </w:p>
    <w:p>
      <w:pPr>
        <w:spacing w:after="40" w:line="276" w:lineRule="auto"/>
        <w:jc w:val="left"/>
      </w:pPr>
      <w:r>
        <w:rPr>
          <w:b w:val="0"/>
          <w:i w:val="0"/>
          <w:sz w:val="19"/>
        </w:rPr>
        <w:t>[11] N. P. Joshi, A. P. Mithari, and M. Gupta, "Web-Based 3D Mesh Simplification Tool — PLY Forge: Point Cloud Processor," Multidisciplinary Project Final Report, VIT Vellore, 2025.</w:t>
      </w:r>
    </w:p>
    <w:p>
      <w:pPr>
        <w:spacing w:after="40" w:line="276" w:lineRule="auto"/>
        <w:jc w:val="left"/>
      </w:pPr>
      <w:r>
        <w:rPr>
          <w:b w:val="0"/>
          <w:i w:val="0"/>
          <w:sz w:val="19"/>
        </w:rPr>
        <w:t>[12] P. Sharma and A. Kaushik, "Aerial Sensing &amp; Drone Integration for Structural Facade Monitoring," BACSE291 Review 1 Deliverables, 15377IDP01, VIT Vellore, 2026.</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