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0F172A"/>
          <w:sz w:val="24"/>
        </w:rPr>
        <w:t>AI IN STRUCTURAL HEALTH MONITORING FOR PREDICTIVE MAINTENANCE &amp; SAFETY ASSURANCE</w:t>
        <w:br/>
      </w:r>
      <w:r>
        <w:rPr>
          <w:b/>
          <w:color w:val="1E3A8A"/>
          <w:sz w:val="17"/>
        </w:rPr>
        <w:t>EXECUTIVE PROGRESS SUMMARY: PRIOR MDP, CURRENT IDP, DUAL-PLATFORM DEPLOYMENT &amp; PROCUREMENT PLAN</w:t>
        <w:br/>
      </w:r>
      <w:r>
        <w:rPr>
          <w:color w:val="64748B"/>
          <w:sz w:val="15"/>
        </w:rPr>
        <w:t>BACSE291 — Innovative Design Project | Fall 2026 | Vellore Institute of Technology (VIT), Vellore</w:t>
        <w:br/>
        <w:t>Guide: Dr. Senthil Kumar N (Emp ID: 15377, SCOPE) | Aerial (15377IDP01): Priyam S., Ayushman K. | Ground (15377IDP02): Nisargkumar J. (Lead), Aryan M., Mudit 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472"/>
        <w:gridCol w:w="5472"/>
      </w:tblGrid>
      <w:tr>
        <w:tc>
          <w:tcPr>
            <w:tcW w:type="dxa" w:w="5472"/>
            <w:shd w:fill="1E3A8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6"/>
              </w:rPr>
              <w:t>1. PREVIOUS MDP: PLY FORGE POINT CLOUD PROCESSOR</w:t>
            </w:r>
          </w:p>
        </w:tc>
        <w:tc>
          <w:tcPr>
            <w:tcW w:type="dxa" w:w="5472"/>
            <w:shd w:fill="0284C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6"/>
              </w:rPr>
              <w:t>2. CURRENT IDP WORK DEVELOPED &amp; VERIFIED</w:t>
            </w:r>
          </w:p>
        </w:tc>
      </w:tr>
      <w:tr>
        <w:tc>
          <w:tcPr>
            <w:tcW w:type="dxa" w:w="547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• Architecture: Client-side WebGL 1.0 3D point cloud processor in HTML5/ES6 without external libraries (no Three.js, no Node.js backend).</w:t>
              <w:br/>
              <w:t>• Core Capabilities: Binary/ASCII PLY parser (DataView/ArrayBuffer), 18,000-pt Stanford Bunny demo, circle ROI filtering, 2.5D Delaunay/grid meshing, and PLY export.</w:t>
              <w:br/>
              <w:t>• Voxel Downsampling: Spatial hash map downsampling point clouds by 60%–90% while preserving structural boundaries.</w:t>
              <w:br/>
              <w:t>• Direct IDP Role: Directly embedded into Ground Station Tab 4 (Streamlit WebGL Viewer) for zero-latency 3D facade rendering without external software.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• Aerial Sensing (15377IDP01): Calibrated Benewake TF-Luna 850nm dToF (&lt;5g, 0.35W, 100 Hz) on ESP32 FreeRTOS. UART sync to 0x59 0x59 with checksum and median filter (N=5).</w:t>
              <w:br/>
              <w:t>• Empirical Metrology Fit: Universal model: y = 1.0228x + 3.20 cm (R²=1.0000, RMSE=±0.02 cm across 39.0cm and 61.4cm physical benchmarks).</w:t>
              <w:br/>
              <w:t>• Ground Analytics (15377IDP02): Rolling baseline tracking calculating residuals (Δd); flags spalls (Δd ≥ +3.5cm) and bulges (Δd ≤ -3.5cm).</w:t>
              <w:br/>
              <w:t>• 3D Digital Twin: Reconstructed 9,969-point room (.PLY) isolating Almari bulge (+65cm) and Gate recess (-60cm). 5-tab Streamlit dashboard.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472"/>
        <w:gridCol w:w="5472"/>
      </w:tblGrid>
      <w:tr>
        <w:tc>
          <w:tcPr>
            <w:tcW w:type="dxa" w:w="5472"/>
            <w:shd w:fill="D9770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6"/>
              </w:rPr>
              <w:t>3. DUAL-PLATFORM STRATEGY &amp; HARDWARE UPGRADES</w:t>
            </w:r>
          </w:p>
        </w:tc>
        <w:tc>
          <w:tcPr>
            <w:tcW w:type="dxa" w:w="5472"/>
            <w:shd w:fill="05966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6"/>
              </w:rPr>
              <w:t>4. FUTURE ROADMAP &amp; SYSTEM INTEGRATION</w:t>
            </w:r>
          </w:p>
        </w:tc>
      </w:tr>
      <w:tr>
        <w:tc>
          <w:tcPr>
            <w:tcW w:type="dxa" w:w="547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• Platform Duality: (1) Autonomous F450 Drone: Elevated facade inspection; (2) Smart 4WD Ground Car: Indoor corridors, eliminating prop-wash suction &amp; hand jitter.</w:t>
              <w:br/>
              <w:t>• Smart 4WD Car Odometry: Dual 20-slot optical wheel encoders integrate distance at ~1.02 mm/tick; closed-loop PID maintains constant 5.0 cm/s traverse; coordinates: (X_enc, d_meas*cosθ, Z_mast).</w:t>
              <w:br/>
              <w:t>• YDLIDAR X2 360° LiDAR (INR 7,189): 3,000 pts/s, 7 Hz planar rotation, capturing full 2D cross-sectional wall slices in 142 ms.</w:t>
              <w:br/>
              <w:t>• DFRobot Gravity Tilt Sensor (INR 245): Instant pitch/roll correction: d_true = d_meas*cos(θ), eliminating 3.1 cm artificial elongation false cavities.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• Phase 1–2 (Weeks 1–3): Procure Tier 1 hardware (LiDAR, tilt sensor, 4WD car kit); verify UART framing and 5V rail regulation.</w:t>
              <w:br/>
              <w:t>• Phase 3–4 (Weeks 4–6): Assemble F450 airframe &amp; propulsion; implement silicone vibration-damping deck (&gt;18 dB attenuation); benchmark hover thrust.</w:t>
              <w:br/>
              <w:t>• Phase 5–6 (Weeks 7–10): Laboratory wall scanning with Smart 4WD car (encoder odometry); tethered facade flights; blind defect detection.</w:t>
              <w:br/>
              <w:t>• Phase 7 (Weeks 11–14): End-to-end integration, Streamlit PLY Forge 3D meshing, automated compliance PDF reports, and IEEE submission.</w:t>
              <w:br/>
              <w:t>• Target Metrics: Static distance RMSE ≤ ±1.5cm; Tilt residual ≤ 0.5cm; Defect sensitivity ≥ 95%; Car odometry drift ≤ 1.0cm / 5m.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736"/>
        <w:gridCol w:w="2736"/>
        <w:gridCol w:w="2736"/>
        <w:gridCol w:w="2736"/>
      </w:tblGrid>
      <w:tr>
        <w:tc>
          <w:tcPr>
            <w:tcW w:type="dxa" w:w="2736"/>
            <w:shd w:fill="1E3A8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5"/>
              </w:rPr>
              <w:t>Component Group</w:t>
            </w:r>
          </w:p>
        </w:tc>
        <w:tc>
          <w:tcPr>
            <w:tcW w:type="dxa" w:w="2736"/>
            <w:shd w:fill="1E3A8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5"/>
              </w:rPr>
              <w:t>Key Inclusions &amp; Specifications</w:t>
            </w:r>
          </w:p>
        </w:tc>
        <w:tc>
          <w:tcPr>
            <w:tcW w:type="dxa" w:w="2736"/>
            <w:shd w:fill="1E3A8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5"/>
              </w:rPr>
              <w:t>Cost (INR)</w:t>
            </w:r>
          </w:p>
        </w:tc>
        <w:tc>
          <w:tcPr>
            <w:tcW w:type="dxa" w:w="2736"/>
            <w:shd w:fill="1E3A8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5"/>
              </w:rPr>
              <w:t>Procurement Phasing</w:t>
            </w:r>
          </w:p>
        </w:tc>
      </w:tr>
      <w:tr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Sensors &amp; Contingency Car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YDLIDAR X2 360° LiDAR (INR 7,189), DFRobot Tilt (INR 245), Smart 4WD Car + Encoders (INR 1,750), Buck (INR 240)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INR 9,424.00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Tier 1 (Immediate Critical / Weeks 1–2)</w:t>
            </w:r>
          </w:p>
        </w:tc>
      </w:tr>
      <w:tr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Airframe &amp; Power Reservoir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F450 Frame + 4x Motors + 4x ESCs (INR 5,200), 1045 Props (INR 260), 3S 4200mAh LiPo &amp; B6 Charger (INR 4,430)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INR 9,890.00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Tier 2 (UAV Assembly / Weeks 3–4)</w:t>
            </w:r>
          </w:p>
        </w:tc>
      </w:tr>
      <w:tr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Avionics, Shipping &amp; Reserve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Pixhawk 2.4.8 Kit (INR 5,950), ESP32 (INR 380), Dampers/Wire (INR 570), Shipping (INR 400), Contingency (INR 2,000)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INR 9,300.00</w:t>
            </w:r>
          </w:p>
        </w:tc>
        <w:tc>
          <w:tcPr>
            <w:tcW w:type="dxa" w:w="273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sz w:val="14"/>
              </w:rPr>
              <w:t>Tier 3 (Flight Trials / Weeks 5–6)</w:t>
            </w:r>
          </w:p>
        </w:tc>
      </w:tr>
      <w:tr>
        <w:tc>
          <w:tcPr>
            <w:tcW w:type="dxa" w:w="2736"/>
            <w:shd w:fill="0F172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4"/>
              </w:rPr>
              <w:t>TOTAL DUAL-PLATFORM BUDGET</w:t>
            </w:r>
          </w:p>
        </w:tc>
        <w:tc>
          <w:tcPr>
            <w:tcW w:type="dxa" w:w="2736"/>
            <w:shd w:fill="0F172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4"/>
              </w:rPr>
              <w:t>Complete Airborne UAV &amp; Smart 4WD Ground Robotic Car Systems</w:t>
            </w:r>
          </w:p>
        </w:tc>
        <w:tc>
          <w:tcPr>
            <w:tcW w:type="dxa" w:w="2736"/>
            <w:shd w:fill="0F172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4"/>
              </w:rPr>
              <w:t>INR 28,874.00</w:t>
            </w:r>
          </w:p>
        </w:tc>
        <w:tc>
          <w:tcPr>
            <w:tcW w:type="dxa" w:w="2736"/>
            <w:shd w:fill="0F172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52" w:lineRule="auto"/>
            </w:pPr>
            <w:r>
              <w:rPr>
                <w:b/>
                <w:color w:val="FFFFFF"/>
                <w:sz w:val="14"/>
              </w:rPr>
              <w:t>Ground MVP Option: INR 9,964.00</w:t>
            </w:r>
          </w:p>
        </w:tc>
      </w:tr>
    </w:tbl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