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DFEA6" w14:textId="77777777" w:rsidR="00565DB5" w:rsidRDefault="00000000">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report analysis</w:t>
      </w:r>
    </w:p>
    <w:p w14:paraId="36DF1FB0" w14:textId="77777777" w:rsidR="00565DB5"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28CF86AB" w14:textId="77777777" w:rsidR="00565DB5"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sz w:val="24"/>
          <w:szCs w:val="24"/>
        </w:rPr>
        <w:t>As you continue through this course, you may use this template to record your findings after completing an activity or to take notes on what you've learned about a specific tool or concept. You can also use this chart as a way to practice applying the NIST framework to different situations you encounter.</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565DB5" w14:paraId="1B147E41" w14:textId="77777777">
        <w:trPr>
          <w:trHeight w:val="420"/>
        </w:trPr>
        <w:tc>
          <w:tcPr>
            <w:tcW w:w="2055" w:type="dxa"/>
            <w:shd w:val="clear" w:color="auto" w:fill="auto"/>
            <w:tcMar>
              <w:top w:w="100" w:type="dxa"/>
              <w:left w:w="100" w:type="dxa"/>
              <w:bottom w:w="100" w:type="dxa"/>
              <w:right w:w="100" w:type="dxa"/>
            </w:tcMar>
          </w:tcPr>
          <w:p w14:paraId="3C6E1EE5" w14:textId="77777777" w:rsidR="00565DB5" w:rsidRDefault="00000000">
            <w:pPr>
              <w:widowControl w:val="0"/>
              <w:spacing w:line="360" w:lineRule="auto"/>
              <w:rPr>
                <w:rFonts w:ascii="Google Sans" w:eastAsia="Google Sans" w:hAnsi="Google Sans" w:cs="Google Sans"/>
              </w:rPr>
            </w:pPr>
            <w:r>
              <w:rPr>
                <w:rFonts w:ascii="Google Sans" w:eastAsia="Google Sans" w:hAnsi="Google Sans" w:cs="Google Sans"/>
                <w:b/>
              </w:rPr>
              <w:t>Summary</w:t>
            </w:r>
          </w:p>
        </w:tc>
        <w:tc>
          <w:tcPr>
            <w:tcW w:w="8025" w:type="dxa"/>
            <w:shd w:val="clear" w:color="auto" w:fill="auto"/>
            <w:tcMar>
              <w:top w:w="100" w:type="dxa"/>
              <w:left w:w="100" w:type="dxa"/>
              <w:bottom w:w="100" w:type="dxa"/>
              <w:right w:w="100" w:type="dxa"/>
            </w:tcMar>
          </w:tcPr>
          <w:p w14:paraId="67A409AF" w14:textId="6A6EE8FB" w:rsidR="00565DB5" w:rsidRDefault="00472724">
            <w:pPr>
              <w:widowControl w:val="0"/>
              <w:spacing w:line="360" w:lineRule="auto"/>
              <w:rPr>
                <w:rFonts w:ascii="Google Sans" w:eastAsia="Google Sans" w:hAnsi="Google Sans" w:cs="Google Sans"/>
              </w:rPr>
            </w:pPr>
            <w:r w:rsidRPr="00472724">
              <w:rPr>
                <w:rFonts w:ascii="Google Sans" w:eastAsia="Google Sans" w:hAnsi="Google Sans" w:cs="Google Sans"/>
              </w:rPr>
              <w:t xml:space="preserve">During a DDoS attack, the company's internal network was compromised for two hours due to an incoming flood of ICMP packets. The incident was caused by a malicious actor sending ICMP pings through an unconfigured firewall, leading to a DDoS attack. The impact included the disruption of normal network services. The response involved blocking incoming ICMP packets, stopping non-critical network services, and restoring critical services. </w:t>
            </w:r>
            <w:r w:rsidR="00DD7A14">
              <w:rPr>
                <w:rFonts w:ascii="Google Sans" w:eastAsia="Google Sans" w:hAnsi="Google Sans" w:cs="Google Sans"/>
              </w:rPr>
              <w:t>To mitigate future attacks, the security team then implemented new firewall rules, source IP address verification, network monitoring software, and an IDS/IPS system</w:t>
            </w:r>
            <w:r>
              <w:rPr>
                <w:rFonts w:ascii="Google Sans" w:eastAsia="Google Sans" w:hAnsi="Google Sans" w:cs="Google Sans"/>
              </w:rPr>
              <w:t>.</w:t>
            </w:r>
          </w:p>
        </w:tc>
      </w:tr>
      <w:tr w:rsidR="00565DB5" w14:paraId="1B8DFC38" w14:textId="77777777">
        <w:trPr>
          <w:trHeight w:val="420"/>
        </w:trPr>
        <w:tc>
          <w:tcPr>
            <w:tcW w:w="2055" w:type="dxa"/>
            <w:shd w:val="clear" w:color="auto" w:fill="auto"/>
            <w:tcMar>
              <w:top w:w="100" w:type="dxa"/>
              <w:left w:w="100" w:type="dxa"/>
              <w:bottom w:w="100" w:type="dxa"/>
              <w:right w:w="100" w:type="dxa"/>
            </w:tcMar>
          </w:tcPr>
          <w:p w14:paraId="7C3C4ADE" w14:textId="77777777" w:rsidR="00565DB5" w:rsidRDefault="00000000">
            <w:pPr>
              <w:widowControl w:val="0"/>
              <w:spacing w:line="360" w:lineRule="auto"/>
              <w:rPr>
                <w:rFonts w:ascii="Google Sans" w:eastAsia="Google Sans" w:hAnsi="Google Sans" w:cs="Google Sans"/>
              </w:rPr>
            </w:pPr>
            <w:r>
              <w:rPr>
                <w:rFonts w:ascii="Google Sans" w:eastAsia="Google Sans" w:hAnsi="Google Sans" w:cs="Google Sans"/>
              </w:rPr>
              <w:t>Identify</w:t>
            </w:r>
          </w:p>
        </w:tc>
        <w:tc>
          <w:tcPr>
            <w:tcW w:w="8025" w:type="dxa"/>
            <w:shd w:val="clear" w:color="auto" w:fill="auto"/>
            <w:tcMar>
              <w:top w:w="100" w:type="dxa"/>
              <w:left w:w="100" w:type="dxa"/>
              <w:bottom w:w="100" w:type="dxa"/>
              <w:right w:w="100" w:type="dxa"/>
            </w:tcMar>
          </w:tcPr>
          <w:p w14:paraId="30111CE3" w14:textId="06156796" w:rsidR="00565DB5" w:rsidRDefault="00472724">
            <w:pPr>
              <w:widowControl w:val="0"/>
              <w:spacing w:line="360" w:lineRule="auto"/>
              <w:rPr>
                <w:rFonts w:ascii="Google Sans" w:eastAsia="Google Sans" w:hAnsi="Google Sans" w:cs="Google Sans"/>
              </w:rPr>
            </w:pPr>
            <w:r w:rsidRPr="00472724">
              <w:rPr>
                <w:rFonts w:ascii="Google Sans" w:eastAsia="Google Sans" w:hAnsi="Google Sans" w:cs="Google Sans"/>
              </w:rPr>
              <w:t xml:space="preserve">The type of attack was a DDoS attack using ICMP flood. Systems affected included internal network services. The attack source was identified as a malicious actor exploiting an unconfigured firewall. </w:t>
            </w:r>
            <w:r w:rsidR="00DD7A14">
              <w:rPr>
                <w:rFonts w:ascii="Google Sans" w:eastAsia="Google Sans" w:hAnsi="Google Sans" w:cs="Google Sans"/>
              </w:rPr>
              <w:t>The estimated</w:t>
            </w:r>
            <w:r w:rsidRPr="00472724">
              <w:rPr>
                <w:rFonts w:ascii="Google Sans" w:eastAsia="Google Sans" w:hAnsi="Google Sans" w:cs="Google Sans"/>
              </w:rPr>
              <w:t xml:space="preserve"> impact included disruption of normal network services for two hours</w:t>
            </w:r>
            <w:r>
              <w:rPr>
                <w:rFonts w:ascii="Google Sans" w:eastAsia="Google Sans" w:hAnsi="Google Sans" w:cs="Google Sans"/>
              </w:rPr>
              <w:t>.</w:t>
            </w:r>
          </w:p>
        </w:tc>
      </w:tr>
      <w:tr w:rsidR="00565DB5" w14:paraId="123F7902" w14:textId="77777777">
        <w:trPr>
          <w:trHeight w:val="420"/>
        </w:trPr>
        <w:tc>
          <w:tcPr>
            <w:tcW w:w="2055" w:type="dxa"/>
            <w:shd w:val="clear" w:color="auto" w:fill="auto"/>
            <w:tcMar>
              <w:top w:w="100" w:type="dxa"/>
              <w:left w:w="100" w:type="dxa"/>
              <w:bottom w:w="100" w:type="dxa"/>
              <w:right w:w="100" w:type="dxa"/>
            </w:tcMar>
          </w:tcPr>
          <w:p w14:paraId="3111BC53" w14:textId="77777777" w:rsidR="00565DB5" w:rsidRDefault="00000000">
            <w:pPr>
              <w:widowControl w:val="0"/>
              <w:spacing w:line="360" w:lineRule="auto"/>
              <w:rPr>
                <w:rFonts w:ascii="Google Sans" w:eastAsia="Google Sans" w:hAnsi="Google Sans" w:cs="Google Sans"/>
              </w:rPr>
            </w:pPr>
            <w:r>
              <w:rPr>
                <w:rFonts w:ascii="Google Sans" w:eastAsia="Google Sans" w:hAnsi="Google Sans" w:cs="Google Sans"/>
              </w:rPr>
              <w:t>Protect</w:t>
            </w:r>
          </w:p>
        </w:tc>
        <w:tc>
          <w:tcPr>
            <w:tcW w:w="8025" w:type="dxa"/>
            <w:shd w:val="clear" w:color="auto" w:fill="auto"/>
            <w:tcMar>
              <w:top w:w="100" w:type="dxa"/>
              <w:left w:w="100" w:type="dxa"/>
              <w:bottom w:w="100" w:type="dxa"/>
              <w:right w:w="100" w:type="dxa"/>
            </w:tcMar>
          </w:tcPr>
          <w:p w14:paraId="107276AD" w14:textId="58B6401A" w:rsidR="00565DB5" w:rsidRPr="00472724" w:rsidRDefault="00472724">
            <w:pPr>
              <w:widowControl w:val="0"/>
              <w:spacing w:line="360" w:lineRule="auto"/>
              <w:rPr>
                <w:rFonts w:ascii="Google Sans" w:eastAsia="Google Sans" w:hAnsi="Google Sans" w:cs="Google Sans"/>
                <w:bCs/>
              </w:rPr>
            </w:pPr>
            <w:r w:rsidRPr="00472724">
              <w:rPr>
                <w:rFonts w:ascii="Google Sans" w:eastAsia="Google Sans" w:hAnsi="Google Sans" w:cs="Google Sans"/>
                <w:bCs/>
              </w:rPr>
              <w:t>Implement source IP address verification on the firewall to check for spoofed IP addresses on incoming ICMP packets. Update firewall rules to limit the rate of incoming ICMP packets</w:t>
            </w:r>
            <w:r w:rsidRPr="00472724">
              <w:rPr>
                <w:rFonts w:ascii="Google Sans" w:eastAsia="Google Sans" w:hAnsi="Google Sans" w:cs="Google Sans"/>
                <w:bCs/>
              </w:rPr>
              <w:t>.</w:t>
            </w:r>
          </w:p>
        </w:tc>
      </w:tr>
      <w:tr w:rsidR="00565DB5" w14:paraId="645A4CD3" w14:textId="77777777">
        <w:trPr>
          <w:trHeight w:val="630"/>
        </w:trPr>
        <w:tc>
          <w:tcPr>
            <w:tcW w:w="2055" w:type="dxa"/>
            <w:shd w:val="clear" w:color="auto" w:fill="auto"/>
            <w:tcMar>
              <w:top w:w="100" w:type="dxa"/>
              <w:left w:w="100" w:type="dxa"/>
              <w:bottom w:w="100" w:type="dxa"/>
              <w:right w:w="100" w:type="dxa"/>
            </w:tcMar>
          </w:tcPr>
          <w:p w14:paraId="2811F102" w14:textId="77777777" w:rsidR="00565DB5" w:rsidRDefault="00000000">
            <w:pPr>
              <w:widowControl w:val="0"/>
              <w:spacing w:line="360" w:lineRule="auto"/>
              <w:rPr>
                <w:rFonts w:ascii="Google Sans" w:eastAsia="Google Sans" w:hAnsi="Google Sans" w:cs="Google Sans"/>
              </w:rPr>
            </w:pPr>
            <w:r>
              <w:rPr>
                <w:rFonts w:ascii="Google Sans" w:eastAsia="Google Sans" w:hAnsi="Google Sans" w:cs="Google Sans"/>
              </w:rPr>
              <w:t>Detect</w:t>
            </w:r>
          </w:p>
        </w:tc>
        <w:tc>
          <w:tcPr>
            <w:tcW w:w="8025" w:type="dxa"/>
            <w:shd w:val="clear" w:color="auto" w:fill="auto"/>
            <w:tcMar>
              <w:top w:w="100" w:type="dxa"/>
              <w:left w:w="100" w:type="dxa"/>
              <w:bottom w:w="100" w:type="dxa"/>
              <w:right w:w="100" w:type="dxa"/>
            </w:tcMar>
          </w:tcPr>
          <w:p w14:paraId="5357A4CE" w14:textId="70DCB43E" w:rsidR="00565DB5" w:rsidRDefault="00487DD5">
            <w:pPr>
              <w:widowControl w:val="0"/>
              <w:spacing w:line="360" w:lineRule="auto"/>
              <w:rPr>
                <w:rFonts w:ascii="Google Sans" w:eastAsia="Google Sans" w:hAnsi="Google Sans" w:cs="Google Sans"/>
              </w:rPr>
            </w:pPr>
            <w:r w:rsidRPr="00487DD5">
              <w:rPr>
                <w:rFonts w:ascii="Google Sans" w:eastAsia="Google Sans" w:hAnsi="Google Sans" w:cs="Google Sans"/>
              </w:rPr>
              <w:t>Implement network monitoring software to detect abnormal traffic patterns. Deploy an IDS/IPS system to filter out suspicious ICMP traffic</w:t>
            </w:r>
            <w:r>
              <w:rPr>
                <w:rFonts w:ascii="Google Sans" w:eastAsia="Google Sans" w:hAnsi="Google Sans" w:cs="Google Sans"/>
              </w:rPr>
              <w:t>.</w:t>
            </w:r>
          </w:p>
        </w:tc>
      </w:tr>
      <w:tr w:rsidR="00565DB5" w14:paraId="2D078376" w14:textId="77777777">
        <w:trPr>
          <w:trHeight w:val="420"/>
        </w:trPr>
        <w:tc>
          <w:tcPr>
            <w:tcW w:w="2055" w:type="dxa"/>
            <w:shd w:val="clear" w:color="auto" w:fill="auto"/>
            <w:tcMar>
              <w:top w:w="100" w:type="dxa"/>
              <w:left w:w="100" w:type="dxa"/>
              <w:bottom w:w="100" w:type="dxa"/>
              <w:right w:w="100" w:type="dxa"/>
            </w:tcMar>
          </w:tcPr>
          <w:p w14:paraId="77421A42" w14:textId="77777777" w:rsidR="00565DB5"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Respond</w:t>
            </w:r>
          </w:p>
        </w:tc>
        <w:tc>
          <w:tcPr>
            <w:tcW w:w="8025" w:type="dxa"/>
            <w:shd w:val="clear" w:color="auto" w:fill="auto"/>
            <w:tcMar>
              <w:top w:w="100" w:type="dxa"/>
              <w:left w:w="100" w:type="dxa"/>
              <w:bottom w:w="100" w:type="dxa"/>
              <w:right w:w="100" w:type="dxa"/>
            </w:tcMar>
          </w:tcPr>
          <w:p w14:paraId="3DF64D7D" w14:textId="3FA6B49D" w:rsidR="00565DB5" w:rsidRDefault="00487DD5">
            <w:pPr>
              <w:widowControl w:val="0"/>
              <w:spacing w:line="360" w:lineRule="auto"/>
              <w:rPr>
                <w:rFonts w:ascii="Google Sans" w:eastAsia="Google Sans" w:hAnsi="Google Sans" w:cs="Google Sans"/>
              </w:rPr>
            </w:pPr>
            <w:r w:rsidRPr="00487DD5">
              <w:rPr>
                <w:rFonts w:ascii="Google Sans" w:eastAsia="Google Sans" w:hAnsi="Google Sans" w:cs="Google Sans"/>
              </w:rPr>
              <w:t xml:space="preserve">Develop response plans for containing and neutralizing future DDoS attacks. Improve communications </w:t>
            </w:r>
            <w:r w:rsidR="005F6699">
              <w:rPr>
                <w:rFonts w:ascii="Google Sans" w:eastAsia="Google Sans" w:hAnsi="Google Sans" w:cs="Google Sans"/>
              </w:rPr>
              <w:t>to inform</w:t>
            </w:r>
            <w:r w:rsidRPr="00487DD5">
              <w:rPr>
                <w:rFonts w:ascii="Google Sans" w:eastAsia="Google Sans" w:hAnsi="Google Sans" w:cs="Google Sans"/>
              </w:rPr>
              <w:t xml:space="preserve"> stakeholders about security event response procedures. Analyze incident data to identify patterns and improve response strategies</w:t>
            </w:r>
            <w:r>
              <w:rPr>
                <w:rFonts w:ascii="Google Sans" w:eastAsia="Google Sans" w:hAnsi="Google Sans" w:cs="Google Sans"/>
              </w:rPr>
              <w:t>.</w:t>
            </w:r>
          </w:p>
        </w:tc>
      </w:tr>
      <w:tr w:rsidR="00565DB5" w14:paraId="0247E5A8" w14:textId="77777777">
        <w:trPr>
          <w:trHeight w:val="420"/>
        </w:trPr>
        <w:tc>
          <w:tcPr>
            <w:tcW w:w="2055" w:type="dxa"/>
            <w:shd w:val="clear" w:color="auto" w:fill="auto"/>
            <w:tcMar>
              <w:top w:w="100" w:type="dxa"/>
              <w:left w:w="100" w:type="dxa"/>
              <w:bottom w:w="100" w:type="dxa"/>
              <w:right w:w="100" w:type="dxa"/>
            </w:tcMar>
          </w:tcPr>
          <w:p w14:paraId="144B118C" w14:textId="77777777" w:rsidR="00565DB5" w:rsidRDefault="00000000">
            <w:pPr>
              <w:widowControl w:val="0"/>
              <w:spacing w:line="360" w:lineRule="auto"/>
              <w:rPr>
                <w:rFonts w:ascii="Google Sans" w:eastAsia="Google Sans" w:hAnsi="Google Sans" w:cs="Google Sans"/>
              </w:rPr>
            </w:pPr>
            <w:r>
              <w:rPr>
                <w:rFonts w:ascii="Google Sans" w:eastAsia="Google Sans" w:hAnsi="Google Sans" w:cs="Google Sans"/>
              </w:rPr>
              <w:t>Recover</w:t>
            </w:r>
          </w:p>
        </w:tc>
        <w:tc>
          <w:tcPr>
            <w:tcW w:w="8025" w:type="dxa"/>
            <w:shd w:val="clear" w:color="auto" w:fill="auto"/>
            <w:tcMar>
              <w:top w:w="100" w:type="dxa"/>
              <w:left w:w="100" w:type="dxa"/>
              <w:bottom w:w="100" w:type="dxa"/>
              <w:right w:w="100" w:type="dxa"/>
            </w:tcMar>
          </w:tcPr>
          <w:p w14:paraId="1EECECDF" w14:textId="16A64A97" w:rsidR="00565DB5" w:rsidRDefault="00A834DC">
            <w:pPr>
              <w:widowControl w:val="0"/>
              <w:spacing w:line="360" w:lineRule="auto"/>
              <w:rPr>
                <w:rFonts w:ascii="Google Sans" w:eastAsia="Google Sans" w:hAnsi="Google Sans" w:cs="Google Sans"/>
              </w:rPr>
            </w:pPr>
            <w:r w:rsidRPr="00A834DC">
              <w:rPr>
                <w:rFonts w:ascii="Google Sans" w:eastAsia="Google Sans" w:hAnsi="Google Sans" w:cs="Google Sans"/>
              </w:rPr>
              <w:t>Construct a recovery plan to restore affected systems and data. Identify improvements to enhance the organization's recovery systems and processes. Establish communication channels for disseminating restoration procedures within the organization and to affected parties</w:t>
            </w:r>
            <w:r>
              <w:rPr>
                <w:rFonts w:ascii="Google Sans" w:eastAsia="Google Sans" w:hAnsi="Google Sans" w:cs="Google Sans"/>
              </w:rPr>
              <w:t>.</w:t>
            </w:r>
          </w:p>
        </w:tc>
      </w:tr>
    </w:tbl>
    <w:p w14:paraId="1B420BD1" w14:textId="77777777" w:rsidR="00565DB5" w:rsidRDefault="00565DB5">
      <w:pPr>
        <w:spacing w:after="200" w:line="360" w:lineRule="auto"/>
        <w:ind w:left="-360" w:right="-360"/>
        <w:rPr>
          <w:rFonts w:ascii="Google Sans" w:eastAsia="Google Sans" w:hAnsi="Google Sans" w:cs="Google Sans"/>
        </w:rPr>
      </w:pPr>
    </w:p>
    <w:p w14:paraId="4FCC03BB" w14:textId="77777777" w:rsidR="00565DB5" w:rsidRDefault="00000000">
      <w:pPr>
        <w:spacing w:after="200" w:line="360" w:lineRule="auto"/>
        <w:ind w:left="-360" w:right="-360"/>
        <w:rPr>
          <w:rFonts w:ascii="Google Sans" w:eastAsia="Google Sans" w:hAnsi="Google Sans" w:cs="Google Sans"/>
        </w:rPr>
      </w:pPr>
      <w:r>
        <w:pict w14:anchorId="1CC3987C">
          <v:rect id="_x0000_i1025" style="width:0;height:1.5pt" o:hralign="center" o:hrstd="t" o:hr="t" fillcolor="#a0a0a0" stroked="f"/>
        </w:pict>
      </w:r>
    </w:p>
    <w:p w14:paraId="60B7ED41" w14:textId="77777777" w:rsidR="00565DB5" w:rsidRDefault="00565DB5">
      <w:pPr>
        <w:spacing w:line="360" w:lineRule="auto"/>
        <w:ind w:left="-360" w:right="-360"/>
        <w:rPr>
          <w:rFonts w:ascii="Google Sans" w:eastAsia="Google Sans" w:hAnsi="Google Sans" w:cs="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565DB5" w14:paraId="5E40F438" w14:textId="77777777">
        <w:tc>
          <w:tcPr>
            <w:tcW w:w="10080" w:type="dxa"/>
            <w:shd w:val="clear" w:color="auto" w:fill="auto"/>
            <w:tcMar>
              <w:top w:w="100" w:type="dxa"/>
              <w:left w:w="100" w:type="dxa"/>
              <w:bottom w:w="100" w:type="dxa"/>
              <w:right w:w="100" w:type="dxa"/>
            </w:tcMar>
          </w:tcPr>
          <w:p w14:paraId="0B15CC08" w14:textId="77777777" w:rsidR="00565DB5" w:rsidRDefault="00000000">
            <w:pPr>
              <w:widowControl w:val="0"/>
              <w:pBdr>
                <w:top w:val="nil"/>
                <w:left w:val="nil"/>
                <w:bottom w:val="nil"/>
                <w:right w:val="nil"/>
                <w:between w:val="nil"/>
              </w:pBdr>
              <w:spacing w:line="240" w:lineRule="auto"/>
              <w:rPr>
                <w:rFonts w:ascii="Google Sans" w:eastAsia="Google Sans" w:hAnsi="Google Sans" w:cs="Google Sans"/>
              </w:rPr>
            </w:pPr>
            <w:r>
              <w:rPr>
                <w:rFonts w:ascii="Google Sans" w:eastAsia="Google Sans" w:hAnsi="Google Sans" w:cs="Google Sans"/>
              </w:rPr>
              <w:t>Reflections/Notes:</w:t>
            </w:r>
          </w:p>
        </w:tc>
      </w:tr>
    </w:tbl>
    <w:p w14:paraId="7CE5F3B6" w14:textId="77777777" w:rsidR="00565DB5" w:rsidRDefault="00565DB5">
      <w:pPr>
        <w:spacing w:line="360" w:lineRule="auto"/>
        <w:ind w:left="-360" w:right="-360"/>
        <w:rPr>
          <w:rFonts w:ascii="Google Sans" w:eastAsia="Google Sans" w:hAnsi="Google Sans" w:cs="Google Sans"/>
        </w:rPr>
      </w:pPr>
    </w:p>
    <w:sectPr w:rsidR="00565DB5">
      <w:headerReference w:type="default" r:id="rId6"/>
      <w:headerReference w:type="first" r:id="rId7"/>
      <w:footerReference w:type="first" r:id="rId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2F3FA" w14:textId="77777777" w:rsidR="009D7FB9" w:rsidRDefault="009D7FB9">
      <w:pPr>
        <w:spacing w:line="240" w:lineRule="auto"/>
      </w:pPr>
      <w:r>
        <w:separator/>
      </w:r>
    </w:p>
  </w:endnote>
  <w:endnote w:type="continuationSeparator" w:id="0">
    <w:p w14:paraId="466146B8" w14:textId="77777777" w:rsidR="009D7FB9" w:rsidRDefault="009D7F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194AAA96-524E-4232-A0FF-87CCA409D6A0}"/>
    <w:embedBold r:id="rId2" w:fontKey="{0A2C89B1-D6BD-411B-9AB5-B7D081A78F7A}"/>
  </w:font>
  <w:font w:name="Calibri">
    <w:panose1 w:val="020F0502020204030204"/>
    <w:charset w:val="00"/>
    <w:family w:val="swiss"/>
    <w:pitch w:val="variable"/>
    <w:sig w:usb0="E4002EFF" w:usb1="C000247B" w:usb2="00000009" w:usb3="00000000" w:csb0="000001FF" w:csb1="00000000"/>
    <w:embedRegular r:id="rId3" w:fontKey="{C791BB73-D64F-48EC-9EB5-B05504A64EAB}"/>
  </w:font>
  <w:font w:name="Cambria">
    <w:panose1 w:val="02040503050406030204"/>
    <w:charset w:val="00"/>
    <w:family w:val="roman"/>
    <w:pitch w:val="variable"/>
    <w:sig w:usb0="E00006FF" w:usb1="420024FF" w:usb2="02000000" w:usb3="00000000" w:csb0="0000019F" w:csb1="00000000"/>
    <w:embedRegular r:id="rId4" w:fontKey="{92D52AA0-C1CC-447C-9464-7E09BBAAA64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23347" w14:textId="77777777" w:rsidR="00565DB5" w:rsidRDefault="00565D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48E98" w14:textId="77777777" w:rsidR="009D7FB9" w:rsidRDefault="009D7FB9">
      <w:pPr>
        <w:spacing w:line="240" w:lineRule="auto"/>
      </w:pPr>
      <w:r>
        <w:separator/>
      </w:r>
    </w:p>
  </w:footnote>
  <w:footnote w:type="continuationSeparator" w:id="0">
    <w:p w14:paraId="08279806" w14:textId="77777777" w:rsidR="009D7FB9" w:rsidRDefault="009D7FB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FE563" w14:textId="77777777" w:rsidR="00565DB5" w:rsidRDefault="00565DB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7770B" w14:textId="77777777" w:rsidR="00565DB5" w:rsidRDefault="00000000">
    <w:r>
      <w:rPr>
        <w:noProof/>
      </w:rPr>
      <w:drawing>
        <wp:inline distT="114300" distB="114300" distL="114300" distR="114300" wp14:anchorId="0A020A01" wp14:editId="0B4688CE">
          <wp:extent cx="1096601" cy="8143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3942" t="28613" r="18910" b="26277"/>
                  <a:stretch>
                    <a:fillRect/>
                  </a:stretch>
                </pic:blipFill>
                <pic:spPr>
                  <a:xfrm>
                    <a:off x="0" y="0"/>
                    <a:ext cx="1096601" cy="814388"/>
                  </a:xfrm>
                  <a:prstGeom prst="rect">
                    <a:avLst/>
                  </a:prstGeom>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5DB5"/>
    <w:rsid w:val="00472724"/>
    <w:rsid w:val="00487DD5"/>
    <w:rsid w:val="00565DB5"/>
    <w:rsid w:val="005F6699"/>
    <w:rsid w:val="009D7FB9"/>
    <w:rsid w:val="00A834DC"/>
    <w:rsid w:val="00DD7A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9812C4"/>
  <w15:docId w15:val="{AD929A42-7A29-47F4-A9A2-BB7A26147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Pages>
  <Words>307</Words>
  <Characters>1837</Characters>
  <Application>Microsoft Office Word</Application>
  <DocSecurity>0</DocSecurity>
  <Lines>42</Lines>
  <Paragraphs>18</Paragraphs>
  <ScaleCrop>false</ScaleCrop>
  <Company/>
  <LinksUpToDate>false</LinksUpToDate>
  <CharactersWithSpaces>2126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Nisarg Soni</cp:lastModifiedBy>
  <cp:revision>6</cp:revision>
  <dcterms:created xsi:type="dcterms:W3CDTF">2024-04-21T03:45:00Z</dcterms:created>
  <dcterms:modified xsi:type="dcterms:W3CDTF">2024-04-21T03:47:00Z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2c7d8501bc684a679f99d90b882dac9ab703c56775be48a9dee98aafc63f4b87</vt:lpwstr>
  </property>
</Properties>
</file>