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MASTER SERVICE AGREEMENT</w:t>
      </w:r>
    </w:p>
    <w:p>
      <w:pPr>
        <w:pStyle w:val="BodyText"/>
      </w:pPr>
      <w:r>
        <w:t xml:space="preserve">This Master Service Agreement (</w:t>
      </w:r>
      <w:r>
        <w:t xml:space="preserve">“Agreement”</w:t>
      </w:r>
      <w:r>
        <w:t xml:space="preserve">) is entered into as of January 15, 2025</w:t>
      </w:r>
      <w:r>
        <w:t xml:space="preserve"> </w:t>
      </w:r>
      <w:r>
        <w:t xml:space="preserve">between Acme Technologies Pvt. Ltd., a company incorporated under the laws of</w:t>
      </w:r>
      <w:r>
        <w:t xml:space="preserve"> </w:t>
      </w:r>
      <w:r>
        <w:t xml:space="preserve">Maharashtra, India (</w:t>
      </w:r>
      <w:r>
        <w:t xml:space="preserve">“Client”</w:t>
      </w:r>
      <w:r>
        <w:t xml:space="preserve">), and CloudVault Solutions Ltd., a company incorporated</w:t>
      </w:r>
      <w:r>
        <w:t xml:space="preserve"> </w:t>
      </w:r>
      <w:r>
        <w:t xml:space="preserve">under the laws of Karnataka, India (</w:t>
      </w:r>
      <w:r>
        <w:t xml:space="preserve">“Service Provider”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TERM AND RENEWAL</w:t>
      </w:r>
    </w:p>
    <w:p>
      <w:pPr>
        <w:pStyle w:val="FirstParagraph"/>
      </w:pPr>
      <w:r>
        <w:t xml:space="preserve">1.1 This Agreement commences on January 15, 2025 and continues for a period of</w:t>
      </w:r>
      <w:r>
        <w:t xml:space="preserve"> </w:t>
      </w:r>
      <w:r>
        <w:t xml:space="preserve">twelve (12) months, expiring on January 14, 2026.</w:t>
      </w:r>
    </w:p>
    <w:p>
      <w:pPr>
        <w:pStyle w:val="BodyText"/>
      </w:pPr>
      <w:r>
        <w:t xml:space="preserve">1.2 AUTO-RENEWAL: This Agreement shall automatically renew for successive one-year</w:t>
      </w:r>
      <w:r>
        <w:t xml:space="preserve"> </w:t>
      </w:r>
      <w:r>
        <w:t xml:space="preserve">terms unless either party provides written notice of non-renewal at least 30 (thirty)</w:t>
      </w:r>
      <w:r>
        <w:t xml:space="preserve"> </w:t>
      </w:r>
      <w:r>
        <w:t xml:space="preserve">days prior to the expiration of the then-current term. Notice must be delivered by</w:t>
      </w:r>
      <w:r>
        <w:t xml:space="preserve"> </w:t>
      </w:r>
      <w:r>
        <w:t xml:space="preserve">registered post or email with read receipt.</w:t>
      </w:r>
    </w:p>
    <w:p>
      <w:pPr>
        <w:pStyle w:val="BodyText"/>
      </w:pPr>
      <w:r>
        <w:t xml:space="preserve">1.3 Either party may terminate this Agreement for convenience by providing 90 (ninety)</w:t>
      </w:r>
      <w:r>
        <w:t xml:space="preserve"> </w:t>
      </w:r>
      <w:r>
        <w:t xml:space="preserve">days’ written notice to the other party.</w:t>
      </w:r>
    </w:p>
    <w:p>
      <w:pPr>
        <w:pStyle w:val="Compact"/>
        <w:numPr>
          <w:ilvl w:val="0"/>
          <w:numId w:val="1002"/>
        </w:numPr>
      </w:pPr>
      <w:r>
        <w:t xml:space="preserve">PAYMENT TERMS</w:t>
      </w:r>
    </w:p>
    <w:p>
      <w:pPr>
        <w:pStyle w:val="FirstParagraph"/>
      </w:pPr>
      <w:r>
        <w:t xml:space="preserve">2.1 The Client shall pay a monthly service fee of INR 85,000 (Rupees Eighty-Five</w:t>
      </w:r>
      <w:r>
        <w:t xml:space="preserve"> </w:t>
      </w:r>
      <w:r>
        <w:t xml:space="preserve">Thousand) on the 1st day of each calendar month, beginning February 1, 2025.</w:t>
      </w:r>
    </w:p>
    <w:p>
      <w:pPr>
        <w:pStyle w:val="BodyText"/>
      </w:pPr>
      <w:r>
        <w:t xml:space="preserve">2.2 Late payments shall attract interest at 18% per annum, calculated daily.</w:t>
      </w:r>
    </w:p>
    <w:p>
      <w:pPr>
        <w:pStyle w:val="BodyText"/>
      </w:pPr>
      <w:r>
        <w:t xml:space="preserve">2.3 All invoices must be raised by the Service Provider on or before the 25th of</w:t>
      </w:r>
      <w:r>
        <w:t xml:space="preserve"> </w:t>
      </w:r>
      <w:r>
        <w:t xml:space="preserve">each preceding month. Failure to raise invoice by the 25th shall not relieve the</w:t>
      </w:r>
      <w:r>
        <w:t xml:space="preserve"> </w:t>
      </w:r>
      <w:r>
        <w:t xml:space="preserve">Client of payment obligation.</w:t>
      </w:r>
    </w:p>
    <w:p>
      <w:pPr>
        <w:pStyle w:val="BodyText"/>
      </w:pPr>
      <w:r>
        <w:t xml:space="preserve">2.4 ANNUAL PRICE REVIEW: Service fees shall be subject to review on January 1, 2026</w:t>
      </w:r>
      <w:r>
        <w:t xml:space="preserve"> </w:t>
      </w:r>
      <w:r>
        <w:t xml:space="preserve">with a maximum escalation of 10% per annum. Service Provider must give 60 days</w:t>
      </w:r>
      <w:r>
        <w:t xml:space="preserve"> </w:t>
      </w:r>
      <w:r>
        <w:t xml:space="preserve">written notice of any fee change.</w:t>
      </w:r>
    </w:p>
    <w:p>
      <w:pPr>
        <w:pStyle w:val="Compact"/>
        <w:numPr>
          <w:ilvl w:val="0"/>
          <w:numId w:val="1003"/>
        </w:numPr>
      </w:pPr>
      <w:r>
        <w:t xml:space="preserve">SERVICE LEVELS</w:t>
      </w:r>
    </w:p>
    <w:p>
      <w:pPr>
        <w:pStyle w:val="FirstParagraph"/>
      </w:pPr>
      <w:r>
        <w:t xml:space="preserve">3.1 The Service Provider guarantees 99.5% uptime for all core services, measured</w:t>
      </w:r>
      <w:r>
        <w:t xml:space="preserve"> </w:t>
      </w:r>
      <w:r>
        <w:t xml:space="preserve">monthly. Scheduled maintenance windows (maximum 4 hours per month, between</w:t>
      </w:r>
      <w:r>
        <w:t xml:space="preserve"> </w:t>
      </w:r>
      <w:r>
        <w:t xml:space="preserve">02:00 and 06:00 IST) are excluded from uptime calculations.</w:t>
      </w:r>
    </w:p>
    <w:p>
      <w:pPr>
        <w:pStyle w:val="BodyText"/>
      </w:pPr>
      <w:r>
        <w:t xml:space="preserve">3.2 SLA REVIEW: Service level performance shall be formally reviewed on a quarterly</w:t>
      </w:r>
      <w:r>
        <w:t xml:space="preserve"> </w:t>
      </w:r>
      <w:r>
        <w:t xml:space="preserve">basis. First review scheduled for April 1, 2025. Subsequent reviews: July 1, 2025;</w:t>
      </w:r>
      <w:r>
        <w:t xml:space="preserve"> </w:t>
      </w:r>
      <w:r>
        <w:t xml:space="preserve">October 1, 2025; January 1, 2026.</w:t>
      </w:r>
    </w:p>
    <w:p>
      <w:pPr>
        <w:pStyle w:val="BodyText"/>
      </w:pPr>
      <w:r>
        <w:t xml:space="preserve">3.3 If uptime falls below 99.5% in any calendar month, Client is entitled to a</w:t>
      </w:r>
      <w:r>
        <w:t xml:space="preserve"> </w:t>
      </w:r>
      <w:r>
        <w:t xml:space="preserve">service credit of 10% of that month’s fee. Credits must be claimed within 15 days</w:t>
      </w:r>
      <w:r>
        <w:t xml:space="preserve"> </w:t>
      </w:r>
      <w:r>
        <w:t xml:space="preserve">of month-end. Credits shall not exceed 30% of monthly fees.</w:t>
      </w:r>
    </w:p>
    <w:p>
      <w:pPr>
        <w:pStyle w:val="Compact"/>
        <w:numPr>
          <w:ilvl w:val="0"/>
          <w:numId w:val="1004"/>
        </w:numPr>
      </w:pPr>
      <w:r>
        <w:t xml:space="preserve">DATA AND SECURITY</w:t>
      </w:r>
    </w:p>
    <w:p>
      <w:pPr>
        <w:pStyle w:val="FirstParagraph"/>
      </w:pPr>
      <w:r>
        <w:t xml:space="preserve">4.1 ANNUAL AUDIT: The Service Provider shall submit to an independent security audit</w:t>
      </w:r>
      <w:r>
        <w:t xml:space="preserve"> </w:t>
      </w:r>
      <w:r>
        <w:t xml:space="preserve">once per year, with the first audit to be completed by December 1, 2025. Audit</w:t>
      </w:r>
      <w:r>
        <w:t xml:space="preserve"> </w:t>
      </w:r>
      <w:r>
        <w:t xml:space="preserve">reports shall be made available to Client within 7 days of completion.</w:t>
      </w:r>
    </w:p>
    <w:p>
      <w:pPr>
        <w:pStyle w:val="BodyText"/>
      </w:pPr>
      <w:r>
        <w:t xml:space="preserve">4.2 The Service Provider shall maintain ISO 27001 certification throughout the term</w:t>
      </w:r>
      <w:r>
        <w:t xml:space="preserve"> </w:t>
      </w:r>
      <w:r>
        <w:t xml:space="preserve">of this Agreement. Proof of certification renewal must be provided to Client by</w:t>
      </w:r>
      <w:r>
        <w:t xml:space="preserve"> </w:t>
      </w:r>
      <w:r>
        <w:t xml:space="preserve">November 15, 2025.</w:t>
      </w:r>
    </w:p>
    <w:p>
      <w:pPr>
        <w:pStyle w:val="BodyText"/>
      </w:pPr>
      <w:r>
        <w:t xml:space="preserve">4.3 In the event of a data breach, the Service Provider shall notify the Client within</w:t>
      </w:r>
      <w:r>
        <w:t xml:space="preserve"> </w:t>
      </w:r>
      <w:r>
        <w:t xml:space="preserve">72 hours of discovery. Failure to notify within this window constitutes a material</w:t>
      </w:r>
      <w:r>
        <w:t xml:space="preserve"> </w:t>
      </w:r>
      <w:r>
        <w:t xml:space="preserve">breach.</w:t>
      </w:r>
    </w:p>
    <w:p>
      <w:pPr>
        <w:pStyle w:val="Compact"/>
        <w:numPr>
          <w:ilvl w:val="0"/>
          <w:numId w:val="1005"/>
        </w:numPr>
      </w:pPr>
      <w:r>
        <w:t xml:space="preserve">LIABILITY</w:t>
      </w:r>
    </w:p>
    <w:p>
      <w:pPr>
        <w:pStyle w:val="FirstParagraph"/>
      </w:pPr>
      <w:r>
        <w:t xml:space="preserve">5.1 The Service Provider’s total liability under this Agreement shall not exceed</w:t>
      </w:r>
      <w:r>
        <w:t xml:space="preserve"> </w:t>
      </w:r>
      <w:r>
        <w:t xml:space="preserve">the total fees paid in the 3 months immediately preceding the event giving rise</w:t>
      </w:r>
      <w:r>
        <w:t xml:space="preserve"> </w:t>
      </w:r>
      <w:r>
        <w:t xml:space="preserve">to the claim.</w:t>
      </w:r>
    </w:p>
    <w:p>
      <w:pPr>
        <w:pStyle w:val="BodyText"/>
      </w:pPr>
      <w:r>
        <w:t xml:space="preserve">5.2 The Client’s liability for any cause of action is uncapped and shall include</w:t>
      </w:r>
      <w:r>
        <w:t xml:space="preserve"> </w:t>
      </w:r>
      <w:r>
        <w:t xml:space="preserve">all direct, indirect, incidental and consequential damages.</w:t>
      </w:r>
    </w:p>
    <w:p>
      <w:pPr>
        <w:pStyle w:val="BodyText"/>
      </w:pPr>
      <w:r>
        <w:t xml:space="preserve">5.3 INDEMNIFICATION: Client shall indemnify and hold harmless Service Provider from</w:t>
      </w:r>
      <w:r>
        <w:t xml:space="preserve"> </w:t>
      </w:r>
      <w:r>
        <w:t xml:space="preserve">any third-party claims arising from Client’s use of the services.</w:t>
      </w:r>
    </w:p>
    <w:p>
      <w:pPr>
        <w:pStyle w:val="Compact"/>
        <w:numPr>
          <w:ilvl w:val="0"/>
          <w:numId w:val="1006"/>
        </w:numPr>
      </w:pPr>
      <w:r>
        <w:t xml:space="preserve">CONFIDENTIALITY</w:t>
      </w:r>
    </w:p>
    <w:p>
      <w:pPr>
        <w:pStyle w:val="FirstParagraph"/>
      </w:pPr>
      <w:r>
        <w:t xml:space="preserve">6.1 Both parties agree to maintain confidentiality of each other’s proprietary</w:t>
      </w:r>
      <w:r>
        <w:t xml:space="preserve"> </w:t>
      </w:r>
      <w:r>
        <w:t xml:space="preserve">information for a period of 3 years following termination of this Agreement.</w:t>
      </w:r>
    </w:p>
    <w:p>
      <w:pPr>
        <w:pStyle w:val="Compact"/>
        <w:numPr>
          <w:ilvl w:val="0"/>
          <w:numId w:val="1007"/>
        </w:numPr>
      </w:pPr>
      <w:r>
        <w:t xml:space="preserve">GOVERNING LAW AND DISPUTES</w:t>
      </w:r>
    </w:p>
    <w:p>
      <w:pPr>
        <w:pStyle w:val="FirstParagraph"/>
      </w:pPr>
      <w:r>
        <w:t xml:space="preserve">7.1 This Agreement shall be governed by the laws of the State of Maharashtra, India.</w:t>
      </w:r>
    </w:p>
    <w:p>
      <w:pPr>
        <w:pStyle w:val="BodyText"/>
      </w:pPr>
      <w:r>
        <w:t xml:space="preserve">7.2 All disputes shall be subject to the exclusive jurisdiction of the courts at</w:t>
      </w:r>
      <w:r>
        <w:t xml:space="preserve"> </w:t>
      </w:r>
      <w:r>
        <w:t xml:space="preserve">Mumbai, Maharashtra.</w:t>
      </w:r>
    </w:p>
    <w:p>
      <w:pPr>
        <w:pStyle w:val="BodyText"/>
      </w:pPr>
      <w:r>
        <w:t xml:space="preserve">7.3 Prior to litigation, parties agree to attempt mediation for a period of 30 days.</w:t>
      </w:r>
    </w:p>
    <w:p>
      <w:pPr>
        <w:pStyle w:val="Compact"/>
        <w:numPr>
          <w:ilvl w:val="0"/>
          <w:numId w:val="1008"/>
        </w:numPr>
      </w:pPr>
      <w:r>
        <w:t xml:space="preserve">PENALTIES</w:t>
      </w:r>
    </w:p>
    <w:p>
      <w:pPr>
        <w:pStyle w:val="FirstParagraph"/>
      </w:pPr>
      <w:r>
        <w:t xml:space="preserve">8.1 If Service Provider fails to meet the 99.5% SLA for 3 consecutive months,</w:t>
      </w:r>
      <w:r>
        <w:t xml:space="preserve"> </w:t>
      </w:r>
      <w:r>
        <w:t xml:space="preserve">Client may terminate immediately without penalty.</w:t>
      </w:r>
    </w:p>
    <w:p>
      <w:pPr>
        <w:pStyle w:val="BodyText"/>
      </w:pPr>
      <w:r>
        <w:t xml:space="preserve">8.2 If Client terminates before the end of the initial 12-month term without cause,</w:t>
      </w:r>
      <w:r>
        <w:t xml:space="preserve"> </w:t>
      </w:r>
      <w:r>
        <w:t xml:space="preserve">Client shall pay an early termination fee equal to 3 months’ service fees</w:t>
      </w:r>
      <w:r>
        <w:t xml:space="preserve"> </w:t>
      </w:r>
      <w:r>
        <w:t xml:space="preserve">(INR 2,55,000).</w:t>
      </w:r>
    </w:p>
    <w:p>
      <w:pPr>
        <w:pStyle w:val="Compact"/>
        <w:numPr>
          <w:ilvl w:val="0"/>
          <w:numId w:val="1009"/>
        </w:numPr>
      </w:pPr>
      <w:r>
        <w:t xml:space="preserve">KEY DATES SUMMARY</w:t>
      </w:r>
    </w:p>
    <w:p>
      <w:pPr>
        <w:pStyle w:val="Compact"/>
        <w:numPr>
          <w:ilvl w:val="0"/>
          <w:numId w:val="1010"/>
        </w:numPr>
      </w:pPr>
      <w:r>
        <w:t xml:space="preserve">Agreement Start: January 15, 2025</w:t>
      </w:r>
    </w:p>
    <w:p>
      <w:pPr>
        <w:pStyle w:val="Compact"/>
        <w:numPr>
          <w:ilvl w:val="0"/>
          <w:numId w:val="1010"/>
        </w:numPr>
      </w:pPr>
      <w:r>
        <w:t xml:space="preserve">Agreement End: January 14, 2026</w:t>
      </w:r>
    </w:p>
    <w:p>
      <w:pPr>
        <w:pStyle w:val="Compact"/>
        <w:numPr>
          <w:ilvl w:val="0"/>
          <w:numId w:val="1010"/>
        </w:numPr>
      </w:pPr>
      <w:r>
        <w:t xml:space="preserve">Auto-renewal Notice Due: December 15, 2025 (30 days before expiry)</w:t>
      </w:r>
    </w:p>
    <w:p>
      <w:pPr>
        <w:pStyle w:val="Compact"/>
        <w:numPr>
          <w:ilvl w:val="0"/>
          <w:numId w:val="1010"/>
        </w:numPr>
      </w:pPr>
      <w:r>
        <w:t xml:space="preserve">Monthly Payments Due: 1st of each month (Feb 2025 – Jan 2026)</w:t>
      </w:r>
    </w:p>
    <w:p>
      <w:pPr>
        <w:pStyle w:val="Compact"/>
        <w:numPr>
          <w:ilvl w:val="0"/>
          <w:numId w:val="1010"/>
        </w:numPr>
      </w:pPr>
      <w:r>
        <w:t xml:space="preserve">Q1 SLA Review: April 1, 2025</w:t>
      </w:r>
    </w:p>
    <w:p>
      <w:pPr>
        <w:pStyle w:val="Compact"/>
        <w:numPr>
          <w:ilvl w:val="0"/>
          <w:numId w:val="1010"/>
        </w:numPr>
      </w:pPr>
      <w:r>
        <w:t xml:space="preserve">Q2 SLA Review: July 1, 2025</w:t>
      </w:r>
    </w:p>
    <w:p>
      <w:pPr>
        <w:pStyle w:val="Compact"/>
        <w:numPr>
          <w:ilvl w:val="0"/>
          <w:numId w:val="1010"/>
        </w:numPr>
      </w:pPr>
      <w:r>
        <w:t xml:space="preserve">Q3 SLA Review: October 1, 2025</w:t>
      </w:r>
    </w:p>
    <w:p>
      <w:pPr>
        <w:pStyle w:val="Compact"/>
        <w:numPr>
          <w:ilvl w:val="0"/>
          <w:numId w:val="1010"/>
        </w:numPr>
      </w:pPr>
      <w:r>
        <w:t xml:space="preserve">Q4 SLA Review / Renewal: January 1, 2026</w:t>
      </w:r>
    </w:p>
    <w:p>
      <w:pPr>
        <w:pStyle w:val="Compact"/>
        <w:numPr>
          <w:ilvl w:val="0"/>
          <w:numId w:val="1010"/>
        </w:numPr>
      </w:pPr>
      <w:r>
        <w:t xml:space="preserve">Security Audit Due: December 1, 2025</w:t>
      </w:r>
    </w:p>
    <w:p>
      <w:pPr>
        <w:pStyle w:val="Compact"/>
        <w:numPr>
          <w:ilvl w:val="0"/>
          <w:numId w:val="1010"/>
        </w:numPr>
      </w:pPr>
      <w:r>
        <w:t xml:space="preserve">ISO Cert Renewal Proof: November 15, 2025</w:t>
      </w:r>
    </w:p>
    <w:p>
      <w:pPr>
        <w:pStyle w:val="Compact"/>
        <w:numPr>
          <w:ilvl w:val="0"/>
          <w:numId w:val="1010"/>
        </w:numPr>
      </w:pPr>
      <w:r>
        <w:t xml:space="preserve">Annual Price Review: January 1, 2026</w:t>
      </w:r>
    </w:p>
    <w:p>
      <w:pPr>
        <w:pStyle w:val="FirstParagraph"/>
      </w:pPr>
      <w:r>
        <w:t xml:space="preserve">IN WITNESS WHEREOF, the parties have executed this Agreement as of the date first</w:t>
      </w:r>
      <w:r>
        <w:t xml:space="preserve"> </w:t>
      </w:r>
      <w:r>
        <w:t xml:space="preserve">written above.</w:t>
      </w:r>
    </w:p>
    <w:p>
      <w:pPr>
        <w:pStyle w:val="BodyText"/>
      </w:pPr>
      <w:r>
        <w:t xml:space="preserve">ACME TECHNOLOGIES PVT. LTD. CLOUDVAULT SOLUTIONS LTD.</w:t>
      </w:r>
    </w:p>
    <w:p>
      <w:pPr>
        <w:pStyle w:val="BodyText"/>
      </w:pPr>
      <w:r>
        <w:t xml:space="preserve">Signed: _____________________ Signed: _____________________</w:t>
      </w:r>
      <w:r>
        <w:t xml:space="preserve"> </w:t>
      </w:r>
      <w:r>
        <w:t xml:space="preserve">Name: Rahul Sharma Name: Priya Menon</w:t>
      </w:r>
      <w:r>
        <w:t xml:space="preserve"> </w:t>
      </w:r>
      <w:r>
        <w:t xml:space="preserve">Title: Chief Executive Officer Title: Chief Revenue Officer</w:t>
      </w:r>
      <w:r>
        <w:t xml:space="preserve"> </w:t>
      </w:r>
      <w:r>
        <w:t xml:space="preserve">Date: January 15, 2025 Date: January 15, 2025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2026-05-08T16:15:28Z</dcterms:created>
  <dcterms:modified xsi:type="dcterms:W3CDTF">2026-05-08T16:15:28Z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