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A24BD">
      <w:pPr>
        <w:spacing w:after="40"/>
        <w:rPr>
          <w:rFonts w:ascii="Calibri" w:hAnsi="Calibri" w:eastAsia="Calibri" w:cs="Calibri"/>
          <w:b/>
          <w:bCs/>
          <w:color w:val="1F3864"/>
          <w:sz w:val="40"/>
          <w:szCs w:val="40"/>
        </w:rPr>
      </w:pPr>
      <w:r>
        <w:rPr>
          <w:rFonts w:ascii="Calibri" w:hAnsi="Calibri" w:eastAsia="Calibri" w:cs="Calibri"/>
          <w:b/>
          <w:bCs/>
          <w:color w:val="1F3864"/>
          <w:sz w:val="40"/>
          <w:szCs w:val="40"/>
        </w:rPr>
        <w:t>TrustSupport: Evidence-Grounded Customer Support Agent</w:t>
      </w:r>
    </w:p>
    <w:p w14:paraId="12931B8C">
      <w:pPr>
        <w:pStyle w:val="16"/>
        <w:keepNext w:val="0"/>
        <w:keepLines w:val="0"/>
        <w:widowControl/>
        <w:suppressLineNumbers w:val="0"/>
        <w:spacing w:before="0" w:beforeAutospacing="1" w:after="0" w:afterAutospacing="1"/>
        <w:ind w:left="0" w:right="0"/>
      </w:pPr>
      <w:r>
        <w:rPr>
          <w:rStyle w:val="17"/>
          <w:color w:val="17375E" w:themeColor="text2" w:themeShade="BF"/>
        </w:rPr>
        <w:t>TrustSupport: Evidence-Grounded Customer Support Agent</w:t>
      </w:r>
      <w:r>
        <w:br w:type="textWrapping"/>
      </w:r>
      <w:r>
        <w:rPr>
          <w:rStyle w:val="10"/>
        </w:rPr>
        <w:t>Intent Detection, Historical Resolution Retrieval, and Evidence-Confidence Gating for Trustworthy Customer Support Automation</w:t>
      </w:r>
    </w:p>
    <w:p w14:paraId="31A22231">
      <w:pPr>
        <w:pStyle w:val="16"/>
        <w:keepNext w:val="0"/>
        <w:keepLines w:val="0"/>
        <w:widowControl/>
        <w:suppressLineNumbers w:val="0"/>
        <w:rPr>
          <w:rStyle w:val="17"/>
          <w:b w:val="0"/>
          <w:bCs w:val="0"/>
        </w:rPr>
      </w:pPr>
      <w:r>
        <w:rPr>
          <w:rStyle w:val="17"/>
          <w:b w:val="0"/>
          <w:bCs w:val="0"/>
        </w:rPr>
        <w:t>Nischay Suman Achar</w:t>
      </w:r>
      <w:r>
        <w:rPr>
          <w:b w:val="0"/>
          <w:bCs w:val="0"/>
        </w:rPr>
        <w:br w:type="textWrapping"/>
      </w:r>
      <w:r>
        <w:rPr>
          <w:rStyle w:val="17"/>
          <w:b w:val="0"/>
          <w:bCs w:val="0"/>
        </w:rPr>
        <w:t>USN:</w:t>
      </w:r>
      <w:r>
        <w:rPr>
          <w:b w:val="0"/>
          <w:bCs w:val="0"/>
        </w:rPr>
        <w:t xml:space="preserve"> 4VV23IS133</w:t>
      </w:r>
      <w:r>
        <w:rPr>
          <w:b w:val="0"/>
          <w:bCs w:val="0"/>
        </w:rPr>
        <w:br w:type="textWrapping"/>
      </w:r>
      <w:r>
        <w:rPr>
          <w:rStyle w:val="17"/>
          <w:b w:val="0"/>
          <w:bCs w:val="0"/>
        </w:rPr>
        <w:t>Information Science</w:t>
      </w:r>
      <w:r>
        <w:rPr>
          <w:b w:val="0"/>
          <w:bCs w:val="0"/>
        </w:rPr>
        <w:br w:type="textWrapping"/>
      </w:r>
      <w:r>
        <w:rPr>
          <w:rStyle w:val="17"/>
          <w:b w:val="0"/>
          <w:bCs w:val="0"/>
        </w:rPr>
        <w:t>7th Semester</w:t>
      </w:r>
      <w:bookmarkStart w:id="0" w:name="_GoBack"/>
      <w:bookmarkEnd w:id="0"/>
    </w:p>
    <w:p w14:paraId="0130446F">
      <w:pPr>
        <w:pStyle w:val="16"/>
        <w:keepNext w:val="0"/>
        <w:keepLines w:val="0"/>
        <w:widowControl/>
        <w:suppressLineNumbers w:val="0"/>
      </w:pPr>
      <w:r>
        <w:rPr>
          <w:rFonts w:ascii="Calibri" w:hAnsi="Calibri" w:eastAsia="Calibri" w:cs="Calibri"/>
          <w:b/>
          <w:bCs/>
          <w:color w:val="1F3864"/>
          <w:sz w:val="30"/>
          <w:szCs w:val="30"/>
        </w:rPr>
        <w:t>Executive Summary</w:t>
      </w:r>
    </w:p>
    <w:p w14:paraId="336BCE30">
      <w:pPr>
        <w:spacing w:after="60" w:line="264" w:lineRule="auto"/>
      </w:pPr>
      <w:r>
        <w:rPr>
          <w:rFonts w:ascii="Calibri" w:hAnsi="Calibri" w:eastAsia="Calibri" w:cs="Calibri"/>
          <w:b w:val="0"/>
          <w:bCs w:val="0"/>
          <w:i w:val="0"/>
          <w:iCs w:val="0"/>
          <w:color w:val="333333"/>
          <w:sz w:val="19"/>
          <w:szCs w:val="19"/>
        </w:rPr>
        <w:t>TrustSupport is a single-brand customer support agent built on the Kaggle "Customer Support on Twitter" dataset. Rather than optimizing a single accuracy number, the project centers on evidence-confidence gating: the decision to auto-handle or escalate a case never relies on classifier confidence alone, but combines intent confidence, retrieval similarity, historical evidence agreement, input quality, and risk signals. On a 200-example golden set, the full TrustSupport V3 pipeline reaches 65.50% intent accuracy (macro-F1 57.81%), an improvement of 12.0 accuracy points and 9.09 macro-F1 points over a TF-IDF + Logistic Regression V2 baseline. Escalation behaves conservatively (79.35% recall, 48.99% precision), and an LLM-assisted judge scores replies at 3.64/5 overall. The report is explicit about what these numbers do and do not demonstrate.</w:t>
      </w:r>
    </w:p>
    <w:p w14:paraId="07406A9D">
      <w:pPr>
        <w:pBdr>
          <w:bottom w:val="single" w:color="1F3864" w:sz="6" w:space="2"/>
        </w:pBdr>
        <w:spacing w:before="140" w:after="70"/>
      </w:pPr>
      <w:r>
        <w:rPr>
          <w:rFonts w:ascii="Calibri" w:hAnsi="Calibri" w:eastAsia="Calibri" w:cs="Calibri"/>
          <w:b/>
          <w:bCs/>
          <w:color w:val="1F3864"/>
          <w:sz w:val="30"/>
          <w:szCs w:val="30"/>
        </w:rPr>
        <w:t>Problem Framing</w:t>
      </w:r>
    </w:p>
    <w:p w14:paraId="2B2B15D1">
      <w:pPr>
        <w:spacing w:after="60" w:line="264" w:lineRule="auto"/>
      </w:pPr>
      <w:r>
        <w:rPr>
          <w:rFonts w:ascii="Calibri" w:hAnsi="Calibri" w:eastAsia="Calibri" w:cs="Calibri"/>
          <w:b w:val="0"/>
          <w:bCs w:val="0"/>
          <w:i w:val="0"/>
          <w:iCs w:val="0"/>
          <w:color w:val="333333"/>
          <w:sz w:val="19"/>
          <w:szCs w:val="19"/>
        </w:rPr>
        <w:t>The assignment requires an AI support agent for one brand that (1) classifies an incoming message into a data-derived intent taxonomy, (2) drafts a reply grounded in how the brand historically resolved similar issues, and (3) decides whether the case can be auto-handled or must be escalated, with an explicit reason. The system is deliberately conservative: an unsupported automated reply can be worse than an honest escalation, so automation is gated rather than assumed.</w:t>
      </w:r>
    </w:p>
    <w:p w14:paraId="606C0203">
      <w:pPr>
        <w:pBdr>
          <w:bottom w:val="single" w:color="1F3864" w:sz="6" w:space="2"/>
        </w:pBdr>
        <w:spacing w:before="140" w:after="70"/>
      </w:pPr>
      <w:r>
        <w:rPr>
          <w:rFonts w:ascii="Calibri" w:hAnsi="Calibri" w:eastAsia="Calibri" w:cs="Calibri"/>
          <w:b/>
          <w:bCs/>
          <w:color w:val="1F3864"/>
          <w:sz w:val="30"/>
          <w:szCs w:val="30"/>
        </w:rPr>
        <w:t>Key Contribution</w:t>
      </w:r>
    </w:p>
    <w:p w14:paraId="7943F69F">
      <w:pPr>
        <w:spacing w:after="60" w:line="264" w:lineRule="auto"/>
      </w:pPr>
      <w:r>
        <w:rPr>
          <w:rFonts w:ascii="Calibri" w:hAnsi="Calibri" w:eastAsia="Calibri" w:cs="Calibri"/>
          <w:b w:val="0"/>
          <w:bCs w:val="0"/>
          <w:i w:val="0"/>
          <w:iCs w:val="0"/>
          <w:color w:val="333333"/>
          <w:sz w:val="19"/>
          <w:szCs w:val="19"/>
        </w:rPr>
        <w:t>The main engineering contribution is not the intent classifier itself, which is a standard TF-IDF + Logistic Regression model. It is the decision architecture that combines classification, historical retrieval, resolution-evidence extraction, input-quality checks, and risk signals into a single evidence-confidence gate, and treats historical brand responses as evidence of past behavior rather than current policy.</w:t>
      </w:r>
    </w:p>
    <w:p w14:paraId="0DC63C35">
      <w:pPr>
        <w:pBdr>
          <w:bottom w:val="single" w:color="1F3864" w:sz="6" w:space="2"/>
        </w:pBdr>
        <w:spacing w:before="140" w:after="70"/>
      </w:pPr>
      <w:r>
        <w:rPr>
          <w:rFonts w:ascii="Calibri" w:hAnsi="Calibri" w:eastAsia="Calibri" w:cs="Calibri"/>
          <w:b/>
          <w:bCs/>
          <w:color w:val="1F3864"/>
          <w:sz w:val="30"/>
          <w:szCs w:val="30"/>
        </w:rPr>
        <w:t>Dataset and Brand Selection</w:t>
      </w:r>
    </w:p>
    <w:p w14:paraId="2FBD170D">
      <w:pPr>
        <w:spacing w:after="40" w:line="264" w:lineRule="auto"/>
      </w:pPr>
      <w:r>
        <w:rPr>
          <w:rFonts w:ascii="Calibri" w:hAnsi="Calibri" w:eastAsia="Calibri" w:cs="Calibri"/>
          <w:b w:val="0"/>
          <w:bCs w:val="0"/>
          <w:i w:val="0"/>
          <w:iCs w:val="0"/>
          <w:color w:val="333333"/>
          <w:sz w:val="19"/>
          <w:szCs w:val="19"/>
        </w:rPr>
        <w:t>Dataset: Kaggle "Customer Support on Twitter" (thoughtvector/customer-support-on-twitter), raw size ~492.58 MB.</w:t>
      </w:r>
    </w:p>
    <w:tbl>
      <w:tblPr>
        <w:tblStyle w:val="9"/>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200"/>
      </w:tblGrid>
      <w:tr w14:paraId="302EC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40" w:type="dxa"/>
              <w:left w:w="80" w:type="dxa"/>
              <w:bottom w:w="40" w:type="dxa"/>
              <w:right w:w="80" w:type="dxa"/>
            </w:tcMar>
            <w:vAlign w:val="center"/>
          </w:tcPr>
          <w:p w14:paraId="47AF830E">
            <w:pPr>
              <w:jc w:val="left"/>
            </w:pPr>
            <w:r>
              <w:rPr>
                <w:rFonts w:ascii="Calibri" w:hAnsi="Calibri" w:eastAsia="Calibri" w:cs="Calibri"/>
                <w:b/>
                <w:bCs/>
                <w:color w:val="FFFFFF"/>
                <w:sz w:val="18"/>
                <w:szCs w:val="18"/>
              </w:rPr>
              <w:t>Metric</w:t>
            </w:r>
          </w:p>
        </w:tc>
        <w:tc>
          <w:tcPr>
            <w:tcW w:w="2200" w:type="dxa"/>
            <w:shd w:val="clear" w:color="auto" w:fill="1F3864"/>
            <w:tcMar>
              <w:top w:w="40" w:type="dxa"/>
              <w:left w:w="80" w:type="dxa"/>
              <w:bottom w:w="40" w:type="dxa"/>
              <w:right w:w="80" w:type="dxa"/>
            </w:tcMar>
            <w:vAlign w:val="center"/>
          </w:tcPr>
          <w:p w14:paraId="0E9721B6">
            <w:pPr>
              <w:jc w:val="left"/>
            </w:pPr>
            <w:r>
              <w:rPr>
                <w:rFonts w:ascii="Calibri" w:hAnsi="Calibri" w:eastAsia="Calibri" w:cs="Calibri"/>
                <w:b/>
                <w:bCs/>
                <w:color w:val="FFFFFF"/>
                <w:sz w:val="18"/>
                <w:szCs w:val="18"/>
              </w:rPr>
              <w:t>Value</w:t>
            </w:r>
          </w:p>
        </w:tc>
      </w:tr>
      <w:tr w14:paraId="1A65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40" w:type="dxa"/>
              <w:left w:w="80" w:type="dxa"/>
              <w:bottom w:w="40" w:type="dxa"/>
              <w:right w:w="80" w:type="dxa"/>
            </w:tcMar>
            <w:vAlign w:val="center"/>
          </w:tcPr>
          <w:p w14:paraId="05848833">
            <w:pPr>
              <w:jc w:val="left"/>
            </w:pPr>
            <w:r>
              <w:rPr>
                <w:rFonts w:ascii="Calibri" w:hAnsi="Calibri" w:eastAsia="Calibri" w:cs="Calibri"/>
                <w:b w:val="0"/>
                <w:bCs w:val="0"/>
                <w:color w:val="333333"/>
                <w:sz w:val="18"/>
                <w:szCs w:val="18"/>
              </w:rPr>
              <w:t>Total tweets</w:t>
            </w:r>
          </w:p>
        </w:tc>
        <w:tc>
          <w:tcPr>
            <w:tcW w:w="2200" w:type="dxa"/>
            <w:tcMar>
              <w:top w:w="40" w:type="dxa"/>
              <w:left w:w="80" w:type="dxa"/>
              <w:bottom w:w="40" w:type="dxa"/>
              <w:right w:w="80" w:type="dxa"/>
            </w:tcMar>
            <w:vAlign w:val="center"/>
          </w:tcPr>
          <w:p w14:paraId="68066C7B">
            <w:pPr>
              <w:jc w:val="left"/>
            </w:pPr>
            <w:r>
              <w:rPr>
                <w:rFonts w:ascii="Calibri" w:hAnsi="Calibri" w:eastAsia="Calibri" w:cs="Calibri"/>
                <w:b w:val="0"/>
                <w:bCs w:val="0"/>
                <w:color w:val="333333"/>
                <w:sz w:val="18"/>
                <w:szCs w:val="18"/>
              </w:rPr>
              <w:t>2,811,774</w:t>
            </w:r>
          </w:p>
        </w:tc>
      </w:tr>
      <w:tr w14:paraId="0B28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DEDED"/>
            <w:tcMar>
              <w:top w:w="40" w:type="dxa"/>
              <w:left w:w="80" w:type="dxa"/>
              <w:bottom w:w="40" w:type="dxa"/>
              <w:right w:w="80" w:type="dxa"/>
            </w:tcMar>
            <w:vAlign w:val="center"/>
          </w:tcPr>
          <w:p w14:paraId="6953120B">
            <w:pPr>
              <w:jc w:val="left"/>
            </w:pPr>
            <w:r>
              <w:rPr>
                <w:rFonts w:ascii="Calibri" w:hAnsi="Calibri" w:eastAsia="Calibri" w:cs="Calibri"/>
                <w:b w:val="0"/>
                <w:bCs w:val="0"/>
                <w:color w:val="333333"/>
                <w:sz w:val="18"/>
                <w:szCs w:val="18"/>
              </w:rPr>
              <w:t>Inbound (customer) tweets</w:t>
            </w:r>
          </w:p>
        </w:tc>
        <w:tc>
          <w:tcPr>
            <w:tcW w:w="2200" w:type="dxa"/>
            <w:shd w:val="clear" w:color="auto" w:fill="EDEDED"/>
            <w:tcMar>
              <w:top w:w="40" w:type="dxa"/>
              <w:left w:w="80" w:type="dxa"/>
              <w:bottom w:w="40" w:type="dxa"/>
              <w:right w:w="80" w:type="dxa"/>
            </w:tcMar>
            <w:vAlign w:val="center"/>
          </w:tcPr>
          <w:p w14:paraId="3B9AA356">
            <w:pPr>
              <w:jc w:val="left"/>
            </w:pPr>
            <w:r>
              <w:rPr>
                <w:rFonts w:ascii="Calibri" w:hAnsi="Calibri" w:eastAsia="Calibri" w:cs="Calibri"/>
                <w:b w:val="0"/>
                <w:bCs w:val="0"/>
                <w:color w:val="333333"/>
                <w:sz w:val="18"/>
                <w:szCs w:val="18"/>
              </w:rPr>
              <w:t>1,537,843</w:t>
            </w:r>
          </w:p>
        </w:tc>
      </w:tr>
      <w:tr w14:paraId="197D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40" w:type="dxa"/>
              <w:left w:w="80" w:type="dxa"/>
              <w:bottom w:w="40" w:type="dxa"/>
              <w:right w:w="80" w:type="dxa"/>
            </w:tcMar>
            <w:vAlign w:val="center"/>
          </w:tcPr>
          <w:p w14:paraId="5EC94622">
            <w:pPr>
              <w:jc w:val="left"/>
            </w:pPr>
            <w:r>
              <w:rPr>
                <w:rFonts w:ascii="Calibri" w:hAnsi="Calibri" w:eastAsia="Calibri" w:cs="Calibri"/>
                <w:b w:val="0"/>
                <w:bCs w:val="0"/>
                <w:color w:val="333333"/>
                <w:sz w:val="18"/>
                <w:szCs w:val="18"/>
              </w:rPr>
              <w:t>Outbound (brand) tweets</w:t>
            </w:r>
          </w:p>
        </w:tc>
        <w:tc>
          <w:tcPr>
            <w:tcW w:w="2200" w:type="dxa"/>
            <w:tcMar>
              <w:top w:w="40" w:type="dxa"/>
              <w:left w:w="80" w:type="dxa"/>
              <w:bottom w:w="40" w:type="dxa"/>
              <w:right w:w="80" w:type="dxa"/>
            </w:tcMar>
            <w:vAlign w:val="center"/>
          </w:tcPr>
          <w:p w14:paraId="27A2AF5F">
            <w:pPr>
              <w:jc w:val="left"/>
            </w:pPr>
            <w:r>
              <w:rPr>
                <w:rFonts w:ascii="Calibri" w:hAnsi="Calibri" w:eastAsia="Calibri" w:cs="Calibri"/>
                <w:b w:val="0"/>
                <w:bCs w:val="0"/>
                <w:color w:val="333333"/>
                <w:sz w:val="18"/>
                <w:szCs w:val="18"/>
              </w:rPr>
              <w:t>1,273,931</w:t>
            </w:r>
          </w:p>
        </w:tc>
      </w:tr>
      <w:tr w14:paraId="6C985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DEDED"/>
            <w:tcMar>
              <w:top w:w="40" w:type="dxa"/>
              <w:left w:w="80" w:type="dxa"/>
              <w:bottom w:w="40" w:type="dxa"/>
              <w:right w:w="80" w:type="dxa"/>
            </w:tcMar>
            <w:vAlign w:val="center"/>
          </w:tcPr>
          <w:p w14:paraId="5CCBAFA5">
            <w:pPr>
              <w:jc w:val="left"/>
            </w:pPr>
            <w:r>
              <w:rPr>
                <w:rFonts w:ascii="Calibri" w:hAnsi="Calibri" w:eastAsia="Calibri" w:cs="Calibri"/>
                <w:b w:val="0"/>
                <w:bCs w:val="0"/>
                <w:color w:val="333333"/>
                <w:sz w:val="18"/>
                <w:szCs w:val="18"/>
              </w:rPr>
              <w:t>Unique authors</w:t>
            </w:r>
          </w:p>
        </w:tc>
        <w:tc>
          <w:tcPr>
            <w:tcW w:w="2200" w:type="dxa"/>
            <w:shd w:val="clear" w:color="auto" w:fill="EDEDED"/>
            <w:tcMar>
              <w:top w:w="40" w:type="dxa"/>
              <w:left w:w="80" w:type="dxa"/>
              <w:bottom w:w="40" w:type="dxa"/>
              <w:right w:w="80" w:type="dxa"/>
            </w:tcMar>
            <w:vAlign w:val="center"/>
          </w:tcPr>
          <w:p w14:paraId="337DBDEC">
            <w:pPr>
              <w:jc w:val="left"/>
            </w:pPr>
            <w:r>
              <w:rPr>
                <w:rFonts w:ascii="Calibri" w:hAnsi="Calibri" w:eastAsia="Calibri" w:cs="Calibri"/>
                <w:b w:val="0"/>
                <w:bCs w:val="0"/>
                <w:color w:val="333333"/>
                <w:sz w:val="18"/>
                <w:szCs w:val="18"/>
              </w:rPr>
              <w:t>702,777</w:t>
            </w:r>
          </w:p>
        </w:tc>
      </w:tr>
      <w:tr w14:paraId="49186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40" w:type="dxa"/>
              <w:left w:w="80" w:type="dxa"/>
              <w:bottom w:w="40" w:type="dxa"/>
              <w:right w:w="80" w:type="dxa"/>
            </w:tcMar>
            <w:vAlign w:val="center"/>
          </w:tcPr>
          <w:p w14:paraId="54020BA4">
            <w:pPr>
              <w:jc w:val="left"/>
            </w:pPr>
            <w:r>
              <w:rPr>
                <w:rFonts w:ascii="Calibri" w:hAnsi="Calibri" w:eastAsia="Calibri" w:cs="Calibri"/>
                <w:b w:val="0"/>
                <w:bCs w:val="0"/>
                <w:color w:val="333333"/>
                <w:sz w:val="18"/>
                <w:szCs w:val="18"/>
              </w:rPr>
              <w:t>Missing response_tweet_id</w:t>
            </w:r>
          </w:p>
        </w:tc>
        <w:tc>
          <w:tcPr>
            <w:tcW w:w="2200" w:type="dxa"/>
            <w:tcMar>
              <w:top w:w="40" w:type="dxa"/>
              <w:left w:w="80" w:type="dxa"/>
              <w:bottom w:w="40" w:type="dxa"/>
              <w:right w:w="80" w:type="dxa"/>
            </w:tcMar>
            <w:vAlign w:val="center"/>
          </w:tcPr>
          <w:p w14:paraId="635091AA">
            <w:pPr>
              <w:jc w:val="left"/>
            </w:pPr>
            <w:r>
              <w:rPr>
                <w:rFonts w:ascii="Calibri" w:hAnsi="Calibri" w:eastAsia="Calibri" w:cs="Calibri"/>
                <w:b w:val="0"/>
                <w:bCs w:val="0"/>
                <w:color w:val="333333"/>
                <w:sz w:val="18"/>
                <w:szCs w:val="18"/>
              </w:rPr>
              <w:t>1,040,629 (37.01%)</w:t>
            </w:r>
          </w:p>
        </w:tc>
      </w:tr>
      <w:tr w14:paraId="79532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DEDED"/>
            <w:tcMar>
              <w:top w:w="40" w:type="dxa"/>
              <w:left w:w="80" w:type="dxa"/>
              <w:bottom w:w="40" w:type="dxa"/>
              <w:right w:w="80" w:type="dxa"/>
            </w:tcMar>
            <w:vAlign w:val="center"/>
          </w:tcPr>
          <w:p w14:paraId="7D943D2A">
            <w:pPr>
              <w:jc w:val="left"/>
            </w:pPr>
            <w:r>
              <w:rPr>
                <w:rFonts w:ascii="Calibri" w:hAnsi="Calibri" w:eastAsia="Calibri" w:cs="Calibri"/>
                <w:b w:val="0"/>
                <w:bCs w:val="0"/>
                <w:color w:val="333333"/>
                <w:sz w:val="18"/>
                <w:szCs w:val="18"/>
              </w:rPr>
              <w:t>Missing in_response_to_tweet_id</w:t>
            </w:r>
          </w:p>
        </w:tc>
        <w:tc>
          <w:tcPr>
            <w:tcW w:w="2200" w:type="dxa"/>
            <w:shd w:val="clear" w:color="auto" w:fill="EDEDED"/>
            <w:tcMar>
              <w:top w:w="40" w:type="dxa"/>
              <w:left w:w="80" w:type="dxa"/>
              <w:bottom w:w="40" w:type="dxa"/>
              <w:right w:w="80" w:type="dxa"/>
            </w:tcMar>
            <w:vAlign w:val="center"/>
          </w:tcPr>
          <w:p w14:paraId="076D9638">
            <w:pPr>
              <w:jc w:val="left"/>
            </w:pPr>
            <w:r>
              <w:rPr>
                <w:rFonts w:ascii="Calibri" w:hAnsi="Calibri" w:eastAsia="Calibri" w:cs="Calibri"/>
                <w:b w:val="0"/>
                <w:bCs w:val="0"/>
                <w:color w:val="333333"/>
                <w:sz w:val="18"/>
                <w:szCs w:val="18"/>
              </w:rPr>
              <w:t>794,335 (28.25%)</w:t>
            </w:r>
          </w:p>
        </w:tc>
      </w:tr>
    </w:tbl>
    <w:p w14:paraId="1C6E0BE4">
      <w:pPr>
        <w:spacing w:after="60" w:line="264" w:lineRule="auto"/>
      </w:pPr>
      <w:r>
        <w:rPr>
          <w:rFonts w:ascii="Calibri" w:hAnsi="Calibri" w:eastAsia="Calibri" w:cs="Calibri"/>
          <w:b w:val="0"/>
          <w:bCs w:val="0"/>
          <w:i w:val="0"/>
          <w:iCs w:val="0"/>
          <w:color w:val="333333"/>
          <w:sz w:val="19"/>
          <w:szCs w:val="19"/>
        </w:rPr>
        <w:t>Brand support accounts are represented by outbound tweets, since these are the tweets the brand account actually sent; inbound tweets from brand accounts are not treated as support-response volume. Response linkage used response_tweet_id / in_response_to_tweet_id rather than timestamp heuristics.</w:t>
      </w:r>
    </w:p>
    <w:p w14:paraId="03EB2028">
      <w:pPr>
        <w:spacing w:after="60" w:line="264" w:lineRule="auto"/>
      </w:pPr>
      <w:r>
        <w:rPr>
          <w:rFonts w:ascii="Calibri" w:hAnsi="Calibri" w:eastAsia="Calibri" w:cs="Calibri"/>
          <w:b w:val="0"/>
          <w:bCs w:val="0"/>
          <w:i w:val="0"/>
          <w:iCs w:val="0"/>
          <w:color w:val="333333"/>
          <w:sz w:val="19"/>
          <w:szCs w:val="19"/>
        </w:rPr>
        <w:t>Brand selection: VirginTrains was selected over higher-volume brands (AmazonHelp 169,840; AppleSupport 106,860; Uber_Support 56,270 linked interactions, among others) because it offered substantial linked volume (27,817 pre-processing), diverse scenarios, a relatively high share of substantive responses, and a practical single-brand scope. After processing, final VirginTrains support interactions: 27,416. Historical responses are treated as evidence of past behavior, not as authoritative current policy.</w:t>
      </w:r>
    </w:p>
    <w:p w14:paraId="06FC7221">
      <w:pPr>
        <w:pBdr>
          <w:bottom w:val="single" w:color="1F3864" w:sz="6" w:space="2"/>
        </w:pBdr>
        <w:spacing w:before="140" w:after="70"/>
      </w:pPr>
      <w:r>
        <w:rPr>
          <w:rFonts w:ascii="Calibri" w:hAnsi="Calibri" w:eastAsia="Calibri" w:cs="Calibri"/>
          <w:b/>
          <w:bCs/>
          <w:color w:val="1F3864"/>
          <w:sz w:val="30"/>
          <w:szCs w:val="30"/>
        </w:rPr>
        <w:t>Data Preparation</w:t>
      </w:r>
    </w:p>
    <w:p w14:paraId="13FBF16E">
      <w:pPr>
        <w:spacing w:after="60" w:line="264" w:lineRule="auto"/>
      </w:pPr>
      <w:r>
        <w:rPr>
          <w:rFonts w:ascii="Calibri" w:hAnsi="Calibri" w:eastAsia="Calibri" w:cs="Calibri"/>
          <w:b w:val="0"/>
          <w:bCs w:val="0"/>
          <w:i w:val="0"/>
          <w:iCs w:val="0"/>
          <w:color w:val="333333"/>
          <w:sz w:val="19"/>
          <w:szCs w:val="19"/>
        </w:rPr>
        <w:t>Because the raw file is large, a streaming two-pass approach was used instead of loading the full dataset into pandas memory: Pass 1 collects inbound tweets needed for linkage; Pass 2 uses response_tweet_id / in_response_to_tweet_id to construct customer-brand pairs. Two training-label versions were built: V1 (9,564 examples, conservative customer-message keyword rules) and V2 (12,013 examples, conservative evidence from both customer messages and historical responses; golden examples excluded). V2 substantially improved rare-class coverage — e.g. ticket_change grew from 9 examples (V1) to 376 (V2).</w:t>
      </w:r>
    </w:p>
    <w:p w14:paraId="7E7E4F17">
      <w:pPr>
        <w:pBdr>
          <w:bottom w:val="single" w:color="1F3864" w:sz="6" w:space="2"/>
        </w:pBdr>
        <w:spacing w:before="140" w:after="70"/>
      </w:pPr>
      <w:r>
        <w:rPr>
          <w:rFonts w:ascii="Calibri" w:hAnsi="Calibri" w:eastAsia="Calibri" w:cs="Calibri"/>
          <w:b/>
          <w:bCs/>
          <w:color w:val="1F3864"/>
          <w:sz w:val="30"/>
          <w:szCs w:val="30"/>
        </w:rPr>
        <w:t>Intent Taxonomy</w:t>
      </w:r>
    </w:p>
    <w:p w14:paraId="04C26C2B">
      <w:pPr>
        <w:spacing w:after="40" w:line="264" w:lineRule="auto"/>
      </w:pPr>
      <w:r>
        <w:rPr>
          <w:rFonts w:ascii="Calibri" w:hAnsi="Calibri" w:eastAsia="Calibri" w:cs="Calibri"/>
          <w:b w:val="0"/>
          <w:bCs w:val="0"/>
          <w:i w:val="0"/>
          <w:iCs w:val="0"/>
          <w:color w:val="333333"/>
          <w:sz w:val="19"/>
          <w:szCs w:val="19"/>
        </w:rPr>
        <w:t>An 11-class, project-specific taxonomy derived from observed VirginTrains data (not an official VirginTrains taxonomy). One primary intent per message; ambiguous or context-poor messages are labeled "other" rather than forced into a specific class; residual complexity is handled by escalation, not by multi-labeling.</w:t>
      </w:r>
    </w:p>
    <w:tbl>
      <w:tblPr>
        <w:tblStyle w:val="9"/>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200"/>
      </w:tblGrid>
      <w:tr w14:paraId="790B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40" w:type="dxa"/>
              <w:left w:w="80" w:type="dxa"/>
              <w:bottom w:w="40" w:type="dxa"/>
              <w:right w:w="80" w:type="dxa"/>
            </w:tcMar>
            <w:vAlign w:val="center"/>
          </w:tcPr>
          <w:p w14:paraId="61D4F664">
            <w:pPr>
              <w:jc w:val="left"/>
            </w:pPr>
            <w:r>
              <w:rPr>
                <w:rFonts w:ascii="Calibri" w:hAnsi="Calibri" w:eastAsia="Calibri" w:cs="Calibri"/>
                <w:b/>
                <w:bCs/>
                <w:color w:val="FFFFFF"/>
                <w:sz w:val="18"/>
                <w:szCs w:val="18"/>
              </w:rPr>
              <w:t>Intent</w:t>
            </w:r>
          </w:p>
        </w:tc>
        <w:tc>
          <w:tcPr>
            <w:tcW w:w="2200" w:type="dxa"/>
            <w:shd w:val="clear" w:color="auto" w:fill="1F3864"/>
            <w:tcMar>
              <w:top w:w="40" w:type="dxa"/>
              <w:left w:w="80" w:type="dxa"/>
              <w:bottom w:w="40" w:type="dxa"/>
              <w:right w:w="80" w:type="dxa"/>
            </w:tcMar>
            <w:vAlign w:val="center"/>
          </w:tcPr>
          <w:p w14:paraId="03E3086D">
            <w:pPr>
              <w:jc w:val="left"/>
            </w:pPr>
            <w:r>
              <w:rPr>
                <w:rFonts w:ascii="Calibri" w:hAnsi="Calibri" w:eastAsia="Calibri" w:cs="Calibri"/>
                <w:b/>
                <w:bCs/>
                <w:color w:val="FFFFFF"/>
                <w:sz w:val="18"/>
                <w:szCs w:val="18"/>
              </w:rPr>
              <w:t>V2 Train Count</w:t>
            </w:r>
          </w:p>
        </w:tc>
      </w:tr>
      <w:tr w14:paraId="21F8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40" w:type="dxa"/>
              <w:left w:w="80" w:type="dxa"/>
              <w:bottom w:w="40" w:type="dxa"/>
              <w:right w:w="80" w:type="dxa"/>
            </w:tcMar>
            <w:vAlign w:val="center"/>
          </w:tcPr>
          <w:p w14:paraId="03AAD8DF">
            <w:pPr>
              <w:jc w:val="left"/>
            </w:pPr>
            <w:r>
              <w:rPr>
                <w:rFonts w:ascii="Calibri" w:hAnsi="Calibri" w:eastAsia="Calibri" w:cs="Calibri"/>
                <w:b w:val="0"/>
                <w:bCs w:val="0"/>
                <w:color w:val="333333"/>
                <w:sz w:val="18"/>
                <w:szCs w:val="18"/>
              </w:rPr>
              <w:t>train_status</w:t>
            </w:r>
          </w:p>
        </w:tc>
        <w:tc>
          <w:tcPr>
            <w:tcW w:w="2200" w:type="dxa"/>
            <w:tcMar>
              <w:top w:w="40" w:type="dxa"/>
              <w:left w:w="80" w:type="dxa"/>
              <w:bottom w:w="40" w:type="dxa"/>
              <w:right w:w="80" w:type="dxa"/>
            </w:tcMar>
            <w:vAlign w:val="center"/>
          </w:tcPr>
          <w:p w14:paraId="11E47C35">
            <w:pPr>
              <w:jc w:val="left"/>
            </w:pPr>
            <w:r>
              <w:rPr>
                <w:rFonts w:ascii="Calibri" w:hAnsi="Calibri" w:eastAsia="Calibri" w:cs="Calibri"/>
                <w:b w:val="0"/>
                <w:bCs w:val="0"/>
                <w:color w:val="333333"/>
                <w:sz w:val="18"/>
                <w:szCs w:val="18"/>
              </w:rPr>
              <w:t>5,309</w:t>
            </w:r>
          </w:p>
        </w:tc>
      </w:tr>
      <w:tr w14:paraId="54B2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DEDED"/>
            <w:tcMar>
              <w:top w:w="40" w:type="dxa"/>
              <w:left w:w="80" w:type="dxa"/>
              <w:bottom w:w="40" w:type="dxa"/>
              <w:right w:w="80" w:type="dxa"/>
            </w:tcMar>
            <w:vAlign w:val="center"/>
          </w:tcPr>
          <w:p w14:paraId="10FC3620">
            <w:pPr>
              <w:jc w:val="left"/>
            </w:pPr>
            <w:r>
              <w:rPr>
                <w:rFonts w:ascii="Calibri" w:hAnsi="Calibri" w:eastAsia="Calibri" w:cs="Calibri"/>
                <w:b w:val="0"/>
                <w:bCs w:val="0"/>
                <w:color w:val="333333"/>
                <w:sz w:val="18"/>
                <w:szCs w:val="18"/>
              </w:rPr>
              <w:t>refund_compensation</w:t>
            </w:r>
          </w:p>
        </w:tc>
        <w:tc>
          <w:tcPr>
            <w:tcW w:w="2200" w:type="dxa"/>
            <w:shd w:val="clear" w:color="auto" w:fill="EDEDED"/>
            <w:tcMar>
              <w:top w:w="40" w:type="dxa"/>
              <w:left w:w="80" w:type="dxa"/>
              <w:bottom w:w="40" w:type="dxa"/>
              <w:right w:w="80" w:type="dxa"/>
            </w:tcMar>
            <w:vAlign w:val="center"/>
          </w:tcPr>
          <w:p w14:paraId="794B2635">
            <w:pPr>
              <w:jc w:val="left"/>
            </w:pPr>
            <w:r>
              <w:rPr>
                <w:rFonts w:ascii="Calibri" w:hAnsi="Calibri" w:eastAsia="Calibri" w:cs="Calibri"/>
                <w:b w:val="0"/>
                <w:bCs w:val="0"/>
                <w:color w:val="333333"/>
                <w:sz w:val="18"/>
                <w:szCs w:val="18"/>
              </w:rPr>
              <w:t>1,546</w:t>
            </w:r>
          </w:p>
        </w:tc>
      </w:tr>
      <w:tr w14:paraId="07734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40" w:type="dxa"/>
              <w:left w:w="80" w:type="dxa"/>
              <w:bottom w:w="40" w:type="dxa"/>
              <w:right w:w="80" w:type="dxa"/>
            </w:tcMar>
            <w:vAlign w:val="center"/>
          </w:tcPr>
          <w:p w14:paraId="1A4CDBDF">
            <w:pPr>
              <w:jc w:val="left"/>
            </w:pPr>
            <w:r>
              <w:rPr>
                <w:rFonts w:ascii="Calibri" w:hAnsi="Calibri" w:eastAsia="Calibri" w:cs="Calibri"/>
                <w:b w:val="0"/>
                <w:bCs w:val="0"/>
                <w:color w:val="333333"/>
                <w:sz w:val="18"/>
                <w:szCs w:val="18"/>
              </w:rPr>
              <w:t>seat_reservation</w:t>
            </w:r>
          </w:p>
        </w:tc>
        <w:tc>
          <w:tcPr>
            <w:tcW w:w="2200" w:type="dxa"/>
            <w:tcMar>
              <w:top w:w="40" w:type="dxa"/>
              <w:left w:w="80" w:type="dxa"/>
              <w:bottom w:w="40" w:type="dxa"/>
              <w:right w:w="80" w:type="dxa"/>
            </w:tcMar>
            <w:vAlign w:val="center"/>
          </w:tcPr>
          <w:p w14:paraId="286527ED">
            <w:pPr>
              <w:jc w:val="left"/>
            </w:pPr>
            <w:r>
              <w:rPr>
                <w:rFonts w:ascii="Calibri" w:hAnsi="Calibri" w:eastAsia="Calibri" w:cs="Calibri"/>
                <w:b w:val="0"/>
                <w:bCs w:val="0"/>
                <w:color w:val="333333"/>
                <w:sz w:val="18"/>
                <w:szCs w:val="18"/>
              </w:rPr>
              <w:t>1,140</w:t>
            </w:r>
          </w:p>
        </w:tc>
      </w:tr>
      <w:tr w14:paraId="465A5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DEDED"/>
            <w:tcMar>
              <w:top w:w="40" w:type="dxa"/>
              <w:left w:w="80" w:type="dxa"/>
              <w:bottom w:w="40" w:type="dxa"/>
              <w:right w:w="80" w:type="dxa"/>
            </w:tcMar>
            <w:vAlign w:val="center"/>
          </w:tcPr>
          <w:p w14:paraId="253F06CD">
            <w:pPr>
              <w:jc w:val="left"/>
            </w:pPr>
            <w:r>
              <w:rPr>
                <w:rFonts w:ascii="Calibri" w:hAnsi="Calibri" w:eastAsia="Calibri" w:cs="Calibri"/>
                <w:b w:val="0"/>
                <w:bCs w:val="0"/>
                <w:color w:val="333333"/>
                <w:sz w:val="18"/>
                <w:szCs w:val="18"/>
              </w:rPr>
              <w:t>complaint_feedback</w:t>
            </w:r>
          </w:p>
        </w:tc>
        <w:tc>
          <w:tcPr>
            <w:tcW w:w="2200" w:type="dxa"/>
            <w:shd w:val="clear" w:color="auto" w:fill="EDEDED"/>
            <w:tcMar>
              <w:top w:w="40" w:type="dxa"/>
              <w:left w:w="80" w:type="dxa"/>
              <w:bottom w:w="40" w:type="dxa"/>
              <w:right w:w="80" w:type="dxa"/>
            </w:tcMar>
            <w:vAlign w:val="center"/>
          </w:tcPr>
          <w:p w14:paraId="417D6E2A">
            <w:pPr>
              <w:jc w:val="left"/>
            </w:pPr>
            <w:r>
              <w:rPr>
                <w:rFonts w:ascii="Calibri" w:hAnsi="Calibri" w:eastAsia="Calibri" w:cs="Calibri"/>
                <w:b w:val="0"/>
                <w:bCs w:val="0"/>
                <w:color w:val="333333"/>
                <w:sz w:val="18"/>
                <w:szCs w:val="18"/>
              </w:rPr>
              <w:t>1,035</w:t>
            </w:r>
          </w:p>
        </w:tc>
      </w:tr>
      <w:tr w14:paraId="210B5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40" w:type="dxa"/>
              <w:left w:w="80" w:type="dxa"/>
              <w:bottom w:w="40" w:type="dxa"/>
              <w:right w:w="80" w:type="dxa"/>
            </w:tcMar>
            <w:vAlign w:val="center"/>
          </w:tcPr>
          <w:p w14:paraId="1A441E81">
            <w:pPr>
              <w:jc w:val="left"/>
            </w:pPr>
            <w:r>
              <w:rPr>
                <w:rFonts w:ascii="Calibri" w:hAnsi="Calibri" w:eastAsia="Calibri" w:cs="Calibri"/>
                <w:b w:val="0"/>
                <w:bCs w:val="0"/>
                <w:color w:val="333333"/>
                <w:sz w:val="18"/>
                <w:szCs w:val="18"/>
              </w:rPr>
              <w:t>wifi_connectivity</w:t>
            </w:r>
          </w:p>
        </w:tc>
        <w:tc>
          <w:tcPr>
            <w:tcW w:w="2200" w:type="dxa"/>
            <w:tcMar>
              <w:top w:w="40" w:type="dxa"/>
              <w:left w:w="80" w:type="dxa"/>
              <w:bottom w:w="40" w:type="dxa"/>
              <w:right w:w="80" w:type="dxa"/>
            </w:tcMar>
            <w:vAlign w:val="center"/>
          </w:tcPr>
          <w:p w14:paraId="3C3D68C1">
            <w:pPr>
              <w:jc w:val="left"/>
            </w:pPr>
            <w:r>
              <w:rPr>
                <w:rFonts w:ascii="Calibri" w:hAnsi="Calibri" w:eastAsia="Calibri" w:cs="Calibri"/>
                <w:b w:val="0"/>
                <w:bCs w:val="0"/>
                <w:color w:val="333333"/>
                <w:sz w:val="18"/>
                <w:szCs w:val="18"/>
              </w:rPr>
              <w:t>802</w:t>
            </w:r>
          </w:p>
        </w:tc>
      </w:tr>
      <w:tr w14:paraId="6F8C9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DEDED"/>
            <w:tcMar>
              <w:top w:w="40" w:type="dxa"/>
              <w:left w:w="80" w:type="dxa"/>
              <w:bottom w:w="40" w:type="dxa"/>
              <w:right w:w="80" w:type="dxa"/>
            </w:tcMar>
            <w:vAlign w:val="center"/>
          </w:tcPr>
          <w:p w14:paraId="24DC34DC">
            <w:pPr>
              <w:jc w:val="left"/>
            </w:pPr>
            <w:r>
              <w:rPr>
                <w:rFonts w:ascii="Calibri" w:hAnsi="Calibri" w:eastAsia="Calibri" w:cs="Calibri"/>
                <w:b w:val="0"/>
                <w:bCs w:val="0"/>
                <w:color w:val="333333"/>
                <w:sz w:val="18"/>
                <w:szCs w:val="18"/>
              </w:rPr>
              <w:t>fare_price</w:t>
            </w:r>
          </w:p>
        </w:tc>
        <w:tc>
          <w:tcPr>
            <w:tcW w:w="2200" w:type="dxa"/>
            <w:shd w:val="clear" w:color="auto" w:fill="EDEDED"/>
            <w:tcMar>
              <w:top w:w="40" w:type="dxa"/>
              <w:left w:w="80" w:type="dxa"/>
              <w:bottom w:w="40" w:type="dxa"/>
              <w:right w:w="80" w:type="dxa"/>
            </w:tcMar>
            <w:vAlign w:val="center"/>
          </w:tcPr>
          <w:p w14:paraId="6E55910D">
            <w:pPr>
              <w:jc w:val="left"/>
            </w:pPr>
            <w:r>
              <w:rPr>
                <w:rFonts w:ascii="Calibri" w:hAnsi="Calibri" w:eastAsia="Calibri" w:cs="Calibri"/>
                <w:b w:val="0"/>
                <w:bCs w:val="0"/>
                <w:color w:val="333333"/>
                <w:sz w:val="18"/>
                <w:szCs w:val="18"/>
              </w:rPr>
              <w:t>772</w:t>
            </w:r>
          </w:p>
        </w:tc>
      </w:tr>
      <w:tr w14:paraId="49CF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40" w:type="dxa"/>
              <w:left w:w="80" w:type="dxa"/>
              <w:bottom w:w="40" w:type="dxa"/>
              <w:right w:w="80" w:type="dxa"/>
            </w:tcMar>
            <w:vAlign w:val="center"/>
          </w:tcPr>
          <w:p w14:paraId="45768BB3">
            <w:pPr>
              <w:jc w:val="left"/>
            </w:pPr>
            <w:r>
              <w:rPr>
                <w:rFonts w:ascii="Calibri" w:hAnsi="Calibri" w:eastAsia="Calibri" w:cs="Calibri"/>
                <w:b w:val="0"/>
                <w:bCs w:val="0"/>
                <w:color w:val="333333"/>
                <w:sz w:val="18"/>
                <w:szCs w:val="18"/>
              </w:rPr>
              <w:t>station_facilities</w:t>
            </w:r>
          </w:p>
        </w:tc>
        <w:tc>
          <w:tcPr>
            <w:tcW w:w="2200" w:type="dxa"/>
            <w:tcMar>
              <w:top w:w="40" w:type="dxa"/>
              <w:left w:w="80" w:type="dxa"/>
              <w:bottom w:w="40" w:type="dxa"/>
              <w:right w:w="80" w:type="dxa"/>
            </w:tcMar>
            <w:vAlign w:val="center"/>
          </w:tcPr>
          <w:p w14:paraId="20C16847">
            <w:pPr>
              <w:jc w:val="left"/>
            </w:pPr>
            <w:r>
              <w:rPr>
                <w:rFonts w:ascii="Calibri" w:hAnsi="Calibri" w:eastAsia="Calibri" w:cs="Calibri"/>
                <w:b w:val="0"/>
                <w:bCs w:val="0"/>
                <w:color w:val="333333"/>
                <w:sz w:val="18"/>
                <w:szCs w:val="18"/>
              </w:rPr>
              <w:t>621</w:t>
            </w:r>
          </w:p>
        </w:tc>
      </w:tr>
      <w:tr w14:paraId="4203E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DEDED"/>
            <w:tcMar>
              <w:top w:w="40" w:type="dxa"/>
              <w:left w:w="80" w:type="dxa"/>
              <w:bottom w:w="40" w:type="dxa"/>
              <w:right w:w="80" w:type="dxa"/>
            </w:tcMar>
            <w:vAlign w:val="center"/>
          </w:tcPr>
          <w:p w14:paraId="12D8EBE1">
            <w:pPr>
              <w:jc w:val="left"/>
            </w:pPr>
            <w:r>
              <w:rPr>
                <w:rFonts w:ascii="Calibri" w:hAnsi="Calibri" w:eastAsia="Calibri" w:cs="Calibri"/>
                <w:b w:val="0"/>
                <w:bCs w:val="0"/>
                <w:color w:val="333333"/>
                <w:sz w:val="18"/>
                <w:szCs w:val="18"/>
              </w:rPr>
              <w:t>ticket_change</w:t>
            </w:r>
          </w:p>
        </w:tc>
        <w:tc>
          <w:tcPr>
            <w:tcW w:w="2200" w:type="dxa"/>
            <w:shd w:val="clear" w:color="auto" w:fill="EDEDED"/>
            <w:tcMar>
              <w:top w:w="40" w:type="dxa"/>
              <w:left w:w="80" w:type="dxa"/>
              <w:bottom w:w="40" w:type="dxa"/>
              <w:right w:w="80" w:type="dxa"/>
            </w:tcMar>
            <w:vAlign w:val="center"/>
          </w:tcPr>
          <w:p w14:paraId="167819A6">
            <w:pPr>
              <w:jc w:val="left"/>
            </w:pPr>
            <w:r>
              <w:rPr>
                <w:rFonts w:ascii="Calibri" w:hAnsi="Calibri" w:eastAsia="Calibri" w:cs="Calibri"/>
                <w:b w:val="0"/>
                <w:bCs w:val="0"/>
                <w:color w:val="333333"/>
                <w:sz w:val="18"/>
                <w:szCs w:val="18"/>
              </w:rPr>
              <w:t>376</w:t>
            </w:r>
          </w:p>
        </w:tc>
      </w:tr>
      <w:tr w14:paraId="5D486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40" w:type="dxa"/>
              <w:left w:w="80" w:type="dxa"/>
              <w:bottom w:w="40" w:type="dxa"/>
              <w:right w:w="80" w:type="dxa"/>
            </w:tcMar>
            <w:vAlign w:val="center"/>
          </w:tcPr>
          <w:p w14:paraId="45052D07">
            <w:pPr>
              <w:jc w:val="left"/>
            </w:pPr>
            <w:r>
              <w:rPr>
                <w:rFonts w:ascii="Calibri" w:hAnsi="Calibri" w:eastAsia="Calibri" w:cs="Calibri"/>
                <w:b w:val="0"/>
                <w:bCs w:val="0"/>
                <w:color w:val="333333"/>
                <w:sz w:val="18"/>
                <w:szCs w:val="18"/>
              </w:rPr>
              <w:t>booking_ticket</w:t>
            </w:r>
          </w:p>
        </w:tc>
        <w:tc>
          <w:tcPr>
            <w:tcW w:w="2200" w:type="dxa"/>
            <w:tcMar>
              <w:top w:w="40" w:type="dxa"/>
              <w:left w:w="80" w:type="dxa"/>
              <w:bottom w:w="40" w:type="dxa"/>
              <w:right w:w="80" w:type="dxa"/>
            </w:tcMar>
            <w:vAlign w:val="center"/>
          </w:tcPr>
          <w:p w14:paraId="5E9B85C9">
            <w:pPr>
              <w:jc w:val="left"/>
            </w:pPr>
            <w:r>
              <w:rPr>
                <w:rFonts w:ascii="Calibri" w:hAnsi="Calibri" w:eastAsia="Calibri" w:cs="Calibri"/>
                <w:b w:val="0"/>
                <w:bCs w:val="0"/>
                <w:color w:val="333333"/>
                <w:sz w:val="18"/>
                <w:szCs w:val="18"/>
              </w:rPr>
              <w:t>231</w:t>
            </w:r>
          </w:p>
        </w:tc>
      </w:tr>
      <w:tr w14:paraId="7D178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EDEDED"/>
            <w:tcMar>
              <w:top w:w="40" w:type="dxa"/>
              <w:left w:w="80" w:type="dxa"/>
              <w:bottom w:w="40" w:type="dxa"/>
              <w:right w:w="80" w:type="dxa"/>
            </w:tcMar>
            <w:vAlign w:val="center"/>
          </w:tcPr>
          <w:p w14:paraId="0A431F87">
            <w:pPr>
              <w:jc w:val="left"/>
            </w:pPr>
            <w:r>
              <w:rPr>
                <w:rFonts w:ascii="Calibri" w:hAnsi="Calibri" w:eastAsia="Calibri" w:cs="Calibri"/>
                <w:b w:val="0"/>
                <w:bCs w:val="0"/>
                <w:color w:val="333333"/>
                <w:sz w:val="18"/>
                <w:szCs w:val="18"/>
              </w:rPr>
              <w:t>lost_property</w:t>
            </w:r>
          </w:p>
        </w:tc>
        <w:tc>
          <w:tcPr>
            <w:tcW w:w="2200" w:type="dxa"/>
            <w:shd w:val="clear" w:color="auto" w:fill="EDEDED"/>
            <w:tcMar>
              <w:top w:w="40" w:type="dxa"/>
              <w:left w:w="80" w:type="dxa"/>
              <w:bottom w:w="40" w:type="dxa"/>
              <w:right w:w="80" w:type="dxa"/>
            </w:tcMar>
            <w:vAlign w:val="center"/>
          </w:tcPr>
          <w:p w14:paraId="2ABBCE9B">
            <w:pPr>
              <w:jc w:val="left"/>
            </w:pPr>
            <w:r>
              <w:rPr>
                <w:rFonts w:ascii="Calibri" w:hAnsi="Calibri" w:eastAsia="Calibri" w:cs="Calibri"/>
                <w:b w:val="0"/>
                <w:bCs w:val="0"/>
                <w:color w:val="333333"/>
                <w:sz w:val="18"/>
                <w:szCs w:val="18"/>
              </w:rPr>
              <w:t>181</w:t>
            </w:r>
          </w:p>
        </w:tc>
      </w:tr>
    </w:tbl>
    <w:p w14:paraId="4FDE2C9C">
      <w:pPr>
        <w:pBdr>
          <w:bottom w:val="single" w:color="1F3864" w:sz="6" w:space="2"/>
        </w:pBdr>
        <w:spacing w:before="140" w:after="70"/>
      </w:pPr>
      <w:r>
        <w:rPr>
          <w:rFonts w:ascii="Calibri" w:hAnsi="Calibri" w:eastAsia="Calibri" w:cs="Calibri"/>
          <w:b/>
          <w:bCs/>
          <w:color w:val="1F3864"/>
          <w:sz w:val="30"/>
          <w:szCs w:val="30"/>
        </w:rPr>
        <w:t>System Architecture</w:t>
      </w:r>
    </w:p>
    <w:p w14:paraId="6D4842DF">
      <w:pPr>
        <w:pBdr>
          <w:top w:val="single" w:color="1F3864" w:sz="4" w:space="0"/>
          <w:bottom w:val="single" w:color="1F3864" w:sz="4" w:space="0"/>
        </w:pBdr>
        <w:shd w:val="clear" w:fill="EDEDED"/>
        <w:spacing w:before="40" w:after="30" w:line="250" w:lineRule="auto"/>
      </w:pPr>
      <w:r>
        <w:rPr>
          <w:rFonts w:ascii="Calibri" w:hAnsi="Calibri" w:eastAsia="Calibri" w:cs="Calibri"/>
          <w:b/>
          <w:bCs/>
          <w:color w:val="1F3864"/>
          <w:sz w:val="18"/>
          <w:szCs w:val="18"/>
        </w:rPr>
        <w:t>Customer Message</w:t>
      </w:r>
      <w:r>
        <w:rPr>
          <w:rFonts w:ascii="Calibri" w:hAnsi="Calibri" w:eastAsia="Calibri" w:cs="Calibri"/>
          <w:b/>
          <w:bCs/>
          <w:color w:val="888888"/>
          <w:sz w:val="18"/>
          <w:szCs w:val="18"/>
        </w:rPr>
        <w:t xml:space="preserve">  →  </w:t>
      </w:r>
      <w:r>
        <w:rPr>
          <w:rFonts w:ascii="Calibri" w:hAnsi="Calibri" w:eastAsia="Calibri" w:cs="Calibri"/>
          <w:b/>
          <w:bCs/>
          <w:color w:val="1F3864"/>
          <w:sz w:val="18"/>
          <w:szCs w:val="18"/>
        </w:rPr>
        <w:t>Input Quality Check</w:t>
      </w:r>
      <w:r>
        <w:rPr>
          <w:rFonts w:ascii="Calibri" w:hAnsi="Calibri" w:eastAsia="Calibri" w:cs="Calibri"/>
          <w:b/>
          <w:bCs/>
          <w:color w:val="888888"/>
          <w:sz w:val="18"/>
          <w:szCs w:val="18"/>
        </w:rPr>
        <w:t xml:space="preserve">  →  </w:t>
      </w:r>
      <w:r>
        <w:rPr>
          <w:rFonts w:ascii="Calibri" w:hAnsi="Calibri" w:eastAsia="Calibri" w:cs="Calibri"/>
          <w:b/>
          <w:bCs/>
          <w:color w:val="1F3864"/>
          <w:sz w:val="18"/>
          <w:szCs w:val="18"/>
        </w:rPr>
        <w:t>Intent Classification</w:t>
      </w:r>
      <w:r>
        <w:rPr>
          <w:rFonts w:ascii="Calibri" w:hAnsi="Calibri" w:eastAsia="Calibri" w:cs="Calibri"/>
          <w:b/>
          <w:bCs/>
          <w:color w:val="888888"/>
          <w:sz w:val="18"/>
          <w:szCs w:val="18"/>
        </w:rPr>
        <w:t xml:space="preserve">  →  </w:t>
      </w:r>
      <w:r>
        <w:rPr>
          <w:rFonts w:ascii="Calibri" w:hAnsi="Calibri" w:eastAsia="Calibri" w:cs="Calibri"/>
          <w:b/>
          <w:bCs/>
          <w:color w:val="1F3864"/>
          <w:sz w:val="18"/>
          <w:szCs w:val="18"/>
        </w:rPr>
        <w:t>Historical Retrieval</w:t>
      </w:r>
      <w:r>
        <w:rPr>
          <w:rFonts w:ascii="Calibri" w:hAnsi="Calibri" w:eastAsia="Calibri" w:cs="Calibri"/>
          <w:b/>
          <w:bCs/>
          <w:color w:val="888888"/>
          <w:sz w:val="18"/>
          <w:szCs w:val="18"/>
        </w:rPr>
        <w:t xml:space="preserve">  →  </w:t>
      </w:r>
      <w:r>
        <w:rPr>
          <w:rFonts w:ascii="Calibri" w:hAnsi="Calibri" w:eastAsia="Calibri" w:cs="Calibri"/>
          <w:b/>
          <w:bCs/>
          <w:color w:val="1F3864"/>
          <w:sz w:val="18"/>
          <w:szCs w:val="18"/>
        </w:rPr>
        <w:t>Resolution Evidence</w:t>
      </w:r>
      <w:r>
        <w:rPr>
          <w:rFonts w:ascii="Calibri" w:hAnsi="Calibri" w:eastAsia="Calibri" w:cs="Calibri"/>
          <w:b/>
          <w:bCs/>
          <w:color w:val="888888"/>
          <w:sz w:val="18"/>
          <w:szCs w:val="18"/>
        </w:rPr>
        <w:t xml:space="preserve">  →  </w:t>
      </w:r>
      <w:r>
        <w:rPr>
          <w:rFonts w:ascii="Calibri" w:hAnsi="Calibri" w:eastAsia="Calibri" w:cs="Calibri"/>
          <w:b/>
          <w:bCs/>
          <w:color w:val="1F3864"/>
          <w:sz w:val="18"/>
          <w:szCs w:val="18"/>
        </w:rPr>
        <w:t>Reply Generation</w:t>
      </w:r>
      <w:r>
        <w:rPr>
          <w:rFonts w:ascii="Calibri" w:hAnsi="Calibri" w:eastAsia="Calibri" w:cs="Calibri"/>
          <w:b/>
          <w:bCs/>
          <w:color w:val="888888"/>
          <w:sz w:val="18"/>
          <w:szCs w:val="18"/>
        </w:rPr>
        <w:t xml:space="preserve">  →  </w:t>
      </w:r>
      <w:r>
        <w:rPr>
          <w:rFonts w:ascii="Calibri" w:hAnsi="Calibri" w:eastAsia="Calibri" w:cs="Calibri"/>
          <w:b/>
          <w:bCs/>
          <w:color w:val="1F3864"/>
          <w:sz w:val="18"/>
          <w:szCs w:val="18"/>
        </w:rPr>
        <w:t>Risk / Confidence Gate</w:t>
      </w:r>
    </w:p>
    <w:p w14:paraId="2226B52A">
      <w:pPr>
        <w:pBdr>
          <w:bottom w:val="single" w:color="1F3864" w:sz="4" w:space="0"/>
        </w:pBdr>
        <w:shd w:val="clear" w:fill="EDEDED"/>
        <w:spacing w:before="0" w:after="60" w:line="250" w:lineRule="auto"/>
      </w:pPr>
      <w:r>
        <w:rPr>
          <w:rFonts w:ascii="Calibri" w:hAnsi="Calibri" w:eastAsia="Calibri" w:cs="Calibri"/>
          <w:i/>
          <w:iCs/>
          <w:color w:val="666666"/>
          <w:sz w:val="18"/>
          <w:szCs w:val="18"/>
        </w:rPr>
        <w:t xml:space="preserve">  ↓ gate decides using confidence + evidence + risk, not confidence alone  ↓</w:t>
      </w:r>
    </w:p>
    <w:p w14:paraId="56BCFD70">
      <w:pPr>
        <w:pBdr>
          <w:left w:val="single" w:color="1F3864" w:sz="4" w:space="0"/>
          <w:bottom w:val="single" w:color="1F3864" w:sz="4" w:space="0"/>
          <w:right w:val="single" w:color="1F3864" w:sz="4" w:space="0"/>
        </w:pBdr>
        <w:shd w:val="clear" w:fill="EDEDED"/>
        <w:spacing w:before="0" w:after="80" w:line="250" w:lineRule="auto"/>
      </w:pPr>
      <w:r>
        <w:rPr>
          <w:rFonts w:ascii="Calibri" w:hAnsi="Calibri" w:eastAsia="Calibri" w:cs="Calibri"/>
          <w:b/>
          <w:bCs/>
          <w:color w:val="1F6B2A"/>
          <w:sz w:val="18"/>
          <w:szCs w:val="18"/>
        </w:rPr>
        <w:t xml:space="preserve">  AUTO-HANDLE</w:t>
      </w:r>
      <w:r>
        <w:rPr>
          <w:rFonts w:ascii="Calibri" w:hAnsi="Calibri" w:eastAsia="Calibri" w:cs="Calibri"/>
          <w:sz w:val="18"/>
          <w:szCs w:val="18"/>
        </w:rPr>
        <w:t xml:space="preserve">          </w:t>
      </w:r>
      <w:r>
        <w:rPr>
          <w:rFonts w:ascii="Calibri" w:hAnsi="Calibri" w:eastAsia="Calibri" w:cs="Calibri"/>
          <w:b/>
          <w:bCs/>
          <w:color w:val="AA3333"/>
          <w:sz w:val="18"/>
          <w:szCs w:val="18"/>
        </w:rPr>
        <w:t xml:space="preserve">ESCALATE (with explicit reason)  </w:t>
      </w:r>
    </w:p>
    <w:p w14:paraId="14C9E978">
      <w:pPr>
        <w:pBdr>
          <w:bottom w:val="single" w:color="1F3864" w:sz="6" w:space="2"/>
        </w:pBdr>
        <w:spacing w:before="140" w:after="70"/>
      </w:pPr>
      <w:r>
        <w:rPr>
          <w:rFonts w:ascii="Calibri" w:hAnsi="Calibri" w:eastAsia="Calibri" w:cs="Calibri"/>
          <w:b/>
          <w:bCs/>
          <w:color w:val="1F3864"/>
          <w:sz w:val="30"/>
          <w:szCs w:val="30"/>
        </w:rPr>
        <w:t>Methodology</w:t>
      </w:r>
    </w:p>
    <w:p w14:paraId="5101D77F">
      <w:pPr>
        <w:spacing w:before="100" w:after="50"/>
      </w:pPr>
      <w:r>
        <w:rPr>
          <w:rFonts w:ascii="Calibri" w:hAnsi="Calibri" w:eastAsia="Calibri" w:cs="Calibri"/>
          <w:b/>
          <w:bCs/>
          <w:color w:val="1F3864"/>
          <w:sz w:val="23"/>
          <w:szCs w:val="23"/>
        </w:rPr>
        <w:t>Input Quality</w:t>
      </w:r>
    </w:p>
    <w:p w14:paraId="5DDDFBD9">
      <w:pPr>
        <w:spacing w:after="60" w:line="264" w:lineRule="auto"/>
      </w:pPr>
      <w:r>
        <w:rPr>
          <w:rFonts w:ascii="Calibri" w:hAnsi="Calibri" w:eastAsia="Calibri" w:cs="Calibri"/>
          <w:b w:val="0"/>
          <w:bCs w:val="0"/>
          <w:i w:val="0"/>
          <w:iCs w:val="0"/>
          <w:color w:val="333333"/>
          <w:sz w:val="19"/>
          <w:szCs w:val="19"/>
        </w:rPr>
        <w:t>A dedicated layer runs before automation to detect URL-only, reference-number-only, number-only, conversational-fragment, journey/time-fragment, and other low-information inputs (e.g. "Manchester", "Great, thanks", "05.56 WBQ to EUS", "VTN171005BPCH"). These are routed toward escalation rather than forced into an intent prediction — a deliberate safety/usability decision.</w:t>
      </w:r>
    </w:p>
    <w:p w14:paraId="09D4E0C6">
      <w:pPr>
        <w:spacing w:before="100" w:after="50"/>
      </w:pPr>
      <w:r>
        <w:rPr>
          <w:rFonts w:ascii="Calibri" w:hAnsi="Calibri" w:eastAsia="Calibri" w:cs="Calibri"/>
          <w:b/>
          <w:bCs/>
          <w:color w:val="1F3864"/>
          <w:sz w:val="23"/>
          <w:szCs w:val="23"/>
        </w:rPr>
        <w:t>Intent Classification</w:t>
      </w:r>
    </w:p>
    <w:p w14:paraId="3BE3AB6C">
      <w:pPr>
        <w:spacing w:after="60" w:line="264" w:lineRule="auto"/>
      </w:pPr>
      <w:r>
        <w:rPr>
          <w:rFonts w:ascii="Calibri" w:hAnsi="Calibri" w:eastAsia="Calibri" w:cs="Calibri"/>
          <w:b w:val="0"/>
          <w:bCs w:val="0"/>
          <w:i w:val="0"/>
          <w:iCs w:val="0"/>
          <w:color w:val="333333"/>
          <w:sz w:val="19"/>
          <w:szCs w:val="19"/>
        </w:rPr>
        <w:t>TF-IDF (word n-grams 1–2) + Logistic Regression (class_weight="balanced"). The classifier is intentionally simple and reproducible; it is not claimed to be novel. The contribution lies in how it is combined with retrieval and gating downstream.</w:t>
      </w:r>
    </w:p>
    <w:p w14:paraId="606C0A46">
      <w:pPr>
        <w:spacing w:before="100" w:after="50"/>
      </w:pPr>
      <w:r>
        <w:rPr>
          <w:rFonts w:ascii="Calibri" w:hAnsi="Calibri" w:eastAsia="Calibri" w:cs="Calibri"/>
          <w:b/>
          <w:bCs/>
          <w:color w:val="1F3864"/>
          <w:sz w:val="23"/>
          <w:szCs w:val="23"/>
        </w:rPr>
        <w:t>Historical Retrieval</w:t>
      </w:r>
    </w:p>
    <w:p w14:paraId="5DB7439F">
      <w:pPr>
        <w:spacing w:after="60" w:line="264" w:lineRule="auto"/>
      </w:pPr>
      <w:r>
        <w:rPr>
          <w:rFonts w:ascii="Calibri" w:hAnsi="Calibri" w:eastAsia="Calibri" w:cs="Calibri"/>
          <w:b w:val="0"/>
          <w:bCs w:val="0"/>
          <w:i w:val="0"/>
          <w:iCs w:val="0"/>
          <w:color w:val="333333"/>
          <w:sz w:val="19"/>
          <w:szCs w:val="19"/>
        </w:rPr>
        <w:t>TF-IDF over historical customer messages (word n-grams 1–2, URL/mention stripping, cosine similarity, top-5 cases). For the query "My train is delayed by two hours, can I claim compensation?", top similarities were approximately 0.2718, 0.2543, 0.2429, 0.2426, 0.2378, retrieving cases about Delay Repay, compensation, cancellations, and website/form guidance. High lexical similarity does not guarantee the retrieved response is the correct resolution.</w:t>
      </w:r>
    </w:p>
    <w:p w14:paraId="12B77A5B">
      <w:pPr>
        <w:spacing w:before="100" w:after="50"/>
      </w:pPr>
      <w:r>
        <w:rPr>
          <w:rFonts w:ascii="Calibri" w:hAnsi="Calibri" w:eastAsia="Calibri" w:cs="Calibri"/>
          <w:b/>
          <w:bCs/>
          <w:color w:val="1F3864"/>
          <w:sz w:val="23"/>
          <w:szCs w:val="23"/>
        </w:rPr>
        <w:t>Resolution Evidence</w:t>
      </w:r>
    </w:p>
    <w:p w14:paraId="76C55397">
      <w:pPr>
        <w:spacing w:after="60" w:line="264" w:lineRule="auto"/>
      </w:pPr>
      <w:r>
        <w:rPr>
          <w:rFonts w:ascii="Calibri" w:hAnsi="Calibri" w:eastAsia="Calibri" w:cs="Calibri"/>
          <w:b w:val="0"/>
          <w:bCs w:val="0"/>
          <w:i w:val="0"/>
          <w:iCs w:val="0"/>
          <w:color w:val="333333"/>
          <w:sz w:val="19"/>
          <w:szCs w:val="19"/>
        </w:rPr>
        <w:t>Retrieved brand responses are mapped to action categories (delay_repay, refund, contact_aftersales, contact_customer_resolutions, direct_message, station_staff, website_form, ticket_validity, wifi_support, lost_property_team). Evidence agreement = supporting cases / retrieved cases. For the delay example: delay_repay 2/5 (40%), website_form 2/5 (40%) — illustrating why the system should not trust a single retrieved case.</w:t>
      </w:r>
    </w:p>
    <w:p w14:paraId="4F822A61">
      <w:pPr>
        <w:spacing w:before="100" w:after="50"/>
      </w:pPr>
      <w:r>
        <w:rPr>
          <w:rFonts w:ascii="Calibri" w:hAnsi="Calibri" w:eastAsia="Calibri" w:cs="Calibri"/>
          <w:b/>
          <w:bCs/>
          <w:color w:val="1F3864"/>
          <w:sz w:val="23"/>
          <w:szCs w:val="23"/>
        </w:rPr>
        <w:t>Evidence-Confidence Gate</w:t>
      </w:r>
    </w:p>
    <w:p w14:paraId="3FF20E35">
      <w:pPr>
        <w:spacing w:after="60" w:line="264" w:lineRule="auto"/>
      </w:pPr>
      <w:r>
        <w:rPr>
          <w:rFonts w:ascii="Calibri" w:hAnsi="Calibri" w:eastAsia="Calibri" w:cs="Calibri"/>
          <w:b w:val="0"/>
          <w:bCs w:val="0"/>
          <w:i w:val="0"/>
          <w:iCs w:val="0"/>
          <w:color w:val="333333"/>
          <w:sz w:val="19"/>
          <w:szCs w:val="19"/>
        </w:rPr>
        <w:t>The final AUTO-HANDLE / ESCALATE decision weighs intent confidence, retrieval similarity, evidence agreement, risk indicators (safety, active disruption, financial dispute, case-specific situation, insufficient information), input quality, and case complexity. Classifier confidence alone never authorizes automation.</w:t>
      </w:r>
    </w:p>
    <w:p w14:paraId="4CC7BB78">
      <w:pPr>
        <w:spacing w:before="100" w:after="50"/>
      </w:pPr>
      <w:r>
        <w:rPr>
          <w:rFonts w:ascii="Calibri" w:hAnsi="Calibri" w:eastAsia="Calibri" w:cs="Calibri"/>
          <w:b/>
          <w:bCs/>
          <w:color w:val="1F3864"/>
          <w:sz w:val="23"/>
          <w:szCs w:val="23"/>
        </w:rPr>
        <w:t>Reply Generation</w:t>
      </w:r>
    </w:p>
    <w:p w14:paraId="623EDA02">
      <w:pPr>
        <w:spacing w:after="60" w:line="264" w:lineRule="auto"/>
      </w:pPr>
      <w:r>
        <w:rPr>
          <w:rFonts w:ascii="Calibri" w:hAnsi="Calibri" w:eastAsia="Calibri" w:cs="Calibri"/>
          <w:b w:val="0"/>
          <w:bCs w:val="0"/>
          <w:i w:val="0"/>
          <w:iCs w:val="0"/>
          <w:color w:val="333333"/>
          <w:sz w:val="19"/>
          <w:szCs w:val="19"/>
        </w:rPr>
        <w:t>Replies use deterministic, intent-specific templates grounded in retrieved evidence, e.g.: "Historical VirginTrains support responses directed similar delayed-journey cases to Delay Repay. Please check the relevant Delay Repay process for your journey. Eligibility should be confirmed against your journey details." The generator frames retrieved behavior as historical evidence, avoiding guaranteed refunds, compensation, processing times, or current-policy promises.</w:t>
      </w:r>
    </w:p>
    <w:p w14:paraId="57D46BC6">
      <w:pPr>
        <w:spacing w:before="100" w:after="50"/>
      </w:pPr>
      <w:r>
        <w:rPr>
          <w:rFonts w:ascii="Calibri" w:hAnsi="Calibri" w:eastAsia="Calibri" w:cs="Calibri"/>
          <w:b/>
          <w:bCs/>
          <w:color w:val="1F3864"/>
          <w:sz w:val="23"/>
          <w:szCs w:val="23"/>
        </w:rPr>
        <w:t>Evaluation Setup</w:t>
      </w:r>
    </w:p>
    <w:p w14:paraId="0DCFC5E8">
      <w:pPr>
        <w:spacing w:after="60" w:line="264" w:lineRule="auto"/>
      </w:pPr>
      <w:r>
        <w:rPr>
          <w:rFonts w:ascii="Calibri" w:hAnsi="Calibri" w:eastAsia="Calibri" w:cs="Calibri"/>
          <w:b w:val="0"/>
          <w:bCs w:val="0"/>
          <w:i w:val="0"/>
          <w:iCs w:val="0"/>
          <w:color w:val="333333"/>
          <w:sz w:val="19"/>
          <w:szCs w:val="19"/>
        </w:rPr>
        <w:t>A 200-example golden set (should_escalate=92, should_not=108) was built with AI/rule-based pre-labels followed by mandatory human final review (not independent LLM labeling). Golden customer_message + historical_response pairs were normalized and matched against the processed interaction table for leakage prevention: 195/200 matched, with 390 tweet IDs excluded from retrieval; 5 examples had no exact match. Detected retrieval leakage in the final run: 0. This is a leakage-prevention safeguard, not a claim of perfect dataset isolation.</w:t>
      </w:r>
    </w:p>
    <w:p w14:paraId="154AE8C7">
      <w:pPr>
        <w:pBdr>
          <w:bottom w:val="single" w:color="1F3864" w:sz="6" w:space="2"/>
        </w:pBdr>
        <w:spacing w:before="140" w:after="70"/>
      </w:pPr>
      <w:r>
        <w:rPr>
          <w:rFonts w:ascii="Calibri" w:hAnsi="Calibri" w:eastAsia="Calibri" w:cs="Calibri"/>
          <w:b/>
          <w:bCs/>
          <w:color w:val="1F3864"/>
          <w:sz w:val="30"/>
          <w:szCs w:val="30"/>
        </w:rPr>
        <w:t>Results</w:t>
      </w:r>
    </w:p>
    <w:p w14:paraId="41B1531D">
      <w:pPr>
        <w:spacing w:before="100" w:after="50"/>
      </w:pPr>
      <w:r>
        <w:rPr>
          <w:rFonts w:ascii="Calibri" w:hAnsi="Calibri" w:eastAsia="Calibri" w:cs="Calibri"/>
          <w:b/>
          <w:bCs/>
          <w:color w:val="1F3864"/>
          <w:sz w:val="23"/>
          <w:szCs w:val="23"/>
        </w:rPr>
        <w:t>Baseline Comparison</w:t>
      </w:r>
    </w:p>
    <w:tbl>
      <w:tblPr>
        <w:tblStyle w:val="9"/>
        <w:tblW w:w="7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1600"/>
        <w:gridCol w:w="1600"/>
      </w:tblGrid>
      <w:tr w14:paraId="5550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40" w:type="dxa"/>
              <w:left w:w="80" w:type="dxa"/>
              <w:bottom w:w="40" w:type="dxa"/>
              <w:right w:w="80" w:type="dxa"/>
            </w:tcMar>
            <w:vAlign w:val="center"/>
          </w:tcPr>
          <w:p w14:paraId="6E21CDC2">
            <w:pPr>
              <w:jc w:val="left"/>
            </w:pPr>
            <w:r>
              <w:rPr>
                <w:rFonts w:ascii="Calibri" w:hAnsi="Calibri" w:eastAsia="Calibri" w:cs="Calibri"/>
                <w:b/>
                <w:bCs/>
                <w:color w:val="FFFFFF"/>
                <w:sz w:val="18"/>
                <w:szCs w:val="18"/>
              </w:rPr>
              <w:t>Model</w:t>
            </w:r>
          </w:p>
        </w:tc>
        <w:tc>
          <w:tcPr>
            <w:tcW w:w="1600" w:type="dxa"/>
            <w:shd w:val="clear" w:color="auto" w:fill="1F3864"/>
            <w:tcMar>
              <w:top w:w="40" w:type="dxa"/>
              <w:left w:w="80" w:type="dxa"/>
              <w:bottom w:w="40" w:type="dxa"/>
              <w:right w:w="80" w:type="dxa"/>
            </w:tcMar>
            <w:vAlign w:val="center"/>
          </w:tcPr>
          <w:p w14:paraId="144C9676">
            <w:pPr>
              <w:jc w:val="left"/>
            </w:pPr>
            <w:r>
              <w:rPr>
                <w:rFonts w:ascii="Calibri" w:hAnsi="Calibri" w:eastAsia="Calibri" w:cs="Calibri"/>
                <w:b/>
                <w:bCs/>
                <w:color w:val="FFFFFF"/>
                <w:sz w:val="18"/>
                <w:szCs w:val="18"/>
              </w:rPr>
              <w:t>Accuracy</w:t>
            </w:r>
          </w:p>
        </w:tc>
        <w:tc>
          <w:tcPr>
            <w:tcW w:w="1600" w:type="dxa"/>
            <w:shd w:val="clear" w:color="auto" w:fill="1F3864"/>
            <w:tcMar>
              <w:top w:w="40" w:type="dxa"/>
              <w:left w:w="80" w:type="dxa"/>
              <w:bottom w:w="40" w:type="dxa"/>
              <w:right w:w="80" w:type="dxa"/>
            </w:tcMar>
            <w:vAlign w:val="center"/>
          </w:tcPr>
          <w:p w14:paraId="19DD754E">
            <w:pPr>
              <w:jc w:val="left"/>
            </w:pPr>
            <w:r>
              <w:rPr>
                <w:rFonts w:ascii="Calibri" w:hAnsi="Calibri" w:eastAsia="Calibri" w:cs="Calibri"/>
                <w:b/>
                <w:bCs/>
                <w:color w:val="FFFFFF"/>
                <w:sz w:val="18"/>
                <w:szCs w:val="18"/>
              </w:rPr>
              <w:t>Macro-F1</w:t>
            </w:r>
          </w:p>
        </w:tc>
        <w:tc>
          <w:tcPr>
            <w:tcW w:w="1600" w:type="dxa"/>
            <w:shd w:val="clear" w:color="auto" w:fill="1F3864"/>
            <w:tcMar>
              <w:top w:w="40" w:type="dxa"/>
              <w:left w:w="80" w:type="dxa"/>
              <w:bottom w:w="40" w:type="dxa"/>
              <w:right w:w="80" w:type="dxa"/>
            </w:tcMar>
            <w:vAlign w:val="center"/>
          </w:tcPr>
          <w:p w14:paraId="5DBE5D1F">
            <w:pPr>
              <w:jc w:val="left"/>
            </w:pPr>
            <w:r>
              <w:rPr>
                <w:rFonts w:ascii="Calibri" w:hAnsi="Calibri" w:eastAsia="Calibri" w:cs="Calibri"/>
                <w:b/>
                <w:bCs/>
                <w:color w:val="FFFFFF"/>
                <w:sz w:val="18"/>
                <w:szCs w:val="18"/>
              </w:rPr>
              <w:t>Weighted-F1</w:t>
            </w:r>
          </w:p>
        </w:tc>
      </w:tr>
      <w:tr w14:paraId="6D995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40" w:type="dxa"/>
              <w:left w:w="80" w:type="dxa"/>
              <w:bottom w:w="40" w:type="dxa"/>
              <w:right w:w="80" w:type="dxa"/>
            </w:tcMar>
            <w:vAlign w:val="center"/>
          </w:tcPr>
          <w:p w14:paraId="58485137">
            <w:pPr>
              <w:jc w:val="left"/>
            </w:pPr>
            <w:r>
              <w:rPr>
                <w:rFonts w:ascii="Calibri" w:hAnsi="Calibri" w:eastAsia="Calibri" w:cs="Calibri"/>
                <w:b w:val="0"/>
                <w:bCs w:val="0"/>
                <w:color w:val="333333"/>
                <w:sz w:val="18"/>
                <w:szCs w:val="18"/>
              </w:rPr>
              <w:t>Majority (train_status)</w:t>
            </w:r>
          </w:p>
        </w:tc>
        <w:tc>
          <w:tcPr>
            <w:tcW w:w="1600" w:type="dxa"/>
            <w:tcMar>
              <w:top w:w="40" w:type="dxa"/>
              <w:left w:w="80" w:type="dxa"/>
              <w:bottom w:w="40" w:type="dxa"/>
              <w:right w:w="80" w:type="dxa"/>
            </w:tcMar>
            <w:vAlign w:val="center"/>
          </w:tcPr>
          <w:p w14:paraId="37C02EE1">
            <w:pPr>
              <w:jc w:val="left"/>
            </w:pPr>
            <w:r>
              <w:rPr>
                <w:rFonts w:ascii="Calibri" w:hAnsi="Calibri" w:eastAsia="Calibri" w:cs="Calibri"/>
                <w:b w:val="0"/>
                <w:bCs w:val="0"/>
                <w:color w:val="333333"/>
                <w:sz w:val="18"/>
                <w:szCs w:val="18"/>
              </w:rPr>
              <w:t>10.50%</w:t>
            </w:r>
          </w:p>
        </w:tc>
        <w:tc>
          <w:tcPr>
            <w:tcW w:w="1600" w:type="dxa"/>
            <w:tcMar>
              <w:top w:w="40" w:type="dxa"/>
              <w:left w:w="80" w:type="dxa"/>
              <w:bottom w:w="40" w:type="dxa"/>
              <w:right w:w="80" w:type="dxa"/>
            </w:tcMar>
            <w:vAlign w:val="center"/>
          </w:tcPr>
          <w:p w14:paraId="1B53692B">
            <w:pPr>
              <w:jc w:val="left"/>
            </w:pPr>
            <w:r>
              <w:rPr>
                <w:rFonts w:ascii="Calibri" w:hAnsi="Calibri" w:eastAsia="Calibri" w:cs="Calibri"/>
                <w:b w:val="0"/>
                <w:bCs w:val="0"/>
                <w:color w:val="333333"/>
                <w:sz w:val="18"/>
                <w:szCs w:val="18"/>
              </w:rPr>
              <w:t>1.90%</w:t>
            </w:r>
          </w:p>
        </w:tc>
        <w:tc>
          <w:tcPr>
            <w:tcW w:w="1600" w:type="dxa"/>
            <w:tcMar>
              <w:top w:w="40" w:type="dxa"/>
              <w:left w:w="80" w:type="dxa"/>
              <w:bottom w:w="40" w:type="dxa"/>
              <w:right w:w="80" w:type="dxa"/>
            </w:tcMar>
            <w:vAlign w:val="center"/>
          </w:tcPr>
          <w:p w14:paraId="184341F4">
            <w:pPr>
              <w:jc w:val="left"/>
            </w:pPr>
            <w:r>
              <w:rPr>
                <w:rFonts w:ascii="Calibri" w:hAnsi="Calibri" w:eastAsia="Calibri" w:cs="Calibri"/>
                <w:b w:val="0"/>
                <w:bCs w:val="0"/>
                <w:color w:val="333333"/>
                <w:sz w:val="18"/>
                <w:szCs w:val="18"/>
              </w:rPr>
              <w:t>N/A</w:t>
            </w:r>
          </w:p>
        </w:tc>
      </w:tr>
      <w:tr w14:paraId="41A86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DEDED"/>
            <w:tcMar>
              <w:top w:w="40" w:type="dxa"/>
              <w:left w:w="80" w:type="dxa"/>
              <w:bottom w:w="40" w:type="dxa"/>
              <w:right w:w="80" w:type="dxa"/>
            </w:tcMar>
            <w:vAlign w:val="center"/>
          </w:tcPr>
          <w:p w14:paraId="070F3176">
            <w:pPr>
              <w:jc w:val="left"/>
            </w:pPr>
            <w:r>
              <w:rPr>
                <w:rFonts w:ascii="Calibri" w:hAnsi="Calibri" w:eastAsia="Calibri" w:cs="Calibri"/>
                <w:b w:val="0"/>
                <w:bCs w:val="0"/>
                <w:color w:val="333333"/>
                <w:sz w:val="18"/>
                <w:szCs w:val="18"/>
              </w:rPr>
              <w:t>TF-IDF + LR V1</w:t>
            </w:r>
          </w:p>
        </w:tc>
        <w:tc>
          <w:tcPr>
            <w:tcW w:w="1600" w:type="dxa"/>
            <w:shd w:val="clear" w:color="auto" w:fill="EDEDED"/>
            <w:tcMar>
              <w:top w:w="40" w:type="dxa"/>
              <w:left w:w="80" w:type="dxa"/>
              <w:bottom w:w="40" w:type="dxa"/>
              <w:right w:w="80" w:type="dxa"/>
            </w:tcMar>
            <w:vAlign w:val="center"/>
          </w:tcPr>
          <w:p w14:paraId="0FFC7B79">
            <w:pPr>
              <w:jc w:val="left"/>
            </w:pPr>
            <w:r>
              <w:rPr>
                <w:rFonts w:ascii="Calibri" w:hAnsi="Calibri" w:eastAsia="Calibri" w:cs="Calibri"/>
                <w:b w:val="0"/>
                <w:bCs w:val="0"/>
                <w:color w:val="333333"/>
                <w:sz w:val="18"/>
                <w:szCs w:val="18"/>
              </w:rPr>
              <w:t>40.50%</w:t>
            </w:r>
          </w:p>
        </w:tc>
        <w:tc>
          <w:tcPr>
            <w:tcW w:w="1600" w:type="dxa"/>
            <w:shd w:val="clear" w:color="auto" w:fill="EDEDED"/>
            <w:tcMar>
              <w:top w:w="40" w:type="dxa"/>
              <w:left w:w="80" w:type="dxa"/>
              <w:bottom w:w="40" w:type="dxa"/>
              <w:right w:w="80" w:type="dxa"/>
            </w:tcMar>
            <w:vAlign w:val="center"/>
          </w:tcPr>
          <w:p w14:paraId="09EAA6BB">
            <w:pPr>
              <w:jc w:val="left"/>
            </w:pPr>
            <w:r>
              <w:rPr>
                <w:rFonts w:ascii="Calibri" w:hAnsi="Calibri" w:eastAsia="Calibri" w:cs="Calibri"/>
                <w:b w:val="0"/>
                <w:bCs w:val="0"/>
                <w:color w:val="333333"/>
                <w:sz w:val="18"/>
                <w:szCs w:val="18"/>
              </w:rPr>
              <w:t>35.19%</w:t>
            </w:r>
          </w:p>
        </w:tc>
        <w:tc>
          <w:tcPr>
            <w:tcW w:w="1600" w:type="dxa"/>
            <w:shd w:val="clear" w:color="auto" w:fill="EDEDED"/>
            <w:tcMar>
              <w:top w:w="40" w:type="dxa"/>
              <w:left w:w="80" w:type="dxa"/>
              <w:bottom w:w="40" w:type="dxa"/>
              <w:right w:w="80" w:type="dxa"/>
            </w:tcMar>
            <w:vAlign w:val="center"/>
          </w:tcPr>
          <w:p w14:paraId="230F3F19">
            <w:pPr>
              <w:jc w:val="left"/>
            </w:pPr>
            <w:r>
              <w:rPr>
                <w:rFonts w:ascii="Calibri" w:hAnsi="Calibri" w:eastAsia="Calibri" w:cs="Calibri"/>
                <w:b w:val="0"/>
                <w:bCs w:val="0"/>
                <w:color w:val="333333"/>
                <w:sz w:val="18"/>
                <w:szCs w:val="18"/>
              </w:rPr>
              <w:t>34.50%</w:t>
            </w:r>
          </w:p>
        </w:tc>
      </w:tr>
      <w:tr w14:paraId="6770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40" w:type="dxa"/>
              <w:left w:w="80" w:type="dxa"/>
              <w:bottom w:w="40" w:type="dxa"/>
              <w:right w:w="80" w:type="dxa"/>
            </w:tcMar>
            <w:vAlign w:val="center"/>
          </w:tcPr>
          <w:p w14:paraId="15B4CCB7">
            <w:pPr>
              <w:jc w:val="left"/>
            </w:pPr>
            <w:r>
              <w:rPr>
                <w:rFonts w:ascii="Calibri" w:hAnsi="Calibri" w:eastAsia="Calibri" w:cs="Calibri"/>
                <w:b w:val="0"/>
                <w:bCs w:val="0"/>
                <w:color w:val="333333"/>
                <w:sz w:val="18"/>
                <w:szCs w:val="18"/>
              </w:rPr>
              <w:t>TF-IDF + LR V2</w:t>
            </w:r>
          </w:p>
        </w:tc>
        <w:tc>
          <w:tcPr>
            <w:tcW w:w="1600" w:type="dxa"/>
            <w:tcMar>
              <w:top w:w="40" w:type="dxa"/>
              <w:left w:w="80" w:type="dxa"/>
              <w:bottom w:w="40" w:type="dxa"/>
              <w:right w:w="80" w:type="dxa"/>
            </w:tcMar>
            <w:vAlign w:val="center"/>
          </w:tcPr>
          <w:p w14:paraId="60A5444E">
            <w:pPr>
              <w:jc w:val="left"/>
            </w:pPr>
            <w:r>
              <w:rPr>
                <w:rFonts w:ascii="Calibri" w:hAnsi="Calibri" w:eastAsia="Calibri" w:cs="Calibri"/>
                <w:b w:val="0"/>
                <w:bCs w:val="0"/>
                <w:color w:val="333333"/>
                <w:sz w:val="18"/>
                <w:szCs w:val="18"/>
              </w:rPr>
              <w:t>53.50%</w:t>
            </w:r>
          </w:p>
        </w:tc>
        <w:tc>
          <w:tcPr>
            <w:tcW w:w="1600" w:type="dxa"/>
            <w:tcMar>
              <w:top w:w="40" w:type="dxa"/>
              <w:left w:w="80" w:type="dxa"/>
              <w:bottom w:w="40" w:type="dxa"/>
              <w:right w:w="80" w:type="dxa"/>
            </w:tcMar>
            <w:vAlign w:val="center"/>
          </w:tcPr>
          <w:p w14:paraId="0920543B">
            <w:pPr>
              <w:jc w:val="left"/>
            </w:pPr>
            <w:r>
              <w:rPr>
                <w:rFonts w:ascii="Calibri" w:hAnsi="Calibri" w:eastAsia="Calibri" w:cs="Calibri"/>
                <w:b w:val="0"/>
                <w:bCs w:val="0"/>
                <w:color w:val="333333"/>
                <w:sz w:val="18"/>
                <w:szCs w:val="18"/>
              </w:rPr>
              <w:t>48.72%</w:t>
            </w:r>
          </w:p>
        </w:tc>
        <w:tc>
          <w:tcPr>
            <w:tcW w:w="1600" w:type="dxa"/>
            <w:tcMar>
              <w:top w:w="40" w:type="dxa"/>
              <w:left w:w="80" w:type="dxa"/>
              <w:bottom w:w="40" w:type="dxa"/>
              <w:right w:w="80" w:type="dxa"/>
            </w:tcMar>
            <w:vAlign w:val="center"/>
          </w:tcPr>
          <w:p w14:paraId="45042C90">
            <w:pPr>
              <w:jc w:val="left"/>
            </w:pPr>
            <w:r>
              <w:rPr>
                <w:rFonts w:ascii="Calibri" w:hAnsi="Calibri" w:eastAsia="Calibri" w:cs="Calibri"/>
                <w:b w:val="0"/>
                <w:bCs w:val="0"/>
                <w:color w:val="333333"/>
                <w:sz w:val="18"/>
                <w:szCs w:val="18"/>
              </w:rPr>
              <w:t>49.25%</w:t>
            </w:r>
          </w:p>
        </w:tc>
      </w:tr>
      <w:tr w14:paraId="7BD66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EDEDED"/>
            <w:tcMar>
              <w:top w:w="40" w:type="dxa"/>
              <w:left w:w="80" w:type="dxa"/>
              <w:bottom w:w="40" w:type="dxa"/>
              <w:right w:w="80" w:type="dxa"/>
            </w:tcMar>
            <w:vAlign w:val="center"/>
          </w:tcPr>
          <w:p w14:paraId="10906675">
            <w:pPr>
              <w:jc w:val="left"/>
            </w:pPr>
            <w:r>
              <w:rPr>
                <w:rFonts w:ascii="Calibri" w:hAnsi="Calibri" w:eastAsia="Calibri" w:cs="Calibri"/>
                <w:b w:val="0"/>
                <w:bCs w:val="0"/>
                <w:color w:val="333333"/>
                <w:sz w:val="18"/>
                <w:szCs w:val="18"/>
              </w:rPr>
              <w:t>TrustSupport V3</w:t>
            </w:r>
          </w:p>
        </w:tc>
        <w:tc>
          <w:tcPr>
            <w:tcW w:w="1600" w:type="dxa"/>
            <w:shd w:val="clear" w:color="auto" w:fill="EDEDED"/>
            <w:tcMar>
              <w:top w:w="40" w:type="dxa"/>
              <w:left w:w="80" w:type="dxa"/>
              <w:bottom w:w="40" w:type="dxa"/>
              <w:right w:w="80" w:type="dxa"/>
            </w:tcMar>
            <w:vAlign w:val="center"/>
          </w:tcPr>
          <w:p w14:paraId="02E437E6">
            <w:pPr>
              <w:jc w:val="left"/>
            </w:pPr>
            <w:r>
              <w:rPr>
                <w:rFonts w:ascii="Calibri" w:hAnsi="Calibri" w:eastAsia="Calibri" w:cs="Calibri"/>
                <w:b w:val="0"/>
                <w:bCs w:val="0"/>
                <w:color w:val="333333"/>
                <w:sz w:val="18"/>
                <w:szCs w:val="18"/>
              </w:rPr>
              <w:t>65.50%</w:t>
            </w:r>
          </w:p>
        </w:tc>
        <w:tc>
          <w:tcPr>
            <w:tcW w:w="1600" w:type="dxa"/>
            <w:shd w:val="clear" w:color="auto" w:fill="EDEDED"/>
            <w:tcMar>
              <w:top w:w="40" w:type="dxa"/>
              <w:left w:w="80" w:type="dxa"/>
              <w:bottom w:w="40" w:type="dxa"/>
              <w:right w:w="80" w:type="dxa"/>
            </w:tcMar>
            <w:vAlign w:val="center"/>
          </w:tcPr>
          <w:p w14:paraId="5DC5F2E2">
            <w:pPr>
              <w:jc w:val="left"/>
            </w:pPr>
            <w:r>
              <w:rPr>
                <w:rFonts w:ascii="Calibri" w:hAnsi="Calibri" w:eastAsia="Calibri" w:cs="Calibri"/>
                <w:b w:val="0"/>
                <w:bCs w:val="0"/>
                <w:color w:val="333333"/>
                <w:sz w:val="18"/>
                <w:szCs w:val="18"/>
              </w:rPr>
              <w:t>57.81%</w:t>
            </w:r>
          </w:p>
        </w:tc>
        <w:tc>
          <w:tcPr>
            <w:tcW w:w="1600" w:type="dxa"/>
            <w:shd w:val="clear" w:color="auto" w:fill="EDEDED"/>
            <w:tcMar>
              <w:top w:w="40" w:type="dxa"/>
              <w:left w:w="80" w:type="dxa"/>
              <w:bottom w:w="40" w:type="dxa"/>
              <w:right w:w="80" w:type="dxa"/>
            </w:tcMar>
            <w:vAlign w:val="center"/>
          </w:tcPr>
          <w:p w14:paraId="06382FD9">
            <w:pPr>
              <w:jc w:val="left"/>
            </w:pPr>
            <w:r>
              <w:rPr>
                <w:rFonts w:ascii="Calibri" w:hAnsi="Calibri" w:eastAsia="Calibri" w:cs="Calibri"/>
                <w:b w:val="0"/>
                <w:bCs w:val="0"/>
                <w:color w:val="333333"/>
                <w:sz w:val="18"/>
                <w:szCs w:val="18"/>
              </w:rPr>
              <w:t>67.12%</w:t>
            </w:r>
          </w:p>
        </w:tc>
      </w:tr>
    </w:tbl>
    <w:p w14:paraId="16311631">
      <w:pPr>
        <w:spacing w:after="100" w:line="264" w:lineRule="auto"/>
      </w:pPr>
      <w:r>
        <w:rPr>
          <w:rFonts w:ascii="Calibri" w:hAnsi="Calibri" w:eastAsia="Calibri" w:cs="Calibri"/>
          <w:b w:val="0"/>
          <w:bCs w:val="0"/>
          <w:i/>
          <w:iCs/>
          <w:color w:val="333333"/>
          <w:sz w:val="19"/>
          <w:szCs w:val="19"/>
        </w:rPr>
        <w:t>TrustSupport V3 improves over the V2 classical baseline by 12.0 percentage points in accuracy and 9.09 percentage points in macro-F1. The improvement reflects the combined effect of improved V2 training-data construction, input-quality handling, and the complete TrustSupport pipeline — not retrieval or gating alone.</w:t>
      </w:r>
    </w:p>
    <w:p w14:paraId="32F4847F">
      <w:pPr>
        <w:spacing w:before="100" w:after="50"/>
      </w:pPr>
      <w:r>
        <w:rPr>
          <w:rFonts w:ascii="Calibri" w:hAnsi="Calibri" w:eastAsia="Calibri" w:cs="Calibri"/>
          <w:b/>
          <w:bCs/>
          <w:color w:val="1F3864"/>
          <w:sz w:val="23"/>
          <w:szCs w:val="23"/>
        </w:rPr>
        <w:t>Per-Intent Results (TrustSupport V3)</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1400"/>
        <w:gridCol w:w="1200"/>
        <w:gridCol w:w="800"/>
      </w:tblGrid>
      <w:tr w14:paraId="2EDC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40" w:type="dxa"/>
              <w:left w:w="80" w:type="dxa"/>
              <w:bottom w:w="40" w:type="dxa"/>
              <w:right w:w="80" w:type="dxa"/>
            </w:tcMar>
            <w:vAlign w:val="center"/>
          </w:tcPr>
          <w:p w14:paraId="5D6C97E7">
            <w:pPr>
              <w:jc w:val="left"/>
            </w:pPr>
            <w:r>
              <w:rPr>
                <w:rFonts w:ascii="Calibri" w:hAnsi="Calibri" w:eastAsia="Calibri" w:cs="Calibri"/>
                <w:b/>
                <w:bCs/>
                <w:color w:val="FFFFFF"/>
                <w:sz w:val="18"/>
                <w:szCs w:val="18"/>
              </w:rPr>
              <w:t>Intent</w:t>
            </w:r>
          </w:p>
        </w:tc>
        <w:tc>
          <w:tcPr>
            <w:tcW w:w="1600" w:type="dxa"/>
            <w:shd w:val="clear" w:color="auto" w:fill="1F3864"/>
            <w:tcMar>
              <w:top w:w="40" w:type="dxa"/>
              <w:left w:w="80" w:type="dxa"/>
              <w:bottom w:w="40" w:type="dxa"/>
              <w:right w:w="80" w:type="dxa"/>
            </w:tcMar>
            <w:vAlign w:val="center"/>
          </w:tcPr>
          <w:p w14:paraId="2F3267F7">
            <w:pPr>
              <w:jc w:val="left"/>
            </w:pPr>
            <w:r>
              <w:rPr>
                <w:rFonts w:ascii="Calibri" w:hAnsi="Calibri" w:eastAsia="Calibri" w:cs="Calibri"/>
                <w:b/>
                <w:bCs/>
                <w:color w:val="FFFFFF"/>
                <w:sz w:val="18"/>
                <w:szCs w:val="18"/>
              </w:rPr>
              <w:t>Precision</w:t>
            </w:r>
          </w:p>
        </w:tc>
        <w:tc>
          <w:tcPr>
            <w:tcW w:w="1400" w:type="dxa"/>
            <w:shd w:val="clear" w:color="auto" w:fill="1F3864"/>
            <w:tcMar>
              <w:top w:w="40" w:type="dxa"/>
              <w:left w:w="80" w:type="dxa"/>
              <w:bottom w:w="40" w:type="dxa"/>
              <w:right w:w="80" w:type="dxa"/>
            </w:tcMar>
            <w:vAlign w:val="center"/>
          </w:tcPr>
          <w:p w14:paraId="23A5C67A">
            <w:pPr>
              <w:jc w:val="left"/>
            </w:pPr>
            <w:r>
              <w:rPr>
                <w:rFonts w:ascii="Calibri" w:hAnsi="Calibri" w:eastAsia="Calibri" w:cs="Calibri"/>
                <w:b/>
                <w:bCs/>
                <w:color w:val="FFFFFF"/>
                <w:sz w:val="18"/>
                <w:szCs w:val="18"/>
              </w:rPr>
              <w:t>Recall</w:t>
            </w:r>
          </w:p>
        </w:tc>
        <w:tc>
          <w:tcPr>
            <w:tcW w:w="1200" w:type="dxa"/>
            <w:shd w:val="clear" w:color="auto" w:fill="1F3864"/>
            <w:tcMar>
              <w:top w:w="40" w:type="dxa"/>
              <w:left w:w="80" w:type="dxa"/>
              <w:bottom w:w="40" w:type="dxa"/>
              <w:right w:w="80" w:type="dxa"/>
            </w:tcMar>
            <w:vAlign w:val="center"/>
          </w:tcPr>
          <w:p w14:paraId="7187FE56">
            <w:pPr>
              <w:jc w:val="left"/>
            </w:pPr>
            <w:r>
              <w:rPr>
                <w:rFonts w:ascii="Calibri" w:hAnsi="Calibri" w:eastAsia="Calibri" w:cs="Calibri"/>
                <w:b/>
                <w:bCs/>
                <w:color w:val="FFFFFF"/>
                <w:sz w:val="18"/>
                <w:szCs w:val="18"/>
              </w:rPr>
              <w:t>F1</w:t>
            </w:r>
          </w:p>
        </w:tc>
        <w:tc>
          <w:tcPr>
            <w:tcW w:w="800" w:type="dxa"/>
            <w:shd w:val="clear" w:color="auto" w:fill="1F3864"/>
            <w:tcMar>
              <w:top w:w="40" w:type="dxa"/>
              <w:left w:w="80" w:type="dxa"/>
              <w:bottom w:w="40" w:type="dxa"/>
              <w:right w:w="80" w:type="dxa"/>
            </w:tcMar>
            <w:vAlign w:val="center"/>
          </w:tcPr>
          <w:p w14:paraId="47DE5184">
            <w:pPr>
              <w:jc w:val="left"/>
            </w:pPr>
            <w:r>
              <w:rPr>
                <w:rFonts w:ascii="Calibri" w:hAnsi="Calibri" w:eastAsia="Calibri" w:cs="Calibri"/>
                <w:b/>
                <w:bCs/>
                <w:color w:val="FFFFFF"/>
                <w:sz w:val="18"/>
                <w:szCs w:val="18"/>
              </w:rPr>
              <w:t>Support</w:t>
            </w:r>
          </w:p>
        </w:tc>
      </w:tr>
      <w:tr w14:paraId="049F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40" w:type="dxa"/>
              <w:left w:w="80" w:type="dxa"/>
              <w:bottom w:w="40" w:type="dxa"/>
              <w:right w:w="80" w:type="dxa"/>
            </w:tcMar>
            <w:vAlign w:val="center"/>
          </w:tcPr>
          <w:p w14:paraId="711BCE17">
            <w:pPr>
              <w:jc w:val="left"/>
            </w:pPr>
            <w:r>
              <w:rPr>
                <w:rFonts w:ascii="Calibri" w:hAnsi="Calibri" w:eastAsia="Calibri" w:cs="Calibri"/>
                <w:b w:val="0"/>
                <w:bCs w:val="0"/>
                <w:color w:val="333333"/>
                <w:sz w:val="18"/>
                <w:szCs w:val="18"/>
              </w:rPr>
              <w:t>wifi_connectivity</w:t>
            </w:r>
          </w:p>
        </w:tc>
        <w:tc>
          <w:tcPr>
            <w:tcW w:w="1600" w:type="dxa"/>
            <w:tcMar>
              <w:top w:w="40" w:type="dxa"/>
              <w:left w:w="80" w:type="dxa"/>
              <w:bottom w:w="40" w:type="dxa"/>
              <w:right w:w="80" w:type="dxa"/>
            </w:tcMar>
            <w:vAlign w:val="center"/>
          </w:tcPr>
          <w:p w14:paraId="0ED91840">
            <w:pPr>
              <w:jc w:val="left"/>
            </w:pPr>
            <w:r>
              <w:rPr>
                <w:rFonts w:ascii="Calibri" w:hAnsi="Calibri" w:eastAsia="Calibri" w:cs="Calibri"/>
                <w:b w:val="0"/>
                <w:bCs w:val="0"/>
                <w:color w:val="333333"/>
                <w:sz w:val="18"/>
                <w:szCs w:val="18"/>
              </w:rPr>
              <w:t>0.88</w:t>
            </w:r>
          </w:p>
        </w:tc>
        <w:tc>
          <w:tcPr>
            <w:tcW w:w="1400" w:type="dxa"/>
            <w:tcMar>
              <w:top w:w="40" w:type="dxa"/>
              <w:left w:w="80" w:type="dxa"/>
              <w:bottom w:w="40" w:type="dxa"/>
              <w:right w:w="80" w:type="dxa"/>
            </w:tcMar>
            <w:vAlign w:val="center"/>
          </w:tcPr>
          <w:p w14:paraId="1E89EABC">
            <w:pPr>
              <w:jc w:val="left"/>
            </w:pPr>
            <w:r>
              <w:rPr>
                <w:rFonts w:ascii="Calibri" w:hAnsi="Calibri" w:eastAsia="Calibri" w:cs="Calibri"/>
                <w:b w:val="0"/>
                <w:bCs w:val="0"/>
                <w:color w:val="333333"/>
                <w:sz w:val="18"/>
                <w:szCs w:val="18"/>
              </w:rPr>
              <w:t>0.83</w:t>
            </w:r>
          </w:p>
        </w:tc>
        <w:tc>
          <w:tcPr>
            <w:tcW w:w="1200" w:type="dxa"/>
            <w:tcMar>
              <w:top w:w="40" w:type="dxa"/>
              <w:left w:w="80" w:type="dxa"/>
              <w:bottom w:w="40" w:type="dxa"/>
              <w:right w:w="80" w:type="dxa"/>
            </w:tcMar>
            <w:vAlign w:val="center"/>
          </w:tcPr>
          <w:p w14:paraId="39B78E1D">
            <w:pPr>
              <w:jc w:val="left"/>
            </w:pPr>
            <w:r>
              <w:rPr>
                <w:rFonts w:ascii="Calibri" w:hAnsi="Calibri" w:eastAsia="Calibri" w:cs="Calibri"/>
                <w:b w:val="0"/>
                <w:bCs w:val="0"/>
                <w:color w:val="333333"/>
                <w:sz w:val="18"/>
                <w:szCs w:val="18"/>
              </w:rPr>
              <w:t>0.86</w:t>
            </w:r>
          </w:p>
        </w:tc>
        <w:tc>
          <w:tcPr>
            <w:tcW w:w="800" w:type="dxa"/>
            <w:tcMar>
              <w:top w:w="40" w:type="dxa"/>
              <w:left w:w="80" w:type="dxa"/>
              <w:bottom w:w="40" w:type="dxa"/>
              <w:right w:w="80" w:type="dxa"/>
            </w:tcMar>
            <w:vAlign w:val="center"/>
          </w:tcPr>
          <w:p w14:paraId="30516393">
            <w:pPr>
              <w:jc w:val="left"/>
            </w:pPr>
            <w:r>
              <w:rPr>
                <w:rFonts w:ascii="Calibri" w:hAnsi="Calibri" w:eastAsia="Calibri" w:cs="Calibri"/>
                <w:b w:val="0"/>
                <w:bCs w:val="0"/>
                <w:color w:val="333333"/>
                <w:sz w:val="18"/>
                <w:szCs w:val="18"/>
              </w:rPr>
              <w:t>18</w:t>
            </w:r>
          </w:p>
        </w:tc>
      </w:tr>
      <w:tr w14:paraId="381C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EDEDED"/>
            <w:tcMar>
              <w:top w:w="40" w:type="dxa"/>
              <w:left w:w="80" w:type="dxa"/>
              <w:bottom w:w="40" w:type="dxa"/>
              <w:right w:w="80" w:type="dxa"/>
            </w:tcMar>
            <w:vAlign w:val="center"/>
          </w:tcPr>
          <w:p w14:paraId="0A57879F">
            <w:pPr>
              <w:jc w:val="left"/>
            </w:pPr>
            <w:r>
              <w:rPr>
                <w:rFonts w:ascii="Calibri" w:hAnsi="Calibri" w:eastAsia="Calibri" w:cs="Calibri"/>
                <w:b w:val="0"/>
                <w:bCs w:val="0"/>
                <w:color w:val="333333"/>
                <w:sz w:val="18"/>
                <w:szCs w:val="18"/>
              </w:rPr>
              <w:t>refund_compensation</w:t>
            </w:r>
          </w:p>
        </w:tc>
        <w:tc>
          <w:tcPr>
            <w:tcW w:w="1600" w:type="dxa"/>
            <w:shd w:val="clear" w:color="auto" w:fill="EDEDED"/>
            <w:tcMar>
              <w:top w:w="40" w:type="dxa"/>
              <w:left w:w="80" w:type="dxa"/>
              <w:bottom w:w="40" w:type="dxa"/>
              <w:right w:w="80" w:type="dxa"/>
            </w:tcMar>
            <w:vAlign w:val="center"/>
          </w:tcPr>
          <w:p w14:paraId="79E4D940">
            <w:pPr>
              <w:jc w:val="left"/>
            </w:pPr>
            <w:r>
              <w:rPr>
                <w:rFonts w:ascii="Calibri" w:hAnsi="Calibri" w:eastAsia="Calibri" w:cs="Calibri"/>
                <w:b w:val="0"/>
                <w:bCs w:val="0"/>
                <w:color w:val="333333"/>
                <w:sz w:val="18"/>
                <w:szCs w:val="18"/>
              </w:rPr>
              <w:t>0.81</w:t>
            </w:r>
          </w:p>
        </w:tc>
        <w:tc>
          <w:tcPr>
            <w:tcW w:w="1400" w:type="dxa"/>
            <w:shd w:val="clear" w:color="auto" w:fill="EDEDED"/>
            <w:tcMar>
              <w:top w:w="40" w:type="dxa"/>
              <w:left w:w="80" w:type="dxa"/>
              <w:bottom w:w="40" w:type="dxa"/>
              <w:right w:w="80" w:type="dxa"/>
            </w:tcMar>
            <w:vAlign w:val="center"/>
          </w:tcPr>
          <w:p w14:paraId="054A7917">
            <w:pPr>
              <w:jc w:val="left"/>
            </w:pPr>
            <w:r>
              <w:rPr>
                <w:rFonts w:ascii="Calibri" w:hAnsi="Calibri" w:eastAsia="Calibri" w:cs="Calibri"/>
                <w:b w:val="0"/>
                <w:bCs w:val="0"/>
                <w:color w:val="333333"/>
                <w:sz w:val="18"/>
                <w:szCs w:val="18"/>
              </w:rPr>
              <w:t>0.74</w:t>
            </w:r>
          </w:p>
        </w:tc>
        <w:tc>
          <w:tcPr>
            <w:tcW w:w="1200" w:type="dxa"/>
            <w:shd w:val="clear" w:color="auto" w:fill="EDEDED"/>
            <w:tcMar>
              <w:top w:w="40" w:type="dxa"/>
              <w:left w:w="80" w:type="dxa"/>
              <w:bottom w:w="40" w:type="dxa"/>
              <w:right w:w="80" w:type="dxa"/>
            </w:tcMar>
            <w:vAlign w:val="center"/>
          </w:tcPr>
          <w:p w14:paraId="441C588B">
            <w:pPr>
              <w:jc w:val="left"/>
            </w:pPr>
            <w:r>
              <w:rPr>
                <w:rFonts w:ascii="Calibri" w:hAnsi="Calibri" w:eastAsia="Calibri" w:cs="Calibri"/>
                <w:b w:val="0"/>
                <w:bCs w:val="0"/>
                <w:color w:val="333333"/>
                <w:sz w:val="18"/>
                <w:szCs w:val="18"/>
              </w:rPr>
              <w:t>0.77</w:t>
            </w:r>
          </w:p>
        </w:tc>
        <w:tc>
          <w:tcPr>
            <w:tcW w:w="800" w:type="dxa"/>
            <w:shd w:val="clear" w:color="auto" w:fill="EDEDED"/>
            <w:tcMar>
              <w:top w:w="40" w:type="dxa"/>
              <w:left w:w="80" w:type="dxa"/>
              <w:bottom w:w="40" w:type="dxa"/>
              <w:right w:w="80" w:type="dxa"/>
            </w:tcMar>
            <w:vAlign w:val="center"/>
          </w:tcPr>
          <w:p w14:paraId="06652C2E">
            <w:pPr>
              <w:jc w:val="left"/>
            </w:pPr>
            <w:r>
              <w:rPr>
                <w:rFonts w:ascii="Calibri" w:hAnsi="Calibri" w:eastAsia="Calibri" w:cs="Calibri"/>
                <w:b w:val="0"/>
                <w:bCs w:val="0"/>
                <w:color w:val="333333"/>
                <w:sz w:val="18"/>
                <w:szCs w:val="18"/>
              </w:rPr>
              <w:t>23</w:t>
            </w:r>
          </w:p>
        </w:tc>
      </w:tr>
      <w:tr w14:paraId="7EDA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40" w:type="dxa"/>
              <w:left w:w="80" w:type="dxa"/>
              <w:bottom w:w="40" w:type="dxa"/>
              <w:right w:w="80" w:type="dxa"/>
            </w:tcMar>
            <w:vAlign w:val="center"/>
          </w:tcPr>
          <w:p w14:paraId="52F738EC">
            <w:pPr>
              <w:jc w:val="left"/>
            </w:pPr>
            <w:r>
              <w:rPr>
                <w:rFonts w:ascii="Calibri" w:hAnsi="Calibri" w:eastAsia="Calibri" w:cs="Calibri"/>
                <w:b w:val="0"/>
                <w:bCs w:val="0"/>
                <w:color w:val="333333"/>
                <w:sz w:val="18"/>
                <w:szCs w:val="18"/>
              </w:rPr>
              <w:t>seat_reservation</w:t>
            </w:r>
          </w:p>
        </w:tc>
        <w:tc>
          <w:tcPr>
            <w:tcW w:w="1600" w:type="dxa"/>
            <w:tcMar>
              <w:top w:w="40" w:type="dxa"/>
              <w:left w:w="80" w:type="dxa"/>
              <w:bottom w:w="40" w:type="dxa"/>
              <w:right w:w="80" w:type="dxa"/>
            </w:tcMar>
            <w:vAlign w:val="center"/>
          </w:tcPr>
          <w:p w14:paraId="3643CAC9">
            <w:pPr>
              <w:jc w:val="left"/>
            </w:pPr>
            <w:r>
              <w:rPr>
                <w:rFonts w:ascii="Calibri" w:hAnsi="Calibri" w:eastAsia="Calibri" w:cs="Calibri"/>
                <w:b w:val="0"/>
                <w:bCs w:val="0"/>
                <w:color w:val="333333"/>
                <w:sz w:val="18"/>
                <w:szCs w:val="18"/>
              </w:rPr>
              <w:t>0.77</w:t>
            </w:r>
          </w:p>
        </w:tc>
        <w:tc>
          <w:tcPr>
            <w:tcW w:w="1400" w:type="dxa"/>
            <w:tcMar>
              <w:top w:w="40" w:type="dxa"/>
              <w:left w:w="80" w:type="dxa"/>
              <w:bottom w:w="40" w:type="dxa"/>
              <w:right w:w="80" w:type="dxa"/>
            </w:tcMar>
            <w:vAlign w:val="center"/>
          </w:tcPr>
          <w:p w14:paraId="2B8A692D">
            <w:pPr>
              <w:jc w:val="left"/>
            </w:pPr>
            <w:r>
              <w:rPr>
                <w:rFonts w:ascii="Calibri" w:hAnsi="Calibri" w:eastAsia="Calibri" w:cs="Calibri"/>
                <w:b w:val="0"/>
                <w:bCs w:val="0"/>
                <w:color w:val="333333"/>
                <w:sz w:val="18"/>
                <w:szCs w:val="18"/>
              </w:rPr>
              <w:t>0.74</w:t>
            </w:r>
          </w:p>
        </w:tc>
        <w:tc>
          <w:tcPr>
            <w:tcW w:w="1200" w:type="dxa"/>
            <w:tcMar>
              <w:top w:w="40" w:type="dxa"/>
              <w:left w:w="80" w:type="dxa"/>
              <w:bottom w:w="40" w:type="dxa"/>
              <w:right w:w="80" w:type="dxa"/>
            </w:tcMar>
            <w:vAlign w:val="center"/>
          </w:tcPr>
          <w:p w14:paraId="43330D07">
            <w:pPr>
              <w:jc w:val="left"/>
            </w:pPr>
            <w:r>
              <w:rPr>
                <w:rFonts w:ascii="Calibri" w:hAnsi="Calibri" w:eastAsia="Calibri" w:cs="Calibri"/>
                <w:b w:val="0"/>
                <w:bCs w:val="0"/>
                <w:color w:val="333333"/>
                <w:sz w:val="18"/>
                <w:szCs w:val="18"/>
              </w:rPr>
              <w:t>0.76</w:t>
            </w:r>
          </w:p>
        </w:tc>
        <w:tc>
          <w:tcPr>
            <w:tcW w:w="800" w:type="dxa"/>
            <w:tcMar>
              <w:top w:w="40" w:type="dxa"/>
              <w:left w:w="80" w:type="dxa"/>
              <w:bottom w:w="40" w:type="dxa"/>
              <w:right w:w="80" w:type="dxa"/>
            </w:tcMar>
            <w:vAlign w:val="center"/>
          </w:tcPr>
          <w:p w14:paraId="054655F5">
            <w:pPr>
              <w:jc w:val="left"/>
            </w:pPr>
            <w:r>
              <w:rPr>
                <w:rFonts w:ascii="Calibri" w:hAnsi="Calibri" w:eastAsia="Calibri" w:cs="Calibri"/>
                <w:b w:val="0"/>
                <w:bCs w:val="0"/>
                <w:color w:val="333333"/>
                <w:sz w:val="18"/>
                <w:szCs w:val="18"/>
              </w:rPr>
              <w:t>23</w:t>
            </w:r>
          </w:p>
        </w:tc>
      </w:tr>
      <w:tr w14:paraId="2C5B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EDEDED"/>
            <w:tcMar>
              <w:top w:w="40" w:type="dxa"/>
              <w:left w:w="80" w:type="dxa"/>
              <w:bottom w:w="40" w:type="dxa"/>
              <w:right w:w="80" w:type="dxa"/>
            </w:tcMar>
            <w:vAlign w:val="center"/>
          </w:tcPr>
          <w:p w14:paraId="7CB22017">
            <w:pPr>
              <w:jc w:val="left"/>
            </w:pPr>
            <w:r>
              <w:rPr>
                <w:rFonts w:ascii="Calibri" w:hAnsi="Calibri" w:eastAsia="Calibri" w:cs="Calibri"/>
                <w:b w:val="0"/>
                <w:bCs w:val="0"/>
                <w:color w:val="333333"/>
                <w:sz w:val="18"/>
                <w:szCs w:val="18"/>
              </w:rPr>
              <w:t>other</w:t>
            </w:r>
          </w:p>
        </w:tc>
        <w:tc>
          <w:tcPr>
            <w:tcW w:w="1600" w:type="dxa"/>
            <w:shd w:val="clear" w:color="auto" w:fill="EDEDED"/>
            <w:tcMar>
              <w:top w:w="40" w:type="dxa"/>
              <w:left w:w="80" w:type="dxa"/>
              <w:bottom w:w="40" w:type="dxa"/>
              <w:right w:w="80" w:type="dxa"/>
            </w:tcMar>
            <w:vAlign w:val="center"/>
          </w:tcPr>
          <w:p w14:paraId="7333BC44">
            <w:pPr>
              <w:jc w:val="left"/>
            </w:pPr>
            <w:r>
              <w:rPr>
                <w:rFonts w:ascii="Calibri" w:hAnsi="Calibri" w:eastAsia="Calibri" w:cs="Calibri"/>
                <w:b w:val="0"/>
                <w:bCs w:val="0"/>
                <w:color w:val="333333"/>
                <w:sz w:val="18"/>
                <w:szCs w:val="18"/>
              </w:rPr>
              <w:t>0.79</w:t>
            </w:r>
          </w:p>
        </w:tc>
        <w:tc>
          <w:tcPr>
            <w:tcW w:w="1400" w:type="dxa"/>
            <w:shd w:val="clear" w:color="auto" w:fill="EDEDED"/>
            <w:tcMar>
              <w:top w:w="40" w:type="dxa"/>
              <w:left w:w="80" w:type="dxa"/>
              <w:bottom w:w="40" w:type="dxa"/>
              <w:right w:w="80" w:type="dxa"/>
            </w:tcMar>
            <w:vAlign w:val="center"/>
          </w:tcPr>
          <w:p w14:paraId="1879D112">
            <w:pPr>
              <w:jc w:val="left"/>
            </w:pPr>
            <w:r>
              <w:rPr>
                <w:rFonts w:ascii="Calibri" w:hAnsi="Calibri" w:eastAsia="Calibri" w:cs="Calibri"/>
                <w:b w:val="0"/>
                <w:bCs w:val="0"/>
                <w:color w:val="333333"/>
                <w:sz w:val="18"/>
                <w:szCs w:val="18"/>
              </w:rPr>
              <w:t>0.67</w:t>
            </w:r>
          </w:p>
        </w:tc>
        <w:tc>
          <w:tcPr>
            <w:tcW w:w="1200" w:type="dxa"/>
            <w:shd w:val="clear" w:color="auto" w:fill="EDEDED"/>
            <w:tcMar>
              <w:top w:w="40" w:type="dxa"/>
              <w:left w:w="80" w:type="dxa"/>
              <w:bottom w:w="40" w:type="dxa"/>
              <w:right w:w="80" w:type="dxa"/>
            </w:tcMar>
            <w:vAlign w:val="center"/>
          </w:tcPr>
          <w:p w14:paraId="540D77E3">
            <w:pPr>
              <w:jc w:val="left"/>
            </w:pPr>
            <w:r>
              <w:rPr>
                <w:rFonts w:ascii="Calibri" w:hAnsi="Calibri" w:eastAsia="Calibri" w:cs="Calibri"/>
                <w:b w:val="0"/>
                <w:bCs w:val="0"/>
                <w:color w:val="333333"/>
                <w:sz w:val="18"/>
                <w:szCs w:val="18"/>
              </w:rPr>
              <w:t>0.73</w:t>
            </w:r>
          </w:p>
        </w:tc>
        <w:tc>
          <w:tcPr>
            <w:tcW w:w="800" w:type="dxa"/>
            <w:shd w:val="clear" w:color="auto" w:fill="EDEDED"/>
            <w:tcMar>
              <w:top w:w="40" w:type="dxa"/>
              <w:left w:w="80" w:type="dxa"/>
              <w:bottom w:w="40" w:type="dxa"/>
              <w:right w:w="80" w:type="dxa"/>
            </w:tcMar>
            <w:vAlign w:val="center"/>
          </w:tcPr>
          <w:p w14:paraId="005FA8C1">
            <w:pPr>
              <w:jc w:val="left"/>
            </w:pPr>
            <w:r>
              <w:rPr>
                <w:rFonts w:ascii="Calibri" w:hAnsi="Calibri" w:eastAsia="Calibri" w:cs="Calibri"/>
                <w:b w:val="0"/>
                <w:bCs w:val="0"/>
                <w:color w:val="333333"/>
                <w:sz w:val="18"/>
                <w:szCs w:val="18"/>
              </w:rPr>
              <w:t>46</w:t>
            </w:r>
          </w:p>
        </w:tc>
      </w:tr>
      <w:tr w14:paraId="628D9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40" w:type="dxa"/>
              <w:left w:w="80" w:type="dxa"/>
              <w:bottom w:w="40" w:type="dxa"/>
              <w:right w:w="80" w:type="dxa"/>
            </w:tcMar>
            <w:vAlign w:val="center"/>
          </w:tcPr>
          <w:p w14:paraId="105D626C">
            <w:pPr>
              <w:jc w:val="left"/>
            </w:pPr>
            <w:r>
              <w:rPr>
                <w:rFonts w:ascii="Calibri" w:hAnsi="Calibri" w:eastAsia="Calibri" w:cs="Calibri"/>
                <w:b w:val="0"/>
                <w:bCs w:val="0"/>
                <w:color w:val="333333"/>
                <w:sz w:val="18"/>
                <w:szCs w:val="18"/>
              </w:rPr>
              <w:t>ticket_change</w:t>
            </w:r>
          </w:p>
        </w:tc>
        <w:tc>
          <w:tcPr>
            <w:tcW w:w="1600" w:type="dxa"/>
            <w:tcMar>
              <w:top w:w="40" w:type="dxa"/>
              <w:left w:w="80" w:type="dxa"/>
              <w:bottom w:w="40" w:type="dxa"/>
              <w:right w:w="80" w:type="dxa"/>
            </w:tcMar>
            <w:vAlign w:val="center"/>
          </w:tcPr>
          <w:p w14:paraId="390259BF">
            <w:pPr>
              <w:jc w:val="left"/>
            </w:pPr>
            <w:r>
              <w:rPr>
                <w:rFonts w:ascii="Calibri" w:hAnsi="Calibri" w:eastAsia="Calibri" w:cs="Calibri"/>
                <w:b w:val="0"/>
                <w:bCs w:val="0"/>
                <w:color w:val="333333"/>
                <w:sz w:val="18"/>
                <w:szCs w:val="18"/>
              </w:rPr>
              <w:t>0.65</w:t>
            </w:r>
          </w:p>
        </w:tc>
        <w:tc>
          <w:tcPr>
            <w:tcW w:w="1400" w:type="dxa"/>
            <w:tcMar>
              <w:top w:w="40" w:type="dxa"/>
              <w:left w:w="80" w:type="dxa"/>
              <w:bottom w:w="40" w:type="dxa"/>
              <w:right w:w="80" w:type="dxa"/>
            </w:tcMar>
            <w:vAlign w:val="center"/>
          </w:tcPr>
          <w:p w14:paraId="3A4B3B2F">
            <w:pPr>
              <w:jc w:val="left"/>
            </w:pPr>
            <w:r>
              <w:rPr>
                <w:rFonts w:ascii="Calibri" w:hAnsi="Calibri" w:eastAsia="Calibri" w:cs="Calibri"/>
                <w:b w:val="0"/>
                <w:bCs w:val="0"/>
                <w:color w:val="333333"/>
                <w:sz w:val="18"/>
                <w:szCs w:val="18"/>
              </w:rPr>
              <w:t>0.52</w:t>
            </w:r>
          </w:p>
        </w:tc>
        <w:tc>
          <w:tcPr>
            <w:tcW w:w="1200" w:type="dxa"/>
            <w:tcMar>
              <w:top w:w="40" w:type="dxa"/>
              <w:left w:w="80" w:type="dxa"/>
              <w:bottom w:w="40" w:type="dxa"/>
              <w:right w:w="80" w:type="dxa"/>
            </w:tcMar>
            <w:vAlign w:val="center"/>
          </w:tcPr>
          <w:p w14:paraId="4CFF4F36">
            <w:pPr>
              <w:jc w:val="left"/>
            </w:pPr>
            <w:r>
              <w:rPr>
                <w:rFonts w:ascii="Calibri" w:hAnsi="Calibri" w:eastAsia="Calibri" w:cs="Calibri"/>
                <w:b w:val="0"/>
                <w:bCs w:val="0"/>
                <w:color w:val="333333"/>
                <w:sz w:val="18"/>
                <w:szCs w:val="18"/>
              </w:rPr>
              <w:t>0.58</w:t>
            </w:r>
          </w:p>
        </w:tc>
        <w:tc>
          <w:tcPr>
            <w:tcW w:w="800" w:type="dxa"/>
            <w:tcMar>
              <w:top w:w="40" w:type="dxa"/>
              <w:left w:w="80" w:type="dxa"/>
              <w:bottom w:w="40" w:type="dxa"/>
              <w:right w:w="80" w:type="dxa"/>
            </w:tcMar>
            <w:vAlign w:val="center"/>
          </w:tcPr>
          <w:p w14:paraId="5CB10B4B">
            <w:pPr>
              <w:jc w:val="left"/>
            </w:pPr>
            <w:r>
              <w:rPr>
                <w:rFonts w:ascii="Calibri" w:hAnsi="Calibri" w:eastAsia="Calibri" w:cs="Calibri"/>
                <w:b w:val="0"/>
                <w:bCs w:val="0"/>
                <w:color w:val="333333"/>
                <w:sz w:val="18"/>
                <w:szCs w:val="18"/>
              </w:rPr>
              <w:t>25</w:t>
            </w:r>
          </w:p>
        </w:tc>
      </w:tr>
      <w:tr w14:paraId="2FE5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EDEDED"/>
            <w:tcMar>
              <w:top w:w="40" w:type="dxa"/>
              <w:left w:w="80" w:type="dxa"/>
              <w:bottom w:w="40" w:type="dxa"/>
              <w:right w:w="80" w:type="dxa"/>
            </w:tcMar>
            <w:vAlign w:val="center"/>
          </w:tcPr>
          <w:p w14:paraId="1EF67301">
            <w:pPr>
              <w:jc w:val="left"/>
            </w:pPr>
            <w:r>
              <w:rPr>
                <w:rFonts w:ascii="Calibri" w:hAnsi="Calibri" w:eastAsia="Calibri" w:cs="Calibri"/>
                <w:b w:val="0"/>
                <w:bCs w:val="0"/>
                <w:color w:val="333333"/>
                <w:sz w:val="18"/>
                <w:szCs w:val="18"/>
              </w:rPr>
              <w:t>booking_ticket</w:t>
            </w:r>
          </w:p>
        </w:tc>
        <w:tc>
          <w:tcPr>
            <w:tcW w:w="1600" w:type="dxa"/>
            <w:shd w:val="clear" w:color="auto" w:fill="EDEDED"/>
            <w:tcMar>
              <w:top w:w="40" w:type="dxa"/>
              <w:left w:w="80" w:type="dxa"/>
              <w:bottom w:w="40" w:type="dxa"/>
              <w:right w:w="80" w:type="dxa"/>
            </w:tcMar>
            <w:vAlign w:val="center"/>
          </w:tcPr>
          <w:p w14:paraId="0B8C0B1F">
            <w:pPr>
              <w:jc w:val="left"/>
            </w:pPr>
            <w:r>
              <w:rPr>
                <w:rFonts w:ascii="Calibri" w:hAnsi="Calibri" w:eastAsia="Calibri" w:cs="Calibri"/>
                <w:b w:val="0"/>
                <w:bCs w:val="0"/>
                <w:color w:val="333333"/>
                <w:sz w:val="18"/>
                <w:szCs w:val="18"/>
              </w:rPr>
              <w:t>0.64</w:t>
            </w:r>
          </w:p>
        </w:tc>
        <w:tc>
          <w:tcPr>
            <w:tcW w:w="1400" w:type="dxa"/>
            <w:shd w:val="clear" w:color="auto" w:fill="EDEDED"/>
            <w:tcMar>
              <w:top w:w="40" w:type="dxa"/>
              <w:left w:w="80" w:type="dxa"/>
              <w:bottom w:w="40" w:type="dxa"/>
              <w:right w:w="80" w:type="dxa"/>
            </w:tcMar>
            <w:vAlign w:val="center"/>
          </w:tcPr>
          <w:p w14:paraId="1EDF3549">
            <w:pPr>
              <w:jc w:val="left"/>
            </w:pPr>
            <w:r>
              <w:rPr>
                <w:rFonts w:ascii="Calibri" w:hAnsi="Calibri" w:eastAsia="Calibri" w:cs="Calibri"/>
                <w:b w:val="0"/>
                <w:bCs w:val="0"/>
                <w:color w:val="333333"/>
                <w:sz w:val="18"/>
                <w:szCs w:val="18"/>
              </w:rPr>
              <w:t>0.58</w:t>
            </w:r>
          </w:p>
        </w:tc>
        <w:tc>
          <w:tcPr>
            <w:tcW w:w="1200" w:type="dxa"/>
            <w:shd w:val="clear" w:color="auto" w:fill="EDEDED"/>
            <w:tcMar>
              <w:top w:w="40" w:type="dxa"/>
              <w:left w:w="80" w:type="dxa"/>
              <w:bottom w:w="40" w:type="dxa"/>
              <w:right w:w="80" w:type="dxa"/>
            </w:tcMar>
            <w:vAlign w:val="center"/>
          </w:tcPr>
          <w:p w14:paraId="66EED64D">
            <w:pPr>
              <w:jc w:val="left"/>
            </w:pPr>
            <w:r>
              <w:rPr>
                <w:rFonts w:ascii="Calibri" w:hAnsi="Calibri" w:eastAsia="Calibri" w:cs="Calibri"/>
                <w:b w:val="0"/>
                <w:bCs w:val="0"/>
                <w:color w:val="333333"/>
                <w:sz w:val="18"/>
                <w:szCs w:val="18"/>
              </w:rPr>
              <w:t>0.61</w:t>
            </w:r>
          </w:p>
        </w:tc>
        <w:tc>
          <w:tcPr>
            <w:tcW w:w="800" w:type="dxa"/>
            <w:shd w:val="clear" w:color="auto" w:fill="EDEDED"/>
            <w:tcMar>
              <w:top w:w="40" w:type="dxa"/>
              <w:left w:w="80" w:type="dxa"/>
              <w:bottom w:w="40" w:type="dxa"/>
              <w:right w:w="80" w:type="dxa"/>
            </w:tcMar>
            <w:vAlign w:val="center"/>
          </w:tcPr>
          <w:p w14:paraId="074D5C72">
            <w:pPr>
              <w:jc w:val="left"/>
            </w:pPr>
            <w:r>
              <w:rPr>
                <w:rFonts w:ascii="Calibri" w:hAnsi="Calibri" w:eastAsia="Calibri" w:cs="Calibri"/>
                <w:b w:val="0"/>
                <w:bCs w:val="0"/>
                <w:color w:val="333333"/>
                <w:sz w:val="18"/>
                <w:szCs w:val="18"/>
              </w:rPr>
              <w:t>12</w:t>
            </w:r>
          </w:p>
        </w:tc>
      </w:tr>
      <w:tr w14:paraId="086B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40" w:type="dxa"/>
              <w:left w:w="80" w:type="dxa"/>
              <w:bottom w:w="40" w:type="dxa"/>
              <w:right w:w="80" w:type="dxa"/>
            </w:tcMar>
            <w:vAlign w:val="center"/>
          </w:tcPr>
          <w:p w14:paraId="579C7E54">
            <w:pPr>
              <w:jc w:val="left"/>
            </w:pPr>
            <w:r>
              <w:rPr>
                <w:rFonts w:ascii="Calibri" w:hAnsi="Calibri" w:eastAsia="Calibri" w:cs="Calibri"/>
                <w:b w:val="0"/>
                <w:bCs w:val="0"/>
                <w:color w:val="333333"/>
                <w:sz w:val="18"/>
                <w:szCs w:val="18"/>
              </w:rPr>
              <w:t>fare_price</w:t>
            </w:r>
          </w:p>
        </w:tc>
        <w:tc>
          <w:tcPr>
            <w:tcW w:w="1600" w:type="dxa"/>
            <w:tcMar>
              <w:top w:w="40" w:type="dxa"/>
              <w:left w:w="80" w:type="dxa"/>
              <w:bottom w:w="40" w:type="dxa"/>
              <w:right w:w="80" w:type="dxa"/>
            </w:tcMar>
            <w:vAlign w:val="center"/>
          </w:tcPr>
          <w:p w14:paraId="19703127">
            <w:pPr>
              <w:jc w:val="left"/>
            </w:pPr>
            <w:r>
              <w:rPr>
                <w:rFonts w:ascii="Calibri" w:hAnsi="Calibri" w:eastAsia="Calibri" w:cs="Calibri"/>
                <w:b w:val="0"/>
                <w:bCs w:val="0"/>
                <w:color w:val="333333"/>
                <w:sz w:val="18"/>
                <w:szCs w:val="18"/>
              </w:rPr>
              <w:t>0.62</w:t>
            </w:r>
          </w:p>
        </w:tc>
        <w:tc>
          <w:tcPr>
            <w:tcW w:w="1400" w:type="dxa"/>
            <w:tcMar>
              <w:top w:w="40" w:type="dxa"/>
              <w:left w:w="80" w:type="dxa"/>
              <w:bottom w:w="40" w:type="dxa"/>
              <w:right w:w="80" w:type="dxa"/>
            </w:tcMar>
            <w:vAlign w:val="center"/>
          </w:tcPr>
          <w:p w14:paraId="700AC81C">
            <w:pPr>
              <w:jc w:val="left"/>
            </w:pPr>
            <w:r>
              <w:rPr>
                <w:rFonts w:ascii="Calibri" w:hAnsi="Calibri" w:eastAsia="Calibri" w:cs="Calibri"/>
                <w:b w:val="0"/>
                <w:bCs w:val="0"/>
                <w:color w:val="333333"/>
                <w:sz w:val="18"/>
                <w:szCs w:val="18"/>
              </w:rPr>
              <w:t>0.62</w:t>
            </w:r>
          </w:p>
        </w:tc>
        <w:tc>
          <w:tcPr>
            <w:tcW w:w="1200" w:type="dxa"/>
            <w:tcMar>
              <w:top w:w="40" w:type="dxa"/>
              <w:left w:w="80" w:type="dxa"/>
              <w:bottom w:w="40" w:type="dxa"/>
              <w:right w:w="80" w:type="dxa"/>
            </w:tcMar>
            <w:vAlign w:val="center"/>
          </w:tcPr>
          <w:p w14:paraId="7CD4D669">
            <w:pPr>
              <w:jc w:val="left"/>
            </w:pPr>
            <w:r>
              <w:rPr>
                <w:rFonts w:ascii="Calibri" w:hAnsi="Calibri" w:eastAsia="Calibri" w:cs="Calibri"/>
                <w:b w:val="0"/>
                <w:bCs w:val="0"/>
                <w:color w:val="333333"/>
                <w:sz w:val="18"/>
                <w:szCs w:val="18"/>
              </w:rPr>
              <w:t>0.62</w:t>
            </w:r>
          </w:p>
        </w:tc>
        <w:tc>
          <w:tcPr>
            <w:tcW w:w="800" w:type="dxa"/>
            <w:tcMar>
              <w:top w:w="40" w:type="dxa"/>
              <w:left w:w="80" w:type="dxa"/>
              <w:bottom w:w="40" w:type="dxa"/>
              <w:right w:w="80" w:type="dxa"/>
            </w:tcMar>
            <w:vAlign w:val="center"/>
          </w:tcPr>
          <w:p w14:paraId="326F68A7">
            <w:pPr>
              <w:jc w:val="left"/>
            </w:pPr>
            <w:r>
              <w:rPr>
                <w:rFonts w:ascii="Calibri" w:hAnsi="Calibri" w:eastAsia="Calibri" w:cs="Calibri"/>
                <w:b w:val="0"/>
                <w:bCs w:val="0"/>
                <w:color w:val="333333"/>
                <w:sz w:val="18"/>
                <w:szCs w:val="18"/>
              </w:rPr>
              <w:t>8</w:t>
            </w:r>
          </w:p>
        </w:tc>
      </w:tr>
      <w:tr w14:paraId="51E29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EDEDED"/>
            <w:tcMar>
              <w:top w:w="40" w:type="dxa"/>
              <w:left w:w="80" w:type="dxa"/>
              <w:bottom w:w="40" w:type="dxa"/>
              <w:right w:w="80" w:type="dxa"/>
            </w:tcMar>
            <w:vAlign w:val="center"/>
          </w:tcPr>
          <w:p w14:paraId="17592246">
            <w:pPr>
              <w:jc w:val="left"/>
            </w:pPr>
            <w:r>
              <w:rPr>
                <w:rFonts w:ascii="Calibri" w:hAnsi="Calibri" w:eastAsia="Calibri" w:cs="Calibri"/>
                <w:b w:val="0"/>
                <w:bCs w:val="0"/>
                <w:color w:val="333333"/>
                <w:sz w:val="18"/>
                <w:szCs w:val="18"/>
              </w:rPr>
              <w:t>train_status</w:t>
            </w:r>
          </w:p>
        </w:tc>
        <w:tc>
          <w:tcPr>
            <w:tcW w:w="1600" w:type="dxa"/>
            <w:shd w:val="clear" w:color="auto" w:fill="EDEDED"/>
            <w:tcMar>
              <w:top w:w="40" w:type="dxa"/>
              <w:left w:w="80" w:type="dxa"/>
              <w:bottom w:w="40" w:type="dxa"/>
              <w:right w:w="80" w:type="dxa"/>
            </w:tcMar>
            <w:vAlign w:val="center"/>
          </w:tcPr>
          <w:p w14:paraId="3DE944EA">
            <w:pPr>
              <w:jc w:val="left"/>
            </w:pPr>
            <w:r>
              <w:rPr>
                <w:rFonts w:ascii="Calibri" w:hAnsi="Calibri" w:eastAsia="Calibri" w:cs="Calibri"/>
                <w:b w:val="0"/>
                <w:bCs w:val="0"/>
                <w:color w:val="333333"/>
                <w:sz w:val="18"/>
                <w:szCs w:val="18"/>
              </w:rPr>
              <w:t>0.48</w:t>
            </w:r>
          </w:p>
        </w:tc>
        <w:tc>
          <w:tcPr>
            <w:tcW w:w="1400" w:type="dxa"/>
            <w:shd w:val="clear" w:color="auto" w:fill="EDEDED"/>
            <w:tcMar>
              <w:top w:w="40" w:type="dxa"/>
              <w:left w:w="80" w:type="dxa"/>
              <w:bottom w:w="40" w:type="dxa"/>
              <w:right w:w="80" w:type="dxa"/>
            </w:tcMar>
            <w:vAlign w:val="center"/>
          </w:tcPr>
          <w:p w14:paraId="30B08961">
            <w:pPr>
              <w:jc w:val="left"/>
            </w:pPr>
            <w:r>
              <w:rPr>
                <w:rFonts w:ascii="Calibri" w:hAnsi="Calibri" w:eastAsia="Calibri" w:cs="Calibri"/>
                <w:b w:val="0"/>
                <w:bCs w:val="0"/>
                <w:color w:val="333333"/>
                <w:sz w:val="18"/>
                <w:szCs w:val="18"/>
              </w:rPr>
              <w:t>0.57</w:t>
            </w:r>
          </w:p>
        </w:tc>
        <w:tc>
          <w:tcPr>
            <w:tcW w:w="1200" w:type="dxa"/>
            <w:shd w:val="clear" w:color="auto" w:fill="EDEDED"/>
            <w:tcMar>
              <w:top w:w="40" w:type="dxa"/>
              <w:left w:w="80" w:type="dxa"/>
              <w:bottom w:w="40" w:type="dxa"/>
              <w:right w:w="80" w:type="dxa"/>
            </w:tcMar>
            <w:vAlign w:val="center"/>
          </w:tcPr>
          <w:p w14:paraId="767E26BD">
            <w:pPr>
              <w:jc w:val="left"/>
            </w:pPr>
            <w:r>
              <w:rPr>
                <w:rFonts w:ascii="Calibri" w:hAnsi="Calibri" w:eastAsia="Calibri" w:cs="Calibri"/>
                <w:b w:val="0"/>
                <w:bCs w:val="0"/>
                <w:color w:val="333333"/>
                <w:sz w:val="18"/>
                <w:szCs w:val="18"/>
              </w:rPr>
              <w:t>0.52</w:t>
            </w:r>
          </w:p>
        </w:tc>
        <w:tc>
          <w:tcPr>
            <w:tcW w:w="800" w:type="dxa"/>
            <w:shd w:val="clear" w:color="auto" w:fill="EDEDED"/>
            <w:tcMar>
              <w:top w:w="40" w:type="dxa"/>
              <w:left w:w="80" w:type="dxa"/>
              <w:bottom w:w="40" w:type="dxa"/>
              <w:right w:w="80" w:type="dxa"/>
            </w:tcMar>
            <w:vAlign w:val="center"/>
          </w:tcPr>
          <w:p w14:paraId="7810D404">
            <w:pPr>
              <w:jc w:val="left"/>
            </w:pPr>
            <w:r>
              <w:rPr>
                <w:rFonts w:ascii="Calibri" w:hAnsi="Calibri" w:eastAsia="Calibri" w:cs="Calibri"/>
                <w:b w:val="0"/>
                <w:bCs w:val="0"/>
                <w:color w:val="333333"/>
                <w:sz w:val="18"/>
                <w:szCs w:val="18"/>
              </w:rPr>
              <w:t>21</w:t>
            </w:r>
          </w:p>
        </w:tc>
      </w:tr>
      <w:tr w14:paraId="0C4FF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40" w:type="dxa"/>
              <w:left w:w="80" w:type="dxa"/>
              <w:bottom w:w="40" w:type="dxa"/>
              <w:right w:w="80" w:type="dxa"/>
            </w:tcMar>
            <w:vAlign w:val="center"/>
          </w:tcPr>
          <w:p w14:paraId="64EF7412">
            <w:pPr>
              <w:jc w:val="left"/>
            </w:pPr>
            <w:r>
              <w:rPr>
                <w:rFonts w:ascii="Calibri" w:hAnsi="Calibri" w:eastAsia="Calibri" w:cs="Calibri"/>
                <w:b w:val="0"/>
                <w:bCs w:val="0"/>
                <w:color w:val="333333"/>
                <w:sz w:val="18"/>
                <w:szCs w:val="18"/>
              </w:rPr>
              <w:t>complaint_feedback</w:t>
            </w:r>
          </w:p>
        </w:tc>
        <w:tc>
          <w:tcPr>
            <w:tcW w:w="1600" w:type="dxa"/>
            <w:tcMar>
              <w:top w:w="40" w:type="dxa"/>
              <w:left w:w="80" w:type="dxa"/>
              <w:bottom w:w="40" w:type="dxa"/>
              <w:right w:w="80" w:type="dxa"/>
            </w:tcMar>
            <w:vAlign w:val="center"/>
          </w:tcPr>
          <w:p w14:paraId="25A767D5">
            <w:pPr>
              <w:jc w:val="left"/>
            </w:pPr>
            <w:r>
              <w:rPr>
                <w:rFonts w:ascii="Calibri" w:hAnsi="Calibri" w:eastAsia="Calibri" w:cs="Calibri"/>
                <w:b w:val="0"/>
                <w:bCs w:val="0"/>
                <w:color w:val="333333"/>
                <w:sz w:val="18"/>
                <w:szCs w:val="18"/>
              </w:rPr>
              <w:t>0.55</w:t>
            </w:r>
          </w:p>
        </w:tc>
        <w:tc>
          <w:tcPr>
            <w:tcW w:w="1400" w:type="dxa"/>
            <w:tcMar>
              <w:top w:w="40" w:type="dxa"/>
              <w:left w:w="80" w:type="dxa"/>
              <w:bottom w:w="40" w:type="dxa"/>
              <w:right w:w="80" w:type="dxa"/>
            </w:tcMar>
            <w:vAlign w:val="center"/>
          </w:tcPr>
          <w:p w14:paraId="77A16198">
            <w:pPr>
              <w:jc w:val="left"/>
            </w:pPr>
            <w:r>
              <w:rPr>
                <w:rFonts w:ascii="Calibri" w:hAnsi="Calibri" w:eastAsia="Calibri" w:cs="Calibri"/>
                <w:b w:val="0"/>
                <w:bCs w:val="0"/>
                <w:color w:val="333333"/>
                <w:sz w:val="18"/>
                <w:szCs w:val="18"/>
              </w:rPr>
              <w:t>0.52</w:t>
            </w:r>
          </w:p>
        </w:tc>
        <w:tc>
          <w:tcPr>
            <w:tcW w:w="1200" w:type="dxa"/>
            <w:tcMar>
              <w:top w:w="40" w:type="dxa"/>
              <w:left w:w="80" w:type="dxa"/>
              <w:bottom w:w="40" w:type="dxa"/>
              <w:right w:w="80" w:type="dxa"/>
            </w:tcMar>
            <w:vAlign w:val="center"/>
          </w:tcPr>
          <w:p w14:paraId="0911A067">
            <w:pPr>
              <w:jc w:val="left"/>
            </w:pPr>
            <w:r>
              <w:rPr>
                <w:rFonts w:ascii="Calibri" w:hAnsi="Calibri" w:eastAsia="Calibri" w:cs="Calibri"/>
                <w:b w:val="0"/>
                <w:bCs w:val="0"/>
                <w:color w:val="333333"/>
                <w:sz w:val="18"/>
                <w:szCs w:val="18"/>
              </w:rPr>
              <w:t>0.54</w:t>
            </w:r>
          </w:p>
        </w:tc>
        <w:tc>
          <w:tcPr>
            <w:tcW w:w="800" w:type="dxa"/>
            <w:tcMar>
              <w:top w:w="40" w:type="dxa"/>
              <w:left w:w="80" w:type="dxa"/>
              <w:bottom w:w="40" w:type="dxa"/>
              <w:right w:w="80" w:type="dxa"/>
            </w:tcMar>
            <w:vAlign w:val="center"/>
          </w:tcPr>
          <w:p w14:paraId="23000B55">
            <w:pPr>
              <w:jc w:val="left"/>
            </w:pPr>
            <w:r>
              <w:rPr>
                <w:rFonts w:ascii="Calibri" w:hAnsi="Calibri" w:eastAsia="Calibri" w:cs="Calibri"/>
                <w:b w:val="0"/>
                <w:bCs w:val="0"/>
                <w:color w:val="333333"/>
                <w:sz w:val="18"/>
                <w:szCs w:val="18"/>
              </w:rPr>
              <w:t>21</w:t>
            </w:r>
          </w:p>
        </w:tc>
      </w:tr>
      <w:tr w14:paraId="0CEF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EDEDED"/>
            <w:tcMar>
              <w:top w:w="40" w:type="dxa"/>
              <w:left w:w="80" w:type="dxa"/>
              <w:bottom w:w="40" w:type="dxa"/>
              <w:right w:w="80" w:type="dxa"/>
            </w:tcMar>
            <w:vAlign w:val="center"/>
          </w:tcPr>
          <w:p w14:paraId="310A5EE4">
            <w:pPr>
              <w:jc w:val="left"/>
            </w:pPr>
            <w:r>
              <w:rPr>
                <w:rFonts w:ascii="Calibri" w:hAnsi="Calibri" w:eastAsia="Calibri" w:cs="Calibri"/>
                <w:b w:val="0"/>
                <w:bCs w:val="0"/>
                <w:color w:val="333333"/>
                <w:sz w:val="18"/>
                <w:szCs w:val="18"/>
              </w:rPr>
              <w:t>station_facilities</w:t>
            </w:r>
          </w:p>
        </w:tc>
        <w:tc>
          <w:tcPr>
            <w:tcW w:w="1600" w:type="dxa"/>
            <w:shd w:val="clear" w:color="auto" w:fill="EDEDED"/>
            <w:tcMar>
              <w:top w:w="40" w:type="dxa"/>
              <w:left w:w="80" w:type="dxa"/>
              <w:bottom w:w="40" w:type="dxa"/>
              <w:right w:w="80" w:type="dxa"/>
            </w:tcMar>
            <w:vAlign w:val="center"/>
          </w:tcPr>
          <w:p w14:paraId="42C78B98">
            <w:pPr>
              <w:jc w:val="left"/>
            </w:pPr>
            <w:r>
              <w:rPr>
                <w:rFonts w:ascii="Calibri" w:hAnsi="Calibri" w:eastAsia="Calibri" w:cs="Calibri"/>
                <w:b w:val="0"/>
                <w:bCs w:val="0"/>
                <w:color w:val="333333"/>
                <w:sz w:val="18"/>
                <w:szCs w:val="18"/>
              </w:rPr>
              <w:t>0.23</w:t>
            </w:r>
          </w:p>
        </w:tc>
        <w:tc>
          <w:tcPr>
            <w:tcW w:w="1400" w:type="dxa"/>
            <w:shd w:val="clear" w:color="auto" w:fill="EDEDED"/>
            <w:tcMar>
              <w:top w:w="40" w:type="dxa"/>
              <w:left w:w="80" w:type="dxa"/>
              <w:bottom w:w="40" w:type="dxa"/>
              <w:right w:w="80" w:type="dxa"/>
            </w:tcMar>
            <w:vAlign w:val="center"/>
          </w:tcPr>
          <w:p w14:paraId="65713B4C">
            <w:pPr>
              <w:jc w:val="left"/>
            </w:pPr>
            <w:r>
              <w:rPr>
                <w:rFonts w:ascii="Calibri" w:hAnsi="Calibri" w:eastAsia="Calibri" w:cs="Calibri"/>
                <w:b w:val="0"/>
                <w:bCs w:val="0"/>
                <w:color w:val="333333"/>
                <w:sz w:val="18"/>
                <w:szCs w:val="18"/>
              </w:rPr>
              <w:t>1.00</w:t>
            </w:r>
          </w:p>
        </w:tc>
        <w:tc>
          <w:tcPr>
            <w:tcW w:w="1200" w:type="dxa"/>
            <w:shd w:val="clear" w:color="auto" w:fill="EDEDED"/>
            <w:tcMar>
              <w:top w:w="40" w:type="dxa"/>
              <w:left w:w="80" w:type="dxa"/>
              <w:bottom w:w="40" w:type="dxa"/>
              <w:right w:w="80" w:type="dxa"/>
            </w:tcMar>
            <w:vAlign w:val="center"/>
          </w:tcPr>
          <w:p w14:paraId="70A924AA">
            <w:pPr>
              <w:jc w:val="left"/>
            </w:pPr>
            <w:r>
              <w:rPr>
                <w:rFonts w:ascii="Calibri" w:hAnsi="Calibri" w:eastAsia="Calibri" w:cs="Calibri"/>
                <w:b w:val="0"/>
                <w:bCs w:val="0"/>
                <w:color w:val="333333"/>
                <w:sz w:val="18"/>
                <w:szCs w:val="18"/>
              </w:rPr>
              <w:t>0.38</w:t>
            </w:r>
          </w:p>
        </w:tc>
        <w:tc>
          <w:tcPr>
            <w:tcW w:w="800" w:type="dxa"/>
            <w:shd w:val="clear" w:color="auto" w:fill="EDEDED"/>
            <w:tcMar>
              <w:top w:w="40" w:type="dxa"/>
              <w:left w:w="80" w:type="dxa"/>
              <w:bottom w:w="40" w:type="dxa"/>
              <w:right w:w="80" w:type="dxa"/>
            </w:tcMar>
            <w:vAlign w:val="center"/>
          </w:tcPr>
          <w:p w14:paraId="30A8345B">
            <w:pPr>
              <w:jc w:val="left"/>
            </w:pPr>
            <w:r>
              <w:rPr>
                <w:rFonts w:ascii="Calibri" w:hAnsi="Calibri" w:eastAsia="Calibri" w:cs="Calibri"/>
                <w:b w:val="0"/>
                <w:bCs w:val="0"/>
                <w:color w:val="333333"/>
                <w:sz w:val="18"/>
                <w:szCs w:val="18"/>
              </w:rPr>
              <w:t>3</w:t>
            </w:r>
          </w:p>
        </w:tc>
      </w:tr>
      <w:tr w14:paraId="66C1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40" w:type="dxa"/>
              <w:left w:w="80" w:type="dxa"/>
              <w:bottom w:w="40" w:type="dxa"/>
              <w:right w:w="80" w:type="dxa"/>
            </w:tcMar>
            <w:vAlign w:val="center"/>
          </w:tcPr>
          <w:p w14:paraId="2A1AE9CF">
            <w:pPr>
              <w:jc w:val="left"/>
            </w:pPr>
            <w:r>
              <w:rPr>
                <w:rFonts w:ascii="Calibri" w:hAnsi="Calibri" w:eastAsia="Calibri" w:cs="Calibri"/>
                <w:b w:val="0"/>
                <w:bCs w:val="0"/>
                <w:color w:val="333333"/>
                <w:sz w:val="18"/>
                <w:szCs w:val="18"/>
              </w:rPr>
              <w:t>lost_property</w:t>
            </w:r>
          </w:p>
        </w:tc>
        <w:tc>
          <w:tcPr>
            <w:tcW w:w="1600" w:type="dxa"/>
            <w:tcMar>
              <w:top w:w="40" w:type="dxa"/>
              <w:left w:w="80" w:type="dxa"/>
              <w:bottom w:w="40" w:type="dxa"/>
              <w:right w:w="80" w:type="dxa"/>
            </w:tcMar>
            <w:vAlign w:val="center"/>
          </w:tcPr>
          <w:p w14:paraId="1B38FA45">
            <w:pPr>
              <w:jc w:val="left"/>
            </w:pPr>
            <w:r>
              <w:rPr>
                <w:rFonts w:ascii="Calibri" w:hAnsi="Calibri" w:eastAsia="Calibri" w:cs="Calibri"/>
                <w:b w:val="0"/>
                <w:bCs w:val="0"/>
                <w:color w:val="333333"/>
                <w:sz w:val="18"/>
                <w:szCs w:val="18"/>
              </w:rPr>
              <w:t>unmeasured*</w:t>
            </w:r>
          </w:p>
        </w:tc>
        <w:tc>
          <w:tcPr>
            <w:tcW w:w="1400" w:type="dxa"/>
            <w:tcMar>
              <w:top w:w="40" w:type="dxa"/>
              <w:left w:w="80" w:type="dxa"/>
              <w:bottom w:w="40" w:type="dxa"/>
              <w:right w:w="80" w:type="dxa"/>
            </w:tcMar>
            <w:vAlign w:val="center"/>
          </w:tcPr>
          <w:p w14:paraId="413A6825">
            <w:pPr>
              <w:jc w:val="left"/>
            </w:pPr>
            <w:r>
              <w:rPr>
                <w:rFonts w:ascii="Calibri" w:hAnsi="Calibri" w:eastAsia="Calibri" w:cs="Calibri"/>
                <w:b w:val="0"/>
                <w:bCs w:val="0"/>
                <w:color w:val="333333"/>
                <w:sz w:val="18"/>
                <w:szCs w:val="18"/>
              </w:rPr>
              <w:t>unmeasured*</w:t>
            </w:r>
          </w:p>
        </w:tc>
        <w:tc>
          <w:tcPr>
            <w:tcW w:w="1200" w:type="dxa"/>
            <w:tcMar>
              <w:top w:w="40" w:type="dxa"/>
              <w:left w:w="80" w:type="dxa"/>
              <w:bottom w:w="40" w:type="dxa"/>
              <w:right w:w="80" w:type="dxa"/>
            </w:tcMar>
            <w:vAlign w:val="center"/>
          </w:tcPr>
          <w:p w14:paraId="6E2937CB">
            <w:pPr>
              <w:jc w:val="left"/>
            </w:pPr>
            <w:r>
              <w:rPr>
                <w:rFonts w:ascii="Calibri" w:hAnsi="Calibri" w:eastAsia="Calibri" w:cs="Calibri"/>
                <w:b w:val="0"/>
                <w:bCs w:val="0"/>
                <w:color w:val="333333"/>
                <w:sz w:val="18"/>
                <w:szCs w:val="18"/>
              </w:rPr>
              <w:t>unmeasured*</w:t>
            </w:r>
          </w:p>
        </w:tc>
        <w:tc>
          <w:tcPr>
            <w:tcW w:w="800" w:type="dxa"/>
            <w:tcMar>
              <w:top w:w="40" w:type="dxa"/>
              <w:left w:w="80" w:type="dxa"/>
              <w:bottom w:w="40" w:type="dxa"/>
              <w:right w:w="80" w:type="dxa"/>
            </w:tcMar>
            <w:vAlign w:val="center"/>
          </w:tcPr>
          <w:p w14:paraId="3C2B1F4E">
            <w:pPr>
              <w:jc w:val="left"/>
            </w:pPr>
            <w:r>
              <w:rPr>
                <w:rFonts w:ascii="Calibri" w:hAnsi="Calibri" w:eastAsia="Calibri" w:cs="Calibri"/>
                <w:b w:val="0"/>
                <w:bCs w:val="0"/>
                <w:color w:val="333333"/>
                <w:sz w:val="18"/>
                <w:szCs w:val="18"/>
              </w:rPr>
              <w:t>0</w:t>
            </w:r>
          </w:p>
        </w:tc>
      </w:tr>
    </w:tbl>
    <w:p w14:paraId="07CA9029">
      <w:pPr>
        <w:spacing w:after="100" w:line="264" w:lineRule="auto"/>
      </w:pPr>
      <w:r>
        <w:rPr>
          <w:rFonts w:ascii="Calibri" w:hAnsi="Calibri" w:eastAsia="Calibri" w:cs="Calibri"/>
          <w:b w:val="0"/>
          <w:bCs w:val="0"/>
          <w:i/>
          <w:iCs/>
          <w:color w:val="333333"/>
          <w:sz w:val="18"/>
          <w:szCs w:val="18"/>
        </w:rPr>
        <w:t>lost_property has zero golden-set examples; its 0.00 score must be read as unmeasured, not as evidence of model failure.</w:t>
      </w:r>
    </w:p>
    <w:p w14:paraId="1467D383">
      <w:pPr>
        <w:spacing w:before="100" w:after="50"/>
      </w:pPr>
      <w:r>
        <w:rPr>
          <w:rFonts w:ascii="Calibri" w:hAnsi="Calibri" w:eastAsia="Calibri" w:cs="Calibri"/>
          <w:b/>
          <w:bCs/>
          <w:color w:val="1F3864"/>
          <w:sz w:val="23"/>
          <w:szCs w:val="23"/>
        </w:rPr>
        <w:t>Escalation Results</w:t>
      </w:r>
    </w:p>
    <w:tbl>
      <w:tblPr>
        <w:tblStyle w:val="9"/>
        <w:tblW w:w="7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2400"/>
      </w:tblGrid>
      <w:tr w14:paraId="6D81B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40" w:type="dxa"/>
              <w:left w:w="80" w:type="dxa"/>
              <w:bottom w:w="40" w:type="dxa"/>
              <w:right w:w="80" w:type="dxa"/>
            </w:tcMar>
            <w:vAlign w:val="center"/>
          </w:tcPr>
          <w:p w14:paraId="43947503">
            <w:pPr>
              <w:jc w:val="left"/>
            </w:pPr>
            <w:r>
              <w:rPr>
                <w:rFonts w:ascii="Calibri" w:hAnsi="Calibri" w:eastAsia="Calibri" w:cs="Calibri"/>
                <w:b/>
                <w:bCs/>
                <w:color w:val="FFFFFF"/>
                <w:sz w:val="18"/>
                <w:szCs w:val="18"/>
              </w:rPr>
              <w:t>Metric</w:t>
            </w:r>
          </w:p>
        </w:tc>
        <w:tc>
          <w:tcPr>
            <w:tcW w:w="2400" w:type="dxa"/>
            <w:shd w:val="clear" w:color="auto" w:fill="1F3864"/>
            <w:tcMar>
              <w:top w:w="40" w:type="dxa"/>
              <w:left w:w="80" w:type="dxa"/>
              <w:bottom w:w="40" w:type="dxa"/>
              <w:right w:w="80" w:type="dxa"/>
            </w:tcMar>
            <w:vAlign w:val="center"/>
          </w:tcPr>
          <w:p w14:paraId="32143513">
            <w:pPr>
              <w:jc w:val="left"/>
            </w:pPr>
            <w:r>
              <w:rPr>
                <w:rFonts w:ascii="Calibri" w:hAnsi="Calibri" w:eastAsia="Calibri" w:cs="Calibri"/>
                <w:b/>
                <w:bCs/>
                <w:color w:val="FFFFFF"/>
                <w:sz w:val="18"/>
                <w:szCs w:val="18"/>
              </w:rPr>
              <w:t>Standalone Gate</w:t>
            </w:r>
          </w:p>
        </w:tc>
        <w:tc>
          <w:tcPr>
            <w:tcW w:w="2400" w:type="dxa"/>
            <w:shd w:val="clear" w:color="auto" w:fill="1F3864"/>
            <w:tcMar>
              <w:top w:w="40" w:type="dxa"/>
              <w:left w:w="80" w:type="dxa"/>
              <w:bottom w:w="40" w:type="dxa"/>
              <w:right w:w="80" w:type="dxa"/>
            </w:tcMar>
            <w:vAlign w:val="center"/>
          </w:tcPr>
          <w:p w14:paraId="0802CA7E">
            <w:pPr>
              <w:jc w:val="left"/>
            </w:pPr>
            <w:r>
              <w:rPr>
                <w:rFonts w:ascii="Calibri" w:hAnsi="Calibri" w:eastAsia="Calibri" w:cs="Calibri"/>
                <w:b/>
                <w:bCs/>
                <w:color w:val="FFFFFF"/>
                <w:sz w:val="18"/>
                <w:szCs w:val="18"/>
              </w:rPr>
              <w:t>Leakage-Safe Reply Eval</w:t>
            </w:r>
          </w:p>
        </w:tc>
      </w:tr>
      <w:tr w14:paraId="17829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40" w:type="dxa"/>
              <w:left w:w="80" w:type="dxa"/>
              <w:bottom w:w="40" w:type="dxa"/>
              <w:right w:w="80" w:type="dxa"/>
            </w:tcMar>
            <w:vAlign w:val="center"/>
          </w:tcPr>
          <w:p w14:paraId="70153A07">
            <w:pPr>
              <w:jc w:val="left"/>
            </w:pPr>
            <w:r>
              <w:rPr>
                <w:rFonts w:ascii="Calibri" w:hAnsi="Calibri" w:eastAsia="Calibri" w:cs="Calibri"/>
                <w:b w:val="0"/>
                <w:bCs w:val="0"/>
                <w:color w:val="333333"/>
                <w:sz w:val="18"/>
                <w:szCs w:val="18"/>
              </w:rPr>
              <w:t>Escalation accuracy</w:t>
            </w:r>
          </w:p>
        </w:tc>
        <w:tc>
          <w:tcPr>
            <w:tcW w:w="2400" w:type="dxa"/>
            <w:tcMar>
              <w:top w:w="40" w:type="dxa"/>
              <w:left w:w="80" w:type="dxa"/>
              <w:bottom w:w="40" w:type="dxa"/>
              <w:right w:w="80" w:type="dxa"/>
            </w:tcMar>
            <w:vAlign w:val="center"/>
          </w:tcPr>
          <w:p w14:paraId="6F81E95A">
            <w:pPr>
              <w:jc w:val="left"/>
            </w:pPr>
            <w:r>
              <w:rPr>
                <w:rFonts w:ascii="Calibri" w:hAnsi="Calibri" w:eastAsia="Calibri" w:cs="Calibri"/>
                <w:b w:val="0"/>
                <w:bCs w:val="0"/>
                <w:color w:val="333333"/>
                <w:sz w:val="18"/>
                <w:szCs w:val="18"/>
              </w:rPr>
              <w:t>52.50%</w:t>
            </w:r>
          </w:p>
        </w:tc>
        <w:tc>
          <w:tcPr>
            <w:tcW w:w="2400" w:type="dxa"/>
            <w:tcMar>
              <w:top w:w="40" w:type="dxa"/>
              <w:left w:w="80" w:type="dxa"/>
              <w:bottom w:w="40" w:type="dxa"/>
              <w:right w:w="80" w:type="dxa"/>
            </w:tcMar>
            <w:vAlign w:val="center"/>
          </w:tcPr>
          <w:p w14:paraId="3CDA0EC8">
            <w:pPr>
              <w:jc w:val="left"/>
            </w:pPr>
            <w:r>
              <w:rPr>
                <w:rFonts w:ascii="Calibri" w:hAnsi="Calibri" w:eastAsia="Calibri" w:cs="Calibri"/>
                <w:b w:val="0"/>
                <w:bCs w:val="0"/>
                <w:color w:val="333333"/>
                <w:sz w:val="18"/>
                <w:szCs w:val="18"/>
              </w:rPr>
              <w:t>53.00%</w:t>
            </w:r>
          </w:p>
        </w:tc>
      </w:tr>
      <w:tr w14:paraId="39E79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DEDED"/>
            <w:tcMar>
              <w:top w:w="40" w:type="dxa"/>
              <w:left w:w="80" w:type="dxa"/>
              <w:bottom w:w="40" w:type="dxa"/>
              <w:right w:w="80" w:type="dxa"/>
            </w:tcMar>
            <w:vAlign w:val="center"/>
          </w:tcPr>
          <w:p w14:paraId="1F6EE4C7">
            <w:pPr>
              <w:jc w:val="left"/>
            </w:pPr>
            <w:r>
              <w:rPr>
                <w:rFonts w:ascii="Calibri" w:hAnsi="Calibri" w:eastAsia="Calibri" w:cs="Calibri"/>
                <w:b w:val="0"/>
                <w:bCs w:val="0"/>
                <w:color w:val="333333"/>
                <w:sz w:val="18"/>
                <w:szCs w:val="18"/>
              </w:rPr>
              <w:t>Escalation precision</w:t>
            </w:r>
          </w:p>
        </w:tc>
        <w:tc>
          <w:tcPr>
            <w:tcW w:w="2400" w:type="dxa"/>
            <w:shd w:val="clear" w:color="auto" w:fill="EDEDED"/>
            <w:tcMar>
              <w:top w:w="40" w:type="dxa"/>
              <w:left w:w="80" w:type="dxa"/>
              <w:bottom w:w="40" w:type="dxa"/>
              <w:right w:w="80" w:type="dxa"/>
            </w:tcMar>
            <w:vAlign w:val="center"/>
          </w:tcPr>
          <w:p w14:paraId="3243F9C8">
            <w:pPr>
              <w:jc w:val="left"/>
            </w:pPr>
            <w:r>
              <w:rPr>
                <w:rFonts w:ascii="Calibri" w:hAnsi="Calibri" w:eastAsia="Calibri" w:cs="Calibri"/>
                <w:b w:val="0"/>
                <w:bCs w:val="0"/>
                <w:color w:val="333333"/>
                <w:sz w:val="18"/>
                <w:szCs w:val="18"/>
              </w:rPr>
              <w:t>48.99%</w:t>
            </w:r>
          </w:p>
        </w:tc>
        <w:tc>
          <w:tcPr>
            <w:tcW w:w="2400" w:type="dxa"/>
            <w:shd w:val="clear" w:color="auto" w:fill="EDEDED"/>
            <w:tcMar>
              <w:top w:w="40" w:type="dxa"/>
              <w:left w:w="80" w:type="dxa"/>
              <w:bottom w:w="40" w:type="dxa"/>
              <w:right w:w="80" w:type="dxa"/>
            </w:tcMar>
            <w:vAlign w:val="center"/>
          </w:tcPr>
          <w:p w14:paraId="3BC5503E">
            <w:pPr>
              <w:jc w:val="left"/>
            </w:pPr>
            <w:r>
              <w:rPr>
                <w:rFonts w:ascii="Calibri" w:hAnsi="Calibri" w:eastAsia="Calibri" w:cs="Calibri"/>
                <w:b w:val="0"/>
                <w:bCs w:val="0"/>
                <w:color w:val="333333"/>
                <w:sz w:val="18"/>
                <w:szCs w:val="18"/>
              </w:rPr>
              <w:t>—</w:t>
            </w:r>
          </w:p>
        </w:tc>
      </w:tr>
      <w:tr w14:paraId="275C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40" w:type="dxa"/>
              <w:left w:w="80" w:type="dxa"/>
              <w:bottom w:w="40" w:type="dxa"/>
              <w:right w:w="80" w:type="dxa"/>
            </w:tcMar>
            <w:vAlign w:val="center"/>
          </w:tcPr>
          <w:p w14:paraId="0F02AD26">
            <w:pPr>
              <w:jc w:val="left"/>
            </w:pPr>
            <w:r>
              <w:rPr>
                <w:rFonts w:ascii="Calibri" w:hAnsi="Calibri" w:eastAsia="Calibri" w:cs="Calibri"/>
                <w:b w:val="0"/>
                <w:bCs w:val="0"/>
                <w:color w:val="333333"/>
                <w:sz w:val="18"/>
                <w:szCs w:val="18"/>
              </w:rPr>
              <w:t>Escalation recall</w:t>
            </w:r>
          </w:p>
        </w:tc>
        <w:tc>
          <w:tcPr>
            <w:tcW w:w="2400" w:type="dxa"/>
            <w:tcMar>
              <w:top w:w="40" w:type="dxa"/>
              <w:left w:w="80" w:type="dxa"/>
              <w:bottom w:w="40" w:type="dxa"/>
              <w:right w:w="80" w:type="dxa"/>
            </w:tcMar>
            <w:vAlign w:val="center"/>
          </w:tcPr>
          <w:p w14:paraId="59E8F56A">
            <w:pPr>
              <w:jc w:val="left"/>
            </w:pPr>
            <w:r>
              <w:rPr>
                <w:rFonts w:ascii="Calibri" w:hAnsi="Calibri" w:eastAsia="Calibri" w:cs="Calibri"/>
                <w:b w:val="0"/>
                <w:bCs w:val="0"/>
                <w:color w:val="333333"/>
                <w:sz w:val="18"/>
                <w:szCs w:val="18"/>
              </w:rPr>
              <w:t>79.35%</w:t>
            </w:r>
          </w:p>
        </w:tc>
        <w:tc>
          <w:tcPr>
            <w:tcW w:w="2400" w:type="dxa"/>
            <w:tcMar>
              <w:top w:w="40" w:type="dxa"/>
              <w:left w:w="80" w:type="dxa"/>
              <w:bottom w:w="40" w:type="dxa"/>
              <w:right w:w="80" w:type="dxa"/>
            </w:tcMar>
            <w:vAlign w:val="center"/>
          </w:tcPr>
          <w:p w14:paraId="18E6EAB0">
            <w:pPr>
              <w:jc w:val="left"/>
            </w:pPr>
            <w:r>
              <w:rPr>
                <w:rFonts w:ascii="Calibri" w:hAnsi="Calibri" w:eastAsia="Calibri" w:cs="Calibri"/>
                <w:b w:val="0"/>
                <w:bCs w:val="0"/>
                <w:color w:val="333333"/>
                <w:sz w:val="18"/>
                <w:szCs w:val="18"/>
              </w:rPr>
              <w:t>—</w:t>
            </w:r>
          </w:p>
        </w:tc>
      </w:tr>
      <w:tr w14:paraId="4143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DEDED"/>
            <w:tcMar>
              <w:top w:w="40" w:type="dxa"/>
              <w:left w:w="80" w:type="dxa"/>
              <w:bottom w:w="40" w:type="dxa"/>
              <w:right w:w="80" w:type="dxa"/>
            </w:tcMar>
            <w:vAlign w:val="center"/>
          </w:tcPr>
          <w:p w14:paraId="6454FE5F">
            <w:pPr>
              <w:jc w:val="left"/>
            </w:pPr>
            <w:r>
              <w:rPr>
                <w:rFonts w:ascii="Calibri" w:hAnsi="Calibri" w:eastAsia="Calibri" w:cs="Calibri"/>
                <w:b w:val="0"/>
                <w:bCs w:val="0"/>
                <w:color w:val="333333"/>
                <w:sz w:val="18"/>
                <w:szCs w:val="18"/>
              </w:rPr>
              <w:t>Escalation F1</w:t>
            </w:r>
          </w:p>
        </w:tc>
        <w:tc>
          <w:tcPr>
            <w:tcW w:w="2400" w:type="dxa"/>
            <w:shd w:val="clear" w:color="auto" w:fill="EDEDED"/>
            <w:tcMar>
              <w:top w:w="40" w:type="dxa"/>
              <w:left w:w="80" w:type="dxa"/>
              <w:bottom w:w="40" w:type="dxa"/>
              <w:right w:w="80" w:type="dxa"/>
            </w:tcMar>
            <w:vAlign w:val="center"/>
          </w:tcPr>
          <w:p w14:paraId="3256912E">
            <w:pPr>
              <w:jc w:val="left"/>
            </w:pPr>
            <w:r>
              <w:rPr>
                <w:rFonts w:ascii="Calibri" w:hAnsi="Calibri" w:eastAsia="Calibri" w:cs="Calibri"/>
                <w:b w:val="0"/>
                <w:bCs w:val="0"/>
                <w:color w:val="333333"/>
                <w:sz w:val="18"/>
                <w:szCs w:val="18"/>
              </w:rPr>
              <w:t>60.58%</w:t>
            </w:r>
          </w:p>
        </w:tc>
        <w:tc>
          <w:tcPr>
            <w:tcW w:w="2400" w:type="dxa"/>
            <w:shd w:val="clear" w:color="auto" w:fill="EDEDED"/>
            <w:tcMar>
              <w:top w:w="40" w:type="dxa"/>
              <w:left w:w="80" w:type="dxa"/>
              <w:bottom w:w="40" w:type="dxa"/>
              <w:right w:w="80" w:type="dxa"/>
            </w:tcMar>
            <w:vAlign w:val="center"/>
          </w:tcPr>
          <w:p w14:paraId="31989EDD">
            <w:pPr>
              <w:jc w:val="left"/>
            </w:pPr>
            <w:r>
              <w:rPr>
                <w:rFonts w:ascii="Calibri" w:hAnsi="Calibri" w:eastAsia="Calibri" w:cs="Calibri"/>
                <w:b w:val="0"/>
                <w:bCs w:val="0"/>
                <w:color w:val="333333"/>
                <w:sz w:val="18"/>
                <w:szCs w:val="18"/>
              </w:rPr>
              <w:t>—</w:t>
            </w:r>
          </w:p>
        </w:tc>
      </w:tr>
      <w:tr w14:paraId="590C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40" w:type="dxa"/>
              <w:left w:w="80" w:type="dxa"/>
              <w:bottom w:w="40" w:type="dxa"/>
              <w:right w:w="80" w:type="dxa"/>
            </w:tcMar>
            <w:vAlign w:val="center"/>
          </w:tcPr>
          <w:p w14:paraId="56EEF719">
            <w:pPr>
              <w:jc w:val="left"/>
            </w:pPr>
            <w:r>
              <w:rPr>
                <w:rFonts w:ascii="Calibri" w:hAnsi="Calibri" w:eastAsia="Calibri" w:cs="Calibri"/>
                <w:b w:val="0"/>
                <w:bCs w:val="0"/>
                <w:color w:val="333333"/>
                <w:sz w:val="18"/>
                <w:szCs w:val="18"/>
              </w:rPr>
              <w:t>Auto-handle precision</w:t>
            </w:r>
          </w:p>
        </w:tc>
        <w:tc>
          <w:tcPr>
            <w:tcW w:w="2400" w:type="dxa"/>
            <w:tcMar>
              <w:top w:w="40" w:type="dxa"/>
              <w:left w:w="80" w:type="dxa"/>
              <w:bottom w:w="40" w:type="dxa"/>
              <w:right w:w="80" w:type="dxa"/>
            </w:tcMar>
            <w:vAlign w:val="center"/>
          </w:tcPr>
          <w:p w14:paraId="16F689C4">
            <w:pPr>
              <w:jc w:val="left"/>
            </w:pPr>
            <w:r>
              <w:rPr>
                <w:rFonts w:ascii="Calibri" w:hAnsi="Calibri" w:eastAsia="Calibri" w:cs="Calibri"/>
                <w:b w:val="0"/>
                <w:bCs w:val="0"/>
                <w:color w:val="333333"/>
                <w:sz w:val="18"/>
                <w:szCs w:val="18"/>
              </w:rPr>
              <w:t>62.75%</w:t>
            </w:r>
          </w:p>
        </w:tc>
        <w:tc>
          <w:tcPr>
            <w:tcW w:w="2400" w:type="dxa"/>
            <w:tcMar>
              <w:top w:w="40" w:type="dxa"/>
              <w:left w:w="80" w:type="dxa"/>
              <w:bottom w:w="40" w:type="dxa"/>
              <w:right w:w="80" w:type="dxa"/>
            </w:tcMar>
            <w:vAlign w:val="center"/>
          </w:tcPr>
          <w:p w14:paraId="49C6114D">
            <w:pPr>
              <w:jc w:val="left"/>
            </w:pPr>
            <w:r>
              <w:rPr>
                <w:rFonts w:ascii="Calibri" w:hAnsi="Calibri" w:eastAsia="Calibri" w:cs="Calibri"/>
                <w:b w:val="0"/>
                <w:bCs w:val="0"/>
                <w:color w:val="333333"/>
                <w:sz w:val="18"/>
                <w:szCs w:val="18"/>
              </w:rPr>
              <w:t>—</w:t>
            </w:r>
          </w:p>
        </w:tc>
      </w:tr>
      <w:tr w14:paraId="3E5B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EDEDED"/>
            <w:tcMar>
              <w:top w:w="40" w:type="dxa"/>
              <w:left w:w="80" w:type="dxa"/>
              <w:bottom w:w="40" w:type="dxa"/>
              <w:right w:w="80" w:type="dxa"/>
            </w:tcMar>
            <w:vAlign w:val="center"/>
          </w:tcPr>
          <w:p w14:paraId="5A4EE6CA">
            <w:pPr>
              <w:jc w:val="left"/>
            </w:pPr>
            <w:r>
              <w:rPr>
                <w:rFonts w:ascii="Calibri" w:hAnsi="Calibri" w:eastAsia="Calibri" w:cs="Calibri"/>
                <w:b w:val="0"/>
                <w:bCs w:val="0"/>
                <w:color w:val="333333"/>
                <w:sz w:val="18"/>
                <w:szCs w:val="18"/>
              </w:rPr>
              <w:t>Decisions (AUTO / ESCALATE)</w:t>
            </w:r>
          </w:p>
        </w:tc>
        <w:tc>
          <w:tcPr>
            <w:tcW w:w="2400" w:type="dxa"/>
            <w:shd w:val="clear" w:color="auto" w:fill="EDEDED"/>
            <w:tcMar>
              <w:top w:w="40" w:type="dxa"/>
              <w:left w:w="80" w:type="dxa"/>
              <w:bottom w:w="40" w:type="dxa"/>
              <w:right w:w="80" w:type="dxa"/>
            </w:tcMar>
            <w:vAlign w:val="center"/>
          </w:tcPr>
          <w:p w14:paraId="6D7C37FD">
            <w:pPr>
              <w:jc w:val="left"/>
            </w:pPr>
            <w:r>
              <w:rPr>
                <w:rFonts w:ascii="Calibri" w:hAnsi="Calibri" w:eastAsia="Calibri" w:cs="Calibri"/>
                <w:b w:val="0"/>
                <w:bCs w:val="0"/>
                <w:color w:val="333333"/>
                <w:sz w:val="18"/>
                <w:szCs w:val="18"/>
              </w:rPr>
              <w:t>51 / 149</w:t>
            </w:r>
          </w:p>
        </w:tc>
        <w:tc>
          <w:tcPr>
            <w:tcW w:w="2400" w:type="dxa"/>
            <w:shd w:val="clear" w:color="auto" w:fill="EDEDED"/>
            <w:tcMar>
              <w:top w:w="40" w:type="dxa"/>
              <w:left w:w="80" w:type="dxa"/>
              <w:bottom w:w="40" w:type="dxa"/>
              <w:right w:w="80" w:type="dxa"/>
            </w:tcMar>
            <w:vAlign w:val="center"/>
          </w:tcPr>
          <w:p w14:paraId="4DB85B33">
            <w:pPr>
              <w:jc w:val="left"/>
            </w:pPr>
            <w:r>
              <w:rPr>
                <w:rFonts w:ascii="Calibri" w:hAnsi="Calibri" w:eastAsia="Calibri" w:cs="Calibri"/>
                <w:b w:val="0"/>
                <w:bCs w:val="0"/>
                <w:color w:val="333333"/>
                <w:sz w:val="18"/>
                <w:szCs w:val="18"/>
              </w:rPr>
              <w:t>28 / 172</w:t>
            </w:r>
          </w:p>
        </w:tc>
      </w:tr>
    </w:tbl>
    <w:p w14:paraId="4DD16CD6">
      <w:pPr>
        <w:spacing w:after="80" w:line="264" w:lineRule="auto"/>
      </w:pPr>
      <w:r>
        <w:rPr>
          <w:rFonts w:ascii="Calibri" w:hAnsi="Calibri" w:eastAsia="Calibri" w:cs="Calibri"/>
          <w:b w:val="0"/>
          <w:bCs w:val="0"/>
          <w:i w:val="0"/>
          <w:iCs w:val="0"/>
          <w:color w:val="333333"/>
          <w:sz w:val="19"/>
          <w:szCs w:val="19"/>
        </w:rPr>
        <w:t>The gate catches most cases genuinely requiring escalation (79.35% recall) but over-escalates: precision is only 48.99%, so a meaningful share of escalated cases could potentially have been auto-handled. This is not perfect safety.</w:t>
      </w:r>
    </w:p>
    <w:p w14:paraId="48A83AAF">
      <w:pPr>
        <w:spacing w:before="100" w:after="50"/>
      </w:pPr>
      <w:r>
        <w:rPr>
          <w:rFonts w:ascii="Calibri" w:hAnsi="Calibri" w:eastAsia="Calibri" w:cs="Calibri"/>
          <w:b/>
          <w:bCs/>
          <w:color w:val="1F3864"/>
          <w:sz w:val="23"/>
          <w:szCs w:val="23"/>
        </w:rPr>
        <w:t>Leakage-Safe Reply Evaluation (n=200, 390 golden IDs excluded, 0 leakage)</w:t>
      </w:r>
    </w:p>
    <w:tbl>
      <w:tblPr>
        <w:tblStyle w:val="9"/>
        <w:tblW w:w="5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1600"/>
      </w:tblGrid>
      <w:tr w14:paraId="2026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3864"/>
            <w:tcMar>
              <w:top w:w="40" w:type="dxa"/>
              <w:left w:w="80" w:type="dxa"/>
              <w:bottom w:w="40" w:type="dxa"/>
              <w:right w:w="80" w:type="dxa"/>
            </w:tcMar>
            <w:vAlign w:val="center"/>
          </w:tcPr>
          <w:p w14:paraId="146A3F4B">
            <w:pPr>
              <w:jc w:val="left"/>
            </w:pPr>
            <w:r>
              <w:rPr>
                <w:rFonts w:ascii="Calibri" w:hAnsi="Calibri" w:eastAsia="Calibri" w:cs="Calibri"/>
                <w:b/>
                <w:bCs/>
                <w:color w:val="FFFFFF"/>
                <w:sz w:val="18"/>
                <w:szCs w:val="18"/>
              </w:rPr>
              <w:t>Metric</w:t>
            </w:r>
          </w:p>
        </w:tc>
        <w:tc>
          <w:tcPr>
            <w:tcW w:w="1600" w:type="dxa"/>
            <w:shd w:val="clear" w:color="auto" w:fill="1F3864"/>
            <w:tcMar>
              <w:top w:w="40" w:type="dxa"/>
              <w:left w:w="80" w:type="dxa"/>
              <w:bottom w:w="40" w:type="dxa"/>
              <w:right w:w="80" w:type="dxa"/>
            </w:tcMar>
            <w:vAlign w:val="center"/>
          </w:tcPr>
          <w:p w14:paraId="66F635F2">
            <w:pPr>
              <w:jc w:val="left"/>
            </w:pPr>
            <w:r>
              <w:rPr>
                <w:rFonts w:ascii="Calibri" w:hAnsi="Calibri" w:eastAsia="Calibri" w:cs="Calibri"/>
                <w:b/>
                <w:bCs/>
                <w:color w:val="FFFFFF"/>
                <w:sz w:val="18"/>
                <w:szCs w:val="18"/>
              </w:rPr>
              <w:t>Value</w:t>
            </w:r>
          </w:p>
        </w:tc>
      </w:tr>
      <w:tr w14:paraId="2DF3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40" w:type="dxa"/>
              <w:left w:w="80" w:type="dxa"/>
              <w:bottom w:w="40" w:type="dxa"/>
              <w:right w:w="80" w:type="dxa"/>
            </w:tcMar>
            <w:vAlign w:val="center"/>
          </w:tcPr>
          <w:p w14:paraId="5E43D016">
            <w:pPr>
              <w:jc w:val="left"/>
            </w:pPr>
            <w:r>
              <w:rPr>
                <w:rFonts w:ascii="Calibri" w:hAnsi="Calibri" w:eastAsia="Calibri" w:cs="Calibri"/>
                <w:b w:val="0"/>
                <w:bCs w:val="0"/>
                <w:color w:val="333333"/>
                <w:sz w:val="18"/>
                <w:szCs w:val="18"/>
              </w:rPr>
              <w:t>Intent accuracy</w:t>
            </w:r>
          </w:p>
        </w:tc>
        <w:tc>
          <w:tcPr>
            <w:tcW w:w="1600" w:type="dxa"/>
            <w:tcMar>
              <w:top w:w="40" w:type="dxa"/>
              <w:left w:w="80" w:type="dxa"/>
              <w:bottom w:w="40" w:type="dxa"/>
              <w:right w:w="80" w:type="dxa"/>
            </w:tcMar>
            <w:vAlign w:val="center"/>
          </w:tcPr>
          <w:p w14:paraId="467FC5E9">
            <w:pPr>
              <w:jc w:val="left"/>
            </w:pPr>
            <w:r>
              <w:rPr>
                <w:rFonts w:ascii="Calibri" w:hAnsi="Calibri" w:eastAsia="Calibri" w:cs="Calibri"/>
                <w:b w:val="0"/>
                <w:bCs w:val="0"/>
                <w:color w:val="333333"/>
                <w:sz w:val="18"/>
                <w:szCs w:val="18"/>
              </w:rPr>
              <w:t>65.50%</w:t>
            </w:r>
          </w:p>
        </w:tc>
      </w:tr>
      <w:tr w14:paraId="4428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DEDED"/>
            <w:tcMar>
              <w:top w:w="40" w:type="dxa"/>
              <w:left w:w="80" w:type="dxa"/>
              <w:bottom w:w="40" w:type="dxa"/>
              <w:right w:w="80" w:type="dxa"/>
            </w:tcMar>
            <w:vAlign w:val="center"/>
          </w:tcPr>
          <w:p w14:paraId="4EED376B">
            <w:pPr>
              <w:jc w:val="left"/>
            </w:pPr>
            <w:r>
              <w:rPr>
                <w:rFonts w:ascii="Calibri" w:hAnsi="Calibri" w:eastAsia="Calibri" w:cs="Calibri"/>
                <w:b w:val="0"/>
                <w:bCs w:val="0"/>
                <w:color w:val="333333"/>
                <w:sz w:val="18"/>
                <w:szCs w:val="18"/>
              </w:rPr>
              <w:t>Escalation accuracy</w:t>
            </w:r>
          </w:p>
        </w:tc>
        <w:tc>
          <w:tcPr>
            <w:tcW w:w="1600" w:type="dxa"/>
            <w:shd w:val="clear" w:color="auto" w:fill="EDEDED"/>
            <w:tcMar>
              <w:top w:w="40" w:type="dxa"/>
              <w:left w:w="80" w:type="dxa"/>
              <w:bottom w:w="40" w:type="dxa"/>
              <w:right w:w="80" w:type="dxa"/>
            </w:tcMar>
            <w:vAlign w:val="center"/>
          </w:tcPr>
          <w:p w14:paraId="327055FD">
            <w:pPr>
              <w:jc w:val="left"/>
            </w:pPr>
            <w:r>
              <w:rPr>
                <w:rFonts w:ascii="Calibri" w:hAnsi="Calibri" w:eastAsia="Calibri" w:cs="Calibri"/>
                <w:b w:val="0"/>
                <w:bCs w:val="0"/>
                <w:color w:val="333333"/>
                <w:sz w:val="18"/>
                <w:szCs w:val="18"/>
              </w:rPr>
              <w:t>53.00%</w:t>
            </w:r>
          </w:p>
        </w:tc>
      </w:tr>
      <w:tr w14:paraId="0D5A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40" w:type="dxa"/>
              <w:left w:w="80" w:type="dxa"/>
              <w:bottom w:w="40" w:type="dxa"/>
              <w:right w:w="80" w:type="dxa"/>
            </w:tcMar>
            <w:vAlign w:val="center"/>
          </w:tcPr>
          <w:p w14:paraId="5299F0E4">
            <w:pPr>
              <w:jc w:val="left"/>
            </w:pPr>
            <w:r>
              <w:rPr>
                <w:rFonts w:ascii="Calibri" w:hAnsi="Calibri" w:eastAsia="Calibri" w:cs="Calibri"/>
                <w:b w:val="0"/>
                <w:bCs w:val="0"/>
                <w:color w:val="333333"/>
                <w:sz w:val="18"/>
                <w:szCs w:val="18"/>
              </w:rPr>
              <w:t>Avg. lexical grounding</w:t>
            </w:r>
          </w:p>
        </w:tc>
        <w:tc>
          <w:tcPr>
            <w:tcW w:w="1600" w:type="dxa"/>
            <w:tcMar>
              <w:top w:w="40" w:type="dxa"/>
              <w:left w:w="80" w:type="dxa"/>
              <w:bottom w:w="40" w:type="dxa"/>
              <w:right w:w="80" w:type="dxa"/>
            </w:tcMar>
            <w:vAlign w:val="center"/>
          </w:tcPr>
          <w:p w14:paraId="6F42EEFF">
            <w:pPr>
              <w:jc w:val="left"/>
            </w:pPr>
            <w:r>
              <w:rPr>
                <w:rFonts w:ascii="Calibri" w:hAnsi="Calibri" w:eastAsia="Calibri" w:cs="Calibri"/>
                <w:b w:val="0"/>
                <w:bCs w:val="0"/>
                <w:color w:val="333333"/>
                <w:sz w:val="18"/>
                <w:szCs w:val="18"/>
              </w:rPr>
              <w:t>0.190</w:t>
            </w:r>
          </w:p>
        </w:tc>
      </w:tr>
      <w:tr w14:paraId="3D67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DEDED"/>
            <w:tcMar>
              <w:top w:w="40" w:type="dxa"/>
              <w:left w:w="80" w:type="dxa"/>
              <w:bottom w:w="40" w:type="dxa"/>
              <w:right w:w="80" w:type="dxa"/>
            </w:tcMar>
            <w:vAlign w:val="center"/>
          </w:tcPr>
          <w:p w14:paraId="3AD3E65A">
            <w:pPr>
              <w:jc w:val="left"/>
            </w:pPr>
            <w:r>
              <w:rPr>
                <w:rFonts w:ascii="Calibri" w:hAnsi="Calibri" w:eastAsia="Calibri" w:cs="Calibri"/>
                <w:b w:val="0"/>
                <w:bCs w:val="0"/>
                <w:color w:val="333333"/>
                <w:sz w:val="18"/>
                <w:szCs w:val="18"/>
              </w:rPr>
              <w:t>Avg. retrieval similarity</w:t>
            </w:r>
          </w:p>
        </w:tc>
        <w:tc>
          <w:tcPr>
            <w:tcW w:w="1600" w:type="dxa"/>
            <w:shd w:val="clear" w:color="auto" w:fill="EDEDED"/>
            <w:tcMar>
              <w:top w:w="40" w:type="dxa"/>
              <w:left w:w="80" w:type="dxa"/>
              <w:bottom w:w="40" w:type="dxa"/>
              <w:right w:w="80" w:type="dxa"/>
            </w:tcMar>
            <w:vAlign w:val="center"/>
          </w:tcPr>
          <w:p w14:paraId="6D8DAF96">
            <w:pPr>
              <w:jc w:val="left"/>
            </w:pPr>
            <w:r>
              <w:rPr>
                <w:rFonts w:ascii="Calibri" w:hAnsi="Calibri" w:eastAsia="Calibri" w:cs="Calibri"/>
                <w:b w:val="0"/>
                <w:bCs w:val="0"/>
                <w:color w:val="333333"/>
                <w:sz w:val="18"/>
                <w:szCs w:val="18"/>
              </w:rPr>
              <w:t>0.232</w:t>
            </w:r>
          </w:p>
        </w:tc>
      </w:tr>
      <w:tr w14:paraId="37EC0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40" w:type="dxa"/>
              <w:left w:w="80" w:type="dxa"/>
              <w:bottom w:w="40" w:type="dxa"/>
              <w:right w:w="80" w:type="dxa"/>
            </w:tcMar>
            <w:vAlign w:val="center"/>
          </w:tcPr>
          <w:p w14:paraId="2F521C56">
            <w:pPr>
              <w:jc w:val="left"/>
            </w:pPr>
            <w:r>
              <w:rPr>
                <w:rFonts w:ascii="Calibri" w:hAnsi="Calibri" w:eastAsia="Calibri" w:cs="Calibri"/>
                <w:b w:val="0"/>
                <w:bCs w:val="0"/>
                <w:color w:val="333333"/>
                <w:sz w:val="18"/>
                <w:szCs w:val="18"/>
              </w:rPr>
              <w:t>Avg. evidence strength</w:t>
            </w:r>
          </w:p>
        </w:tc>
        <w:tc>
          <w:tcPr>
            <w:tcW w:w="1600" w:type="dxa"/>
            <w:tcMar>
              <w:top w:w="40" w:type="dxa"/>
              <w:left w:w="80" w:type="dxa"/>
              <w:bottom w:w="40" w:type="dxa"/>
              <w:right w:w="80" w:type="dxa"/>
            </w:tcMar>
            <w:vAlign w:val="center"/>
          </w:tcPr>
          <w:p w14:paraId="7C22E0E2">
            <w:pPr>
              <w:jc w:val="left"/>
            </w:pPr>
            <w:r>
              <w:rPr>
                <w:rFonts w:ascii="Calibri" w:hAnsi="Calibri" w:eastAsia="Calibri" w:cs="Calibri"/>
                <w:b w:val="0"/>
                <w:bCs w:val="0"/>
                <w:color w:val="333333"/>
                <w:sz w:val="18"/>
                <w:szCs w:val="18"/>
              </w:rPr>
              <w:t>0.247</w:t>
            </w:r>
          </w:p>
        </w:tc>
      </w:tr>
      <w:tr w14:paraId="1F547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DEDED"/>
            <w:tcMar>
              <w:top w:w="40" w:type="dxa"/>
              <w:left w:w="80" w:type="dxa"/>
              <w:bottom w:w="40" w:type="dxa"/>
              <w:right w:w="80" w:type="dxa"/>
            </w:tcMar>
            <w:vAlign w:val="center"/>
          </w:tcPr>
          <w:p w14:paraId="621BFA29">
            <w:pPr>
              <w:jc w:val="left"/>
            </w:pPr>
            <w:r>
              <w:rPr>
                <w:rFonts w:ascii="Calibri" w:hAnsi="Calibri" w:eastAsia="Calibri" w:cs="Calibri"/>
                <w:b w:val="0"/>
                <w:bCs w:val="0"/>
                <w:color w:val="333333"/>
                <w:sz w:val="18"/>
                <w:szCs w:val="18"/>
              </w:rPr>
              <w:t>Avg. evidence agreement</w:t>
            </w:r>
          </w:p>
        </w:tc>
        <w:tc>
          <w:tcPr>
            <w:tcW w:w="1600" w:type="dxa"/>
            <w:shd w:val="clear" w:color="auto" w:fill="EDEDED"/>
            <w:tcMar>
              <w:top w:w="40" w:type="dxa"/>
              <w:left w:w="80" w:type="dxa"/>
              <w:bottom w:w="40" w:type="dxa"/>
              <w:right w:w="80" w:type="dxa"/>
            </w:tcMar>
            <w:vAlign w:val="center"/>
          </w:tcPr>
          <w:p w14:paraId="00BBF87C">
            <w:pPr>
              <w:jc w:val="left"/>
            </w:pPr>
            <w:r>
              <w:rPr>
                <w:rFonts w:ascii="Calibri" w:hAnsi="Calibri" w:eastAsia="Calibri" w:cs="Calibri"/>
                <w:b w:val="0"/>
                <w:bCs w:val="0"/>
                <w:color w:val="333333"/>
                <w:sz w:val="18"/>
                <w:szCs w:val="18"/>
              </w:rPr>
              <w:t>0.131</w:t>
            </w:r>
          </w:p>
        </w:tc>
      </w:tr>
      <w:tr w14:paraId="1DDE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40" w:type="dxa"/>
              <w:left w:w="80" w:type="dxa"/>
              <w:bottom w:w="40" w:type="dxa"/>
              <w:right w:w="80" w:type="dxa"/>
            </w:tcMar>
            <w:vAlign w:val="center"/>
          </w:tcPr>
          <w:p w14:paraId="678AE60A">
            <w:pPr>
              <w:jc w:val="left"/>
            </w:pPr>
            <w:r>
              <w:rPr>
                <w:rFonts w:ascii="Calibri" w:hAnsi="Calibri" w:eastAsia="Calibri" w:cs="Calibri"/>
                <w:b w:val="0"/>
                <w:bCs w:val="0"/>
                <w:color w:val="333333"/>
                <w:sz w:val="18"/>
                <w:szCs w:val="18"/>
              </w:rPr>
              <w:t>Avg. reply length score</w:t>
            </w:r>
          </w:p>
        </w:tc>
        <w:tc>
          <w:tcPr>
            <w:tcW w:w="1600" w:type="dxa"/>
            <w:tcMar>
              <w:top w:w="40" w:type="dxa"/>
              <w:left w:w="80" w:type="dxa"/>
              <w:bottom w:w="40" w:type="dxa"/>
              <w:right w:w="80" w:type="dxa"/>
            </w:tcMar>
            <w:vAlign w:val="center"/>
          </w:tcPr>
          <w:p w14:paraId="67FCDC2C">
            <w:pPr>
              <w:jc w:val="left"/>
            </w:pPr>
            <w:r>
              <w:rPr>
                <w:rFonts w:ascii="Calibri" w:hAnsi="Calibri" w:eastAsia="Calibri" w:cs="Calibri"/>
                <w:b w:val="0"/>
                <w:bCs w:val="0"/>
                <w:color w:val="333333"/>
                <w:sz w:val="18"/>
                <w:szCs w:val="18"/>
              </w:rPr>
              <w:t>3.02 / 5</w:t>
            </w:r>
          </w:p>
        </w:tc>
      </w:tr>
      <w:tr w14:paraId="67227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DEDED"/>
            <w:tcMar>
              <w:top w:w="40" w:type="dxa"/>
              <w:left w:w="80" w:type="dxa"/>
              <w:bottom w:w="40" w:type="dxa"/>
              <w:right w:w="80" w:type="dxa"/>
            </w:tcMar>
            <w:vAlign w:val="center"/>
          </w:tcPr>
          <w:p w14:paraId="6DCC662A">
            <w:pPr>
              <w:jc w:val="left"/>
            </w:pPr>
            <w:r>
              <w:rPr>
                <w:rFonts w:ascii="Calibri" w:hAnsi="Calibri" w:eastAsia="Calibri" w:cs="Calibri"/>
                <w:b w:val="0"/>
                <w:bCs w:val="0"/>
                <w:color w:val="333333"/>
                <w:sz w:val="18"/>
                <w:szCs w:val="18"/>
              </w:rPr>
              <w:t>Replies with historical evidence</w:t>
            </w:r>
          </w:p>
        </w:tc>
        <w:tc>
          <w:tcPr>
            <w:tcW w:w="1600" w:type="dxa"/>
            <w:shd w:val="clear" w:color="auto" w:fill="EDEDED"/>
            <w:tcMar>
              <w:top w:w="40" w:type="dxa"/>
              <w:left w:w="80" w:type="dxa"/>
              <w:bottom w:w="40" w:type="dxa"/>
              <w:right w:w="80" w:type="dxa"/>
            </w:tcMar>
            <w:vAlign w:val="center"/>
          </w:tcPr>
          <w:p w14:paraId="6B36C7C2">
            <w:pPr>
              <w:jc w:val="left"/>
            </w:pPr>
            <w:r>
              <w:rPr>
                <w:rFonts w:ascii="Calibri" w:hAnsi="Calibri" w:eastAsia="Calibri" w:cs="Calibri"/>
                <w:b w:val="0"/>
                <w:bCs w:val="0"/>
                <w:color w:val="333333"/>
                <w:sz w:val="18"/>
                <w:szCs w:val="18"/>
              </w:rPr>
              <w:t>161 / 200</w:t>
            </w:r>
          </w:p>
        </w:tc>
      </w:tr>
      <w:tr w14:paraId="10F1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40" w:type="dxa"/>
              <w:left w:w="80" w:type="dxa"/>
              <w:bottom w:w="40" w:type="dxa"/>
              <w:right w:w="80" w:type="dxa"/>
            </w:tcMar>
            <w:vAlign w:val="center"/>
          </w:tcPr>
          <w:p w14:paraId="6DF2A0E3">
            <w:pPr>
              <w:jc w:val="left"/>
            </w:pPr>
            <w:r>
              <w:rPr>
                <w:rFonts w:ascii="Calibri" w:hAnsi="Calibri" w:eastAsia="Calibri" w:cs="Calibri"/>
                <w:b w:val="0"/>
                <w:bCs w:val="0"/>
                <w:color w:val="333333"/>
                <w:sz w:val="18"/>
                <w:szCs w:val="18"/>
              </w:rPr>
              <w:t>Intent-relevant replies</w:t>
            </w:r>
          </w:p>
        </w:tc>
        <w:tc>
          <w:tcPr>
            <w:tcW w:w="1600" w:type="dxa"/>
            <w:tcMar>
              <w:top w:w="40" w:type="dxa"/>
              <w:left w:w="80" w:type="dxa"/>
              <w:bottom w:w="40" w:type="dxa"/>
              <w:right w:w="80" w:type="dxa"/>
            </w:tcMar>
            <w:vAlign w:val="center"/>
          </w:tcPr>
          <w:p w14:paraId="5B396E84">
            <w:pPr>
              <w:jc w:val="left"/>
            </w:pPr>
            <w:r>
              <w:rPr>
                <w:rFonts w:ascii="Calibri" w:hAnsi="Calibri" w:eastAsia="Calibri" w:cs="Calibri"/>
                <w:b w:val="0"/>
                <w:bCs w:val="0"/>
                <w:color w:val="333333"/>
                <w:sz w:val="18"/>
                <w:szCs w:val="18"/>
              </w:rPr>
              <w:t>136 / 200</w:t>
            </w:r>
          </w:p>
        </w:tc>
      </w:tr>
      <w:tr w14:paraId="286A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DEDED"/>
            <w:tcMar>
              <w:top w:w="40" w:type="dxa"/>
              <w:left w:w="80" w:type="dxa"/>
              <w:bottom w:w="40" w:type="dxa"/>
              <w:right w:w="80" w:type="dxa"/>
            </w:tcMar>
            <w:vAlign w:val="center"/>
          </w:tcPr>
          <w:p w14:paraId="0AF77F02">
            <w:pPr>
              <w:jc w:val="left"/>
            </w:pPr>
            <w:r>
              <w:rPr>
                <w:rFonts w:ascii="Calibri" w:hAnsi="Calibri" w:eastAsia="Calibri" w:cs="Calibri"/>
                <w:b w:val="0"/>
                <w:bCs w:val="0"/>
                <w:color w:val="333333"/>
                <w:sz w:val="18"/>
                <w:szCs w:val="18"/>
              </w:rPr>
              <w:t>Unsupported claim patterns / empty replies</w:t>
            </w:r>
          </w:p>
        </w:tc>
        <w:tc>
          <w:tcPr>
            <w:tcW w:w="1600" w:type="dxa"/>
            <w:shd w:val="clear" w:color="auto" w:fill="EDEDED"/>
            <w:tcMar>
              <w:top w:w="40" w:type="dxa"/>
              <w:left w:w="80" w:type="dxa"/>
              <w:bottom w:w="40" w:type="dxa"/>
              <w:right w:w="80" w:type="dxa"/>
            </w:tcMar>
            <w:vAlign w:val="center"/>
          </w:tcPr>
          <w:p w14:paraId="06DC3E87">
            <w:pPr>
              <w:jc w:val="left"/>
            </w:pPr>
            <w:r>
              <w:rPr>
                <w:rFonts w:ascii="Calibri" w:hAnsi="Calibri" w:eastAsia="Calibri" w:cs="Calibri"/>
                <w:b w:val="0"/>
                <w:bCs w:val="0"/>
                <w:color w:val="333333"/>
                <w:sz w:val="18"/>
                <w:szCs w:val="18"/>
              </w:rPr>
              <w:t>0 / 200 each</w:t>
            </w:r>
          </w:p>
        </w:tc>
      </w:tr>
    </w:tbl>
    <w:p w14:paraId="0F2C66B8">
      <w:pPr>
        <w:spacing w:before="100" w:after="50"/>
      </w:pPr>
      <w:r>
        <w:rPr>
          <w:rFonts w:ascii="Calibri" w:hAnsi="Calibri" w:eastAsia="Calibri" w:cs="Calibri"/>
          <w:b/>
          <w:bCs/>
          <w:color w:val="1F3864"/>
          <w:sz w:val="23"/>
          <w:szCs w:val="23"/>
        </w:rPr>
        <w:t>LLM-as-Judge (50-example subset: 25 AUTO-HANDLE, 25 ESCALATE)</w:t>
      </w:r>
    </w:p>
    <w:p w14:paraId="018F510D">
      <w:pPr>
        <w:spacing w:after="40" w:line="264" w:lineRule="auto"/>
      </w:pPr>
      <w:r>
        <w:rPr>
          <w:rFonts w:ascii="Calibri" w:hAnsi="Calibri" w:eastAsia="Calibri" w:cs="Calibri"/>
          <w:b w:val="0"/>
          <w:bCs w:val="0"/>
          <w:i w:val="0"/>
          <w:iCs w:val="0"/>
          <w:color w:val="333333"/>
          <w:sz w:val="18"/>
          <w:szCs w:val="18"/>
        </w:rPr>
        <w:t>Judging was AI-assisted and interactive against a fixed rubric — not a paid API evaluation, not a production-scale automated judge pipeline.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1300"/>
        <w:gridCol w:w="1500"/>
        <w:gridCol w:w="1100"/>
        <w:gridCol w:w="1100"/>
        <w:gridCol w:w="1200"/>
      </w:tblGrid>
      <w:tr w14:paraId="1E42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1F3864"/>
            <w:tcMar>
              <w:top w:w="40" w:type="dxa"/>
              <w:left w:w="80" w:type="dxa"/>
              <w:bottom w:w="40" w:type="dxa"/>
              <w:right w:w="80" w:type="dxa"/>
            </w:tcMar>
            <w:vAlign w:val="center"/>
          </w:tcPr>
          <w:p w14:paraId="0F936A90">
            <w:pPr>
              <w:jc w:val="left"/>
            </w:pPr>
            <w:r>
              <w:rPr>
                <w:rFonts w:ascii="Calibri" w:hAnsi="Calibri" w:eastAsia="Calibri" w:cs="Calibri"/>
                <w:b/>
                <w:bCs/>
                <w:color w:val="FFFFFF"/>
                <w:sz w:val="18"/>
                <w:szCs w:val="18"/>
              </w:rPr>
              <w:t>Relevance</w:t>
            </w:r>
          </w:p>
        </w:tc>
        <w:tc>
          <w:tcPr>
            <w:tcW w:w="1700" w:type="dxa"/>
            <w:shd w:val="clear" w:color="auto" w:fill="1F3864"/>
            <w:tcMar>
              <w:top w:w="40" w:type="dxa"/>
              <w:left w:w="80" w:type="dxa"/>
              <w:bottom w:w="40" w:type="dxa"/>
              <w:right w:w="80" w:type="dxa"/>
            </w:tcMar>
            <w:vAlign w:val="center"/>
          </w:tcPr>
          <w:p w14:paraId="7D1ABFCE">
            <w:pPr>
              <w:jc w:val="left"/>
            </w:pPr>
            <w:r>
              <w:rPr>
                <w:rFonts w:ascii="Calibri" w:hAnsi="Calibri" w:eastAsia="Calibri" w:cs="Calibri"/>
                <w:b/>
                <w:bCs/>
                <w:color w:val="FFFFFF"/>
                <w:sz w:val="18"/>
                <w:szCs w:val="18"/>
              </w:rPr>
              <w:t>Resolution Corr.</w:t>
            </w:r>
          </w:p>
        </w:tc>
        <w:tc>
          <w:tcPr>
            <w:tcW w:w="1300" w:type="dxa"/>
            <w:shd w:val="clear" w:color="auto" w:fill="1F3864"/>
            <w:tcMar>
              <w:top w:w="40" w:type="dxa"/>
              <w:left w:w="80" w:type="dxa"/>
              <w:bottom w:w="40" w:type="dxa"/>
              <w:right w:w="80" w:type="dxa"/>
            </w:tcMar>
            <w:vAlign w:val="center"/>
          </w:tcPr>
          <w:p w14:paraId="25307469">
            <w:pPr>
              <w:jc w:val="left"/>
            </w:pPr>
            <w:r>
              <w:rPr>
                <w:rFonts w:ascii="Calibri" w:hAnsi="Calibri" w:eastAsia="Calibri" w:cs="Calibri"/>
                <w:b/>
                <w:bCs/>
                <w:color w:val="FFFFFF"/>
                <w:sz w:val="18"/>
                <w:szCs w:val="18"/>
              </w:rPr>
              <w:t>Grounding</w:t>
            </w:r>
          </w:p>
        </w:tc>
        <w:tc>
          <w:tcPr>
            <w:tcW w:w="1500" w:type="dxa"/>
            <w:shd w:val="clear" w:color="auto" w:fill="1F3864"/>
            <w:tcMar>
              <w:top w:w="40" w:type="dxa"/>
              <w:left w:w="80" w:type="dxa"/>
              <w:bottom w:w="40" w:type="dxa"/>
              <w:right w:w="80" w:type="dxa"/>
            </w:tcMar>
            <w:vAlign w:val="center"/>
          </w:tcPr>
          <w:p w14:paraId="6D48410A">
            <w:pPr>
              <w:jc w:val="left"/>
            </w:pPr>
            <w:r>
              <w:rPr>
                <w:rFonts w:ascii="Calibri" w:hAnsi="Calibri" w:eastAsia="Calibri" w:cs="Calibri"/>
                <w:b/>
                <w:bCs/>
                <w:color w:val="FFFFFF"/>
                <w:sz w:val="18"/>
                <w:szCs w:val="18"/>
              </w:rPr>
              <w:t>Helpfulness</w:t>
            </w:r>
          </w:p>
        </w:tc>
        <w:tc>
          <w:tcPr>
            <w:tcW w:w="1100" w:type="dxa"/>
            <w:shd w:val="clear" w:color="auto" w:fill="1F3864"/>
            <w:tcMar>
              <w:top w:w="40" w:type="dxa"/>
              <w:left w:w="80" w:type="dxa"/>
              <w:bottom w:w="40" w:type="dxa"/>
              <w:right w:w="80" w:type="dxa"/>
            </w:tcMar>
            <w:vAlign w:val="center"/>
          </w:tcPr>
          <w:p w14:paraId="4895DC9B">
            <w:pPr>
              <w:jc w:val="left"/>
            </w:pPr>
            <w:r>
              <w:rPr>
                <w:rFonts w:ascii="Calibri" w:hAnsi="Calibri" w:eastAsia="Calibri" w:cs="Calibri"/>
                <w:b/>
                <w:bCs/>
                <w:color w:val="FFFFFF"/>
                <w:sz w:val="18"/>
                <w:szCs w:val="18"/>
              </w:rPr>
              <w:t>Safety</w:t>
            </w:r>
          </w:p>
        </w:tc>
        <w:tc>
          <w:tcPr>
            <w:tcW w:w="1100" w:type="dxa"/>
            <w:shd w:val="clear" w:color="auto" w:fill="1F3864"/>
            <w:tcMar>
              <w:top w:w="40" w:type="dxa"/>
              <w:left w:w="80" w:type="dxa"/>
              <w:bottom w:w="40" w:type="dxa"/>
              <w:right w:w="80" w:type="dxa"/>
            </w:tcMar>
            <w:vAlign w:val="center"/>
          </w:tcPr>
          <w:p w14:paraId="0D984B57">
            <w:pPr>
              <w:jc w:val="left"/>
            </w:pPr>
            <w:r>
              <w:rPr>
                <w:rFonts w:ascii="Calibri" w:hAnsi="Calibri" w:eastAsia="Calibri" w:cs="Calibri"/>
                <w:b/>
                <w:bCs/>
                <w:color w:val="FFFFFF"/>
                <w:sz w:val="18"/>
                <w:szCs w:val="18"/>
              </w:rPr>
              <w:t>Tone</w:t>
            </w:r>
          </w:p>
        </w:tc>
        <w:tc>
          <w:tcPr>
            <w:tcW w:w="1200" w:type="dxa"/>
            <w:shd w:val="clear" w:color="auto" w:fill="1F3864"/>
            <w:tcMar>
              <w:top w:w="40" w:type="dxa"/>
              <w:left w:w="80" w:type="dxa"/>
              <w:bottom w:w="40" w:type="dxa"/>
              <w:right w:w="80" w:type="dxa"/>
            </w:tcMar>
            <w:vAlign w:val="center"/>
          </w:tcPr>
          <w:p w14:paraId="7C541103">
            <w:pPr>
              <w:jc w:val="left"/>
            </w:pPr>
            <w:r>
              <w:rPr>
                <w:rFonts w:ascii="Calibri" w:hAnsi="Calibri" w:eastAsia="Calibri" w:cs="Calibri"/>
                <w:b/>
                <w:bCs/>
                <w:color w:val="FFFFFF"/>
                <w:sz w:val="18"/>
                <w:szCs w:val="18"/>
              </w:rPr>
              <w:t>Overall</w:t>
            </w:r>
          </w:p>
        </w:tc>
      </w:tr>
      <w:tr w14:paraId="3B62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40" w:type="dxa"/>
              <w:left w:w="80" w:type="dxa"/>
              <w:bottom w:w="40" w:type="dxa"/>
              <w:right w:w="80" w:type="dxa"/>
            </w:tcMar>
            <w:vAlign w:val="center"/>
          </w:tcPr>
          <w:p w14:paraId="4A6F25F8">
            <w:pPr>
              <w:jc w:val="left"/>
            </w:pPr>
            <w:r>
              <w:rPr>
                <w:rFonts w:ascii="Calibri" w:hAnsi="Calibri" w:eastAsia="Calibri" w:cs="Calibri"/>
                <w:b w:val="0"/>
                <w:bCs w:val="0"/>
                <w:color w:val="333333"/>
                <w:sz w:val="18"/>
                <w:szCs w:val="18"/>
              </w:rPr>
              <w:t>3.32/5</w:t>
            </w:r>
          </w:p>
        </w:tc>
        <w:tc>
          <w:tcPr>
            <w:tcW w:w="1700" w:type="dxa"/>
            <w:tcMar>
              <w:top w:w="40" w:type="dxa"/>
              <w:left w:w="80" w:type="dxa"/>
              <w:bottom w:w="40" w:type="dxa"/>
              <w:right w:w="80" w:type="dxa"/>
            </w:tcMar>
            <w:vAlign w:val="center"/>
          </w:tcPr>
          <w:p w14:paraId="2C769327">
            <w:pPr>
              <w:jc w:val="left"/>
            </w:pPr>
            <w:r>
              <w:rPr>
                <w:rFonts w:ascii="Calibri" w:hAnsi="Calibri" w:eastAsia="Calibri" w:cs="Calibri"/>
                <w:b w:val="0"/>
                <w:bCs w:val="0"/>
                <w:color w:val="333333"/>
                <w:sz w:val="18"/>
                <w:szCs w:val="18"/>
              </w:rPr>
              <w:t>2.94/5</w:t>
            </w:r>
          </w:p>
        </w:tc>
        <w:tc>
          <w:tcPr>
            <w:tcW w:w="1300" w:type="dxa"/>
            <w:tcMar>
              <w:top w:w="40" w:type="dxa"/>
              <w:left w:w="80" w:type="dxa"/>
              <w:bottom w:w="40" w:type="dxa"/>
              <w:right w:w="80" w:type="dxa"/>
            </w:tcMar>
            <w:vAlign w:val="center"/>
          </w:tcPr>
          <w:p w14:paraId="5E4E6613">
            <w:pPr>
              <w:jc w:val="left"/>
            </w:pPr>
            <w:r>
              <w:rPr>
                <w:rFonts w:ascii="Calibri" w:hAnsi="Calibri" w:eastAsia="Calibri" w:cs="Calibri"/>
                <w:b w:val="0"/>
                <w:bCs w:val="0"/>
                <w:color w:val="333333"/>
                <w:sz w:val="18"/>
                <w:szCs w:val="18"/>
              </w:rPr>
              <w:t>2.88/5</w:t>
            </w:r>
          </w:p>
        </w:tc>
        <w:tc>
          <w:tcPr>
            <w:tcW w:w="1500" w:type="dxa"/>
            <w:tcMar>
              <w:top w:w="40" w:type="dxa"/>
              <w:left w:w="80" w:type="dxa"/>
              <w:bottom w:w="40" w:type="dxa"/>
              <w:right w:w="80" w:type="dxa"/>
            </w:tcMar>
            <w:vAlign w:val="center"/>
          </w:tcPr>
          <w:p w14:paraId="2FF444A6">
            <w:pPr>
              <w:jc w:val="left"/>
            </w:pPr>
            <w:r>
              <w:rPr>
                <w:rFonts w:ascii="Calibri" w:hAnsi="Calibri" w:eastAsia="Calibri" w:cs="Calibri"/>
                <w:b w:val="0"/>
                <w:bCs w:val="0"/>
                <w:color w:val="333333"/>
                <w:sz w:val="18"/>
                <w:szCs w:val="18"/>
              </w:rPr>
              <w:t>2.72/5</w:t>
            </w:r>
          </w:p>
        </w:tc>
        <w:tc>
          <w:tcPr>
            <w:tcW w:w="1100" w:type="dxa"/>
            <w:tcMar>
              <w:top w:w="40" w:type="dxa"/>
              <w:left w:w="80" w:type="dxa"/>
              <w:bottom w:w="40" w:type="dxa"/>
              <w:right w:w="80" w:type="dxa"/>
            </w:tcMar>
            <w:vAlign w:val="center"/>
          </w:tcPr>
          <w:p w14:paraId="58B19C22">
            <w:pPr>
              <w:jc w:val="left"/>
            </w:pPr>
            <w:r>
              <w:rPr>
                <w:rFonts w:ascii="Calibri" w:hAnsi="Calibri" w:eastAsia="Calibri" w:cs="Calibri"/>
                <w:b w:val="0"/>
                <w:bCs w:val="0"/>
                <w:color w:val="333333"/>
                <w:sz w:val="18"/>
                <w:szCs w:val="18"/>
              </w:rPr>
              <w:t>5.00/5</w:t>
            </w:r>
          </w:p>
        </w:tc>
        <w:tc>
          <w:tcPr>
            <w:tcW w:w="1100" w:type="dxa"/>
            <w:tcMar>
              <w:top w:w="40" w:type="dxa"/>
              <w:left w:w="80" w:type="dxa"/>
              <w:bottom w:w="40" w:type="dxa"/>
              <w:right w:w="80" w:type="dxa"/>
            </w:tcMar>
            <w:vAlign w:val="center"/>
          </w:tcPr>
          <w:p w14:paraId="521E59C5">
            <w:pPr>
              <w:jc w:val="left"/>
            </w:pPr>
            <w:r>
              <w:rPr>
                <w:rFonts w:ascii="Calibri" w:hAnsi="Calibri" w:eastAsia="Calibri" w:cs="Calibri"/>
                <w:b w:val="0"/>
                <w:bCs w:val="0"/>
                <w:color w:val="333333"/>
                <w:sz w:val="18"/>
                <w:szCs w:val="18"/>
              </w:rPr>
              <w:t>5.00/5</w:t>
            </w:r>
          </w:p>
        </w:tc>
        <w:tc>
          <w:tcPr>
            <w:tcW w:w="1200" w:type="dxa"/>
            <w:tcMar>
              <w:top w:w="40" w:type="dxa"/>
              <w:left w:w="80" w:type="dxa"/>
              <w:bottom w:w="40" w:type="dxa"/>
              <w:right w:w="80" w:type="dxa"/>
            </w:tcMar>
            <w:vAlign w:val="center"/>
          </w:tcPr>
          <w:p w14:paraId="35E33FEF">
            <w:pPr>
              <w:jc w:val="left"/>
            </w:pPr>
            <w:r>
              <w:rPr>
                <w:rFonts w:ascii="Calibri" w:hAnsi="Calibri" w:eastAsia="Calibri" w:cs="Calibri"/>
                <w:b w:val="0"/>
                <w:bCs w:val="0"/>
                <w:color w:val="333333"/>
                <w:sz w:val="18"/>
                <w:szCs w:val="18"/>
              </w:rPr>
              <w:t>3.64/5</w:t>
            </w:r>
          </w:p>
        </w:tc>
      </w:tr>
    </w:tbl>
    <w:p w14:paraId="0C341F49">
      <w:pPr>
        <w:spacing w:after="60" w:line="264" w:lineRule="auto"/>
      </w:pPr>
      <w:r>
        <w:rPr>
          <w:rFonts w:ascii="Calibri" w:hAnsi="Calibri" w:eastAsia="Calibri" w:cs="Calibri"/>
          <w:b w:val="0"/>
          <w:bCs w:val="0"/>
          <w:i/>
          <w:iCs/>
          <w:color w:val="333333"/>
          <w:sz w:val="18"/>
          <w:szCs w:val="18"/>
        </w:rPr>
        <w:t>No independently collected human judge set was completed for the final run, so no human-LLM agreement statistic (kappa, correlation, or exact agreement) is reported. This remains a validation gap.</w:t>
      </w:r>
    </w:p>
    <w:p w14:paraId="2315CD4E">
      <w:pPr>
        <w:pBdr>
          <w:bottom w:val="single" w:color="1F3864" w:sz="6" w:space="2"/>
        </w:pBdr>
        <w:spacing w:before="140" w:after="70"/>
      </w:pPr>
      <w:r>
        <w:rPr>
          <w:rFonts w:ascii="Calibri" w:hAnsi="Calibri" w:eastAsia="Calibri" w:cs="Calibri"/>
          <w:b/>
          <w:bCs/>
          <w:color w:val="1F3864"/>
          <w:sz w:val="30"/>
          <w:szCs w:val="30"/>
        </w:rPr>
        <w:t>Top 5 Failure Modes</w:t>
      </w:r>
    </w:p>
    <w:tbl>
      <w:tblPr>
        <w:tblStyle w:val="9"/>
        <w:tblW w:w="6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32"/>
        <w:gridCol w:w="1878"/>
        <w:gridCol w:w="1687"/>
        <w:gridCol w:w="1803"/>
      </w:tblGrid>
      <w:tr w14:paraId="199CE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40" w:type="dxa"/>
              <w:left w:w="80" w:type="dxa"/>
              <w:bottom w:w="40" w:type="dxa"/>
              <w:right w:w="80" w:type="dxa"/>
            </w:tcMar>
            <w:vAlign w:val="center"/>
          </w:tcPr>
          <w:p w14:paraId="3883508C">
            <w:pPr>
              <w:jc w:val="left"/>
            </w:pPr>
            <w:r>
              <w:rPr>
                <w:rFonts w:ascii="Calibri" w:hAnsi="Calibri" w:eastAsia="Calibri" w:cs="Calibri"/>
                <w:b/>
                <w:bCs/>
                <w:color w:val="FFFFFF"/>
                <w:sz w:val="18"/>
                <w:szCs w:val="18"/>
              </w:rPr>
              <w:t>Failure</w:t>
            </w:r>
          </w:p>
        </w:tc>
        <w:tc>
          <w:tcPr>
            <w:tcW w:w="1900" w:type="dxa"/>
            <w:shd w:val="clear" w:color="auto" w:fill="1F3864"/>
            <w:tcMar>
              <w:top w:w="40" w:type="dxa"/>
              <w:left w:w="80" w:type="dxa"/>
              <w:bottom w:w="40" w:type="dxa"/>
              <w:right w:w="80" w:type="dxa"/>
            </w:tcMar>
            <w:vAlign w:val="center"/>
          </w:tcPr>
          <w:p w14:paraId="62F21B37">
            <w:pPr>
              <w:jc w:val="left"/>
            </w:pPr>
            <w:r>
              <w:rPr>
                <w:rFonts w:ascii="Calibri" w:hAnsi="Calibri" w:eastAsia="Calibri" w:cs="Calibri"/>
                <w:b/>
                <w:bCs/>
                <w:color w:val="FFFFFF"/>
                <w:sz w:val="18"/>
                <w:szCs w:val="18"/>
              </w:rPr>
              <w:t>Example</w:t>
            </w:r>
          </w:p>
        </w:tc>
        <w:tc>
          <w:tcPr>
            <w:tcW w:w="1900" w:type="dxa"/>
            <w:shd w:val="clear" w:color="auto" w:fill="1F3864"/>
            <w:tcMar>
              <w:top w:w="40" w:type="dxa"/>
              <w:left w:w="80" w:type="dxa"/>
              <w:bottom w:w="40" w:type="dxa"/>
              <w:right w:w="80" w:type="dxa"/>
            </w:tcMar>
            <w:vAlign w:val="center"/>
          </w:tcPr>
          <w:p w14:paraId="6A98D0E4">
            <w:pPr>
              <w:jc w:val="left"/>
            </w:pPr>
            <w:r>
              <w:rPr>
                <w:rFonts w:ascii="Calibri" w:hAnsi="Calibri" w:eastAsia="Calibri" w:cs="Calibri"/>
                <w:b/>
                <w:bCs/>
                <w:color w:val="FFFFFF"/>
                <w:sz w:val="18"/>
                <w:szCs w:val="18"/>
              </w:rPr>
              <w:t>Hypothesis</w:t>
            </w:r>
          </w:p>
        </w:tc>
        <w:tc>
          <w:tcPr>
            <w:tcW w:w="1500" w:type="dxa"/>
            <w:shd w:val="clear" w:color="auto" w:fill="1F3864"/>
            <w:tcMar>
              <w:top w:w="40" w:type="dxa"/>
              <w:left w:w="80" w:type="dxa"/>
              <w:bottom w:w="40" w:type="dxa"/>
              <w:right w:w="80" w:type="dxa"/>
            </w:tcMar>
            <w:vAlign w:val="center"/>
          </w:tcPr>
          <w:p w14:paraId="3A45E6EC">
            <w:pPr>
              <w:jc w:val="left"/>
            </w:pPr>
            <w:r>
              <w:rPr>
                <w:rFonts w:ascii="Calibri" w:hAnsi="Calibri" w:eastAsia="Calibri" w:cs="Calibri"/>
                <w:b/>
                <w:bCs/>
                <w:color w:val="FFFFFF"/>
                <w:sz w:val="18"/>
                <w:szCs w:val="18"/>
              </w:rPr>
              <w:t>Proposed Fix</w:t>
            </w:r>
          </w:p>
        </w:tc>
      </w:tr>
      <w:tr w14:paraId="33374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40" w:type="dxa"/>
              <w:left w:w="80" w:type="dxa"/>
              <w:bottom w:w="40" w:type="dxa"/>
              <w:right w:w="80" w:type="dxa"/>
            </w:tcMar>
            <w:vAlign w:val="center"/>
          </w:tcPr>
          <w:p w14:paraId="5D6332EB">
            <w:pPr>
              <w:jc w:val="left"/>
            </w:pPr>
            <w:r>
              <w:rPr>
                <w:rFonts w:ascii="Calibri" w:hAnsi="Calibri" w:eastAsia="Calibri" w:cs="Calibri"/>
                <w:b w:val="0"/>
                <w:bCs w:val="0"/>
                <w:color w:val="333333"/>
                <w:sz w:val="18"/>
                <w:szCs w:val="18"/>
              </w:rPr>
              <w:t>1. Mixed intent (operational + compensation)</w:t>
            </w:r>
          </w:p>
        </w:tc>
        <w:tc>
          <w:tcPr>
            <w:tcW w:w="1900" w:type="dxa"/>
            <w:tcMar>
              <w:top w:w="40" w:type="dxa"/>
              <w:left w:w="80" w:type="dxa"/>
              <w:bottom w:w="40" w:type="dxa"/>
              <w:right w:w="80" w:type="dxa"/>
            </w:tcMar>
            <w:vAlign w:val="center"/>
          </w:tcPr>
          <w:p w14:paraId="16503D22">
            <w:pPr>
              <w:jc w:val="left"/>
            </w:pPr>
            <w:r>
              <w:rPr>
                <w:rFonts w:ascii="Calibri" w:hAnsi="Calibri" w:eastAsia="Calibri" w:cs="Calibri"/>
                <w:b w:val="0"/>
                <w:bCs w:val="0"/>
                <w:color w:val="333333"/>
                <w:sz w:val="18"/>
                <w:szCs w:val="18"/>
              </w:rPr>
              <w:t>ID 179: delayed services + refund/swap. Predicted refund_compensation; true label train_status.</w:t>
            </w:r>
          </w:p>
        </w:tc>
        <w:tc>
          <w:tcPr>
            <w:tcW w:w="1900" w:type="dxa"/>
            <w:tcMar>
              <w:top w:w="40" w:type="dxa"/>
              <w:left w:w="80" w:type="dxa"/>
              <w:bottom w:w="40" w:type="dxa"/>
              <w:right w:w="80" w:type="dxa"/>
            </w:tcMar>
            <w:vAlign w:val="center"/>
          </w:tcPr>
          <w:p w14:paraId="5B70CA26">
            <w:pPr>
              <w:jc w:val="left"/>
            </w:pPr>
            <w:r>
              <w:rPr>
                <w:rFonts w:ascii="Calibri" w:hAnsi="Calibri" w:eastAsia="Calibri" w:cs="Calibri"/>
                <w:b w:val="0"/>
                <w:bCs w:val="0"/>
                <w:color w:val="333333"/>
                <w:sz w:val="18"/>
                <w:szCs w:val="18"/>
              </w:rPr>
              <w:t>Single-label classification cannot fully represent multi-intent requests; classifier follows the strongest lexical signal.</w:t>
            </w:r>
          </w:p>
        </w:tc>
        <w:tc>
          <w:tcPr>
            <w:tcW w:w="1500" w:type="dxa"/>
            <w:tcMar>
              <w:top w:w="40" w:type="dxa"/>
              <w:left w:w="80" w:type="dxa"/>
              <w:bottom w:w="40" w:type="dxa"/>
              <w:right w:w="80" w:type="dxa"/>
            </w:tcMar>
            <w:vAlign w:val="center"/>
          </w:tcPr>
          <w:p w14:paraId="5C6D2AD1">
            <w:pPr>
              <w:jc w:val="left"/>
            </w:pPr>
            <w:r>
              <w:rPr>
                <w:rFonts w:ascii="Calibri" w:hAnsi="Calibri" w:eastAsia="Calibri" w:cs="Calibri"/>
                <w:b w:val="0"/>
                <w:bCs w:val="0"/>
                <w:color w:val="333333"/>
                <w:sz w:val="18"/>
                <w:szCs w:val="18"/>
              </w:rPr>
              <w:t>Explicit multi-intent detection + action prioritization.</w:t>
            </w:r>
          </w:p>
        </w:tc>
      </w:tr>
      <w:tr w14:paraId="56DB5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DEDED"/>
            <w:tcMar>
              <w:top w:w="40" w:type="dxa"/>
              <w:left w:w="80" w:type="dxa"/>
              <w:bottom w:w="40" w:type="dxa"/>
              <w:right w:w="80" w:type="dxa"/>
            </w:tcMar>
            <w:vAlign w:val="center"/>
          </w:tcPr>
          <w:p w14:paraId="71CF2144">
            <w:pPr>
              <w:jc w:val="left"/>
            </w:pPr>
            <w:r>
              <w:rPr>
                <w:rFonts w:ascii="Calibri" w:hAnsi="Calibri" w:eastAsia="Calibri" w:cs="Calibri"/>
                <w:b w:val="0"/>
                <w:bCs w:val="0"/>
                <w:color w:val="333333"/>
                <w:sz w:val="18"/>
                <w:szCs w:val="18"/>
              </w:rPr>
              <w:t>2. Heterogeneous "other"</w:t>
            </w:r>
          </w:p>
        </w:tc>
        <w:tc>
          <w:tcPr>
            <w:tcW w:w="1900" w:type="dxa"/>
            <w:shd w:val="clear" w:color="auto" w:fill="EDEDED"/>
            <w:tcMar>
              <w:top w:w="40" w:type="dxa"/>
              <w:left w:w="80" w:type="dxa"/>
              <w:bottom w:w="40" w:type="dxa"/>
              <w:right w:w="80" w:type="dxa"/>
            </w:tcMar>
            <w:vAlign w:val="center"/>
          </w:tcPr>
          <w:p w14:paraId="426CD172">
            <w:pPr>
              <w:jc w:val="left"/>
            </w:pPr>
            <w:r>
              <w:rPr>
                <w:rFonts w:ascii="Calibri" w:hAnsi="Calibri" w:eastAsia="Calibri" w:cs="Calibri"/>
                <w:b w:val="0"/>
                <w:bCs w:val="0"/>
                <w:color w:val="333333"/>
                <w:sz w:val="18"/>
                <w:szCs w:val="18"/>
              </w:rPr>
              <w:t>ID 165: positive staff praise. Predicted complaint_feedback; true label other.</w:t>
            </w:r>
          </w:p>
        </w:tc>
        <w:tc>
          <w:tcPr>
            <w:tcW w:w="1900" w:type="dxa"/>
            <w:shd w:val="clear" w:color="auto" w:fill="EDEDED"/>
            <w:tcMar>
              <w:top w:w="40" w:type="dxa"/>
              <w:left w:w="80" w:type="dxa"/>
              <w:bottom w:w="40" w:type="dxa"/>
              <w:right w:w="80" w:type="dxa"/>
            </w:tcMar>
            <w:vAlign w:val="center"/>
          </w:tcPr>
          <w:p w14:paraId="40A3845E">
            <w:pPr>
              <w:jc w:val="left"/>
            </w:pPr>
            <w:r>
              <w:rPr>
                <w:rFonts w:ascii="Calibri" w:hAnsi="Calibri" w:eastAsia="Calibri" w:cs="Calibri"/>
                <w:b w:val="0"/>
                <w:bCs w:val="0"/>
                <w:color w:val="333333"/>
                <w:sz w:val="18"/>
                <w:szCs w:val="18"/>
              </w:rPr>
              <w:t>"other" mixes praise, conversational fragments, and unsupported requests.</w:t>
            </w:r>
          </w:p>
        </w:tc>
        <w:tc>
          <w:tcPr>
            <w:tcW w:w="1500" w:type="dxa"/>
            <w:shd w:val="clear" w:color="auto" w:fill="EDEDED"/>
            <w:tcMar>
              <w:top w:w="40" w:type="dxa"/>
              <w:left w:w="80" w:type="dxa"/>
              <w:bottom w:w="40" w:type="dxa"/>
              <w:right w:w="80" w:type="dxa"/>
            </w:tcMar>
            <w:vAlign w:val="center"/>
          </w:tcPr>
          <w:p w14:paraId="1C3EA881">
            <w:pPr>
              <w:jc w:val="left"/>
            </w:pPr>
            <w:r>
              <w:rPr>
                <w:rFonts w:ascii="Calibri" w:hAnsi="Calibri" w:eastAsia="Calibri" w:cs="Calibri"/>
                <w:b w:val="0"/>
                <w:bCs w:val="0"/>
                <w:color w:val="333333"/>
                <w:sz w:val="18"/>
                <w:szCs w:val="18"/>
              </w:rPr>
              <w:t>Split "other" into positive_feedback, conversational, insufficient_context, unsupported_request.</w:t>
            </w:r>
          </w:p>
        </w:tc>
      </w:tr>
      <w:tr w14:paraId="01DC8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40" w:type="dxa"/>
              <w:left w:w="80" w:type="dxa"/>
              <w:bottom w:w="40" w:type="dxa"/>
              <w:right w:w="80" w:type="dxa"/>
            </w:tcMar>
            <w:vAlign w:val="center"/>
          </w:tcPr>
          <w:p w14:paraId="7B24FC04">
            <w:pPr>
              <w:jc w:val="left"/>
            </w:pPr>
            <w:r>
              <w:rPr>
                <w:rFonts w:ascii="Calibri" w:hAnsi="Calibri" w:eastAsia="Calibri" w:cs="Calibri"/>
                <w:b w:val="0"/>
                <w:bCs w:val="0"/>
                <w:color w:val="333333"/>
                <w:sz w:val="18"/>
                <w:szCs w:val="18"/>
              </w:rPr>
              <w:t>3. Short/context-poor journey fragments</w:t>
            </w:r>
          </w:p>
        </w:tc>
        <w:tc>
          <w:tcPr>
            <w:tcW w:w="1900" w:type="dxa"/>
            <w:tcMar>
              <w:top w:w="40" w:type="dxa"/>
              <w:left w:w="80" w:type="dxa"/>
              <w:bottom w:w="40" w:type="dxa"/>
              <w:right w:w="80" w:type="dxa"/>
            </w:tcMar>
            <w:vAlign w:val="center"/>
          </w:tcPr>
          <w:p w14:paraId="7019CE6C">
            <w:pPr>
              <w:jc w:val="left"/>
            </w:pPr>
            <w:r>
              <w:rPr>
                <w:rFonts w:ascii="Calibri" w:hAnsi="Calibri" w:eastAsia="Calibri" w:cs="Calibri"/>
                <w:b w:val="0"/>
                <w:bCs w:val="0"/>
                <w:color w:val="333333"/>
                <w:sz w:val="18"/>
                <w:szCs w:val="18"/>
              </w:rPr>
              <w:t>ID 160: "9:25 Litchfield Trent Valley to London Euston." Predicted train_status; true label other.</w:t>
            </w:r>
          </w:p>
        </w:tc>
        <w:tc>
          <w:tcPr>
            <w:tcW w:w="1900" w:type="dxa"/>
            <w:tcMar>
              <w:top w:w="40" w:type="dxa"/>
              <w:left w:w="80" w:type="dxa"/>
              <w:bottom w:w="40" w:type="dxa"/>
              <w:right w:w="80" w:type="dxa"/>
            </w:tcMar>
            <w:vAlign w:val="center"/>
          </w:tcPr>
          <w:p w14:paraId="37C093A8">
            <w:pPr>
              <w:jc w:val="left"/>
            </w:pPr>
            <w:r>
              <w:rPr>
                <w:rFonts w:ascii="Calibri" w:hAnsi="Calibri" w:eastAsia="Calibri" w:cs="Calibri"/>
                <w:b w:val="0"/>
                <w:bCs w:val="0"/>
                <w:color w:val="333333"/>
                <w:sz w:val="18"/>
                <w:szCs w:val="18"/>
              </w:rPr>
              <w:t>Resembles a status query but asks no explicit support question.</w:t>
            </w:r>
          </w:p>
        </w:tc>
        <w:tc>
          <w:tcPr>
            <w:tcW w:w="1500" w:type="dxa"/>
            <w:tcMar>
              <w:top w:w="40" w:type="dxa"/>
              <w:left w:w="80" w:type="dxa"/>
              <w:bottom w:w="40" w:type="dxa"/>
              <w:right w:w="80" w:type="dxa"/>
            </w:tcMar>
            <w:vAlign w:val="center"/>
          </w:tcPr>
          <w:p w14:paraId="5E75D82D">
            <w:pPr>
              <w:jc w:val="left"/>
            </w:pPr>
            <w:r>
              <w:rPr>
                <w:rFonts w:ascii="Calibri" w:hAnsi="Calibri" w:eastAsia="Calibri" w:cs="Calibri"/>
                <w:b w:val="0"/>
                <w:bCs w:val="0"/>
                <w:color w:val="333333"/>
                <w:sz w:val="18"/>
                <w:szCs w:val="18"/>
              </w:rPr>
              <w:t>Require an explicit support-intent/action signal before assigning operational intents.</w:t>
            </w:r>
          </w:p>
        </w:tc>
      </w:tr>
      <w:tr w14:paraId="2C35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EDEDED"/>
            <w:tcMar>
              <w:top w:w="40" w:type="dxa"/>
              <w:left w:w="80" w:type="dxa"/>
              <w:bottom w:w="40" w:type="dxa"/>
              <w:right w:w="80" w:type="dxa"/>
            </w:tcMar>
            <w:vAlign w:val="center"/>
          </w:tcPr>
          <w:p w14:paraId="40180906">
            <w:pPr>
              <w:jc w:val="left"/>
            </w:pPr>
            <w:r>
              <w:rPr>
                <w:rFonts w:ascii="Calibri" w:hAnsi="Calibri" w:eastAsia="Calibri" w:cs="Calibri"/>
                <w:b w:val="0"/>
                <w:bCs w:val="0"/>
                <w:color w:val="333333"/>
                <w:sz w:val="18"/>
                <w:szCs w:val="18"/>
              </w:rPr>
              <w:t>4. Ticket semantic overlap</w:t>
            </w:r>
          </w:p>
        </w:tc>
        <w:tc>
          <w:tcPr>
            <w:tcW w:w="1900" w:type="dxa"/>
            <w:shd w:val="clear" w:color="auto" w:fill="EDEDED"/>
            <w:tcMar>
              <w:top w:w="40" w:type="dxa"/>
              <w:left w:w="80" w:type="dxa"/>
              <w:bottom w:w="40" w:type="dxa"/>
              <w:right w:w="80" w:type="dxa"/>
            </w:tcMar>
            <w:vAlign w:val="center"/>
          </w:tcPr>
          <w:p w14:paraId="7DBCD4D3">
            <w:pPr>
              <w:jc w:val="left"/>
            </w:pPr>
            <w:r>
              <w:rPr>
                <w:rFonts w:ascii="Calibri" w:hAnsi="Calibri" w:eastAsia="Calibri" w:cs="Calibri"/>
                <w:b w:val="0"/>
                <w:bCs w:val="0"/>
                <w:color w:val="333333"/>
                <w:sz w:val="18"/>
                <w:szCs w:val="18"/>
              </w:rPr>
              <w:t>ID 12: change-vs-booking wording overlap. Predicted booking_ticket; true label ticket_change.</w:t>
            </w:r>
          </w:p>
        </w:tc>
        <w:tc>
          <w:tcPr>
            <w:tcW w:w="1900" w:type="dxa"/>
            <w:shd w:val="clear" w:color="auto" w:fill="EDEDED"/>
            <w:tcMar>
              <w:top w:w="40" w:type="dxa"/>
              <w:left w:w="80" w:type="dxa"/>
              <w:bottom w:w="40" w:type="dxa"/>
              <w:right w:w="80" w:type="dxa"/>
            </w:tcMar>
            <w:vAlign w:val="center"/>
          </w:tcPr>
          <w:p w14:paraId="4A72230D">
            <w:pPr>
              <w:jc w:val="left"/>
            </w:pPr>
            <w:r>
              <w:rPr>
                <w:rFonts w:ascii="Calibri" w:hAnsi="Calibri" w:eastAsia="Calibri" w:cs="Calibri"/>
                <w:b w:val="0"/>
                <w:bCs w:val="0"/>
                <w:color w:val="333333"/>
                <w:sz w:val="18"/>
                <w:szCs w:val="18"/>
              </w:rPr>
              <w:t>Shared vocabulary (ticket, train, accept, change, booking, travel); TF-IDF cannot infer the underlying action.</w:t>
            </w:r>
          </w:p>
        </w:tc>
        <w:tc>
          <w:tcPr>
            <w:tcW w:w="1500" w:type="dxa"/>
            <w:shd w:val="clear" w:color="auto" w:fill="EDEDED"/>
            <w:tcMar>
              <w:top w:w="40" w:type="dxa"/>
              <w:left w:w="80" w:type="dxa"/>
              <w:bottom w:w="40" w:type="dxa"/>
              <w:right w:w="80" w:type="dxa"/>
            </w:tcMar>
            <w:vAlign w:val="center"/>
          </w:tcPr>
          <w:p w14:paraId="17D7A6C7">
            <w:pPr>
              <w:jc w:val="left"/>
            </w:pPr>
            <w:r>
              <w:rPr>
                <w:rFonts w:ascii="Calibri" w:hAnsi="Calibri" w:eastAsia="Calibri" w:cs="Calibri"/>
                <w:b w:val="0"/>
                <w:bCs w:val="0"/>
                <w:color w:val="333333"/>
                <w:sz w:val="18"/>
                <w:szCs w:val="18"/>
              </w:rPr>
              <w:t>Semantic embeddings + explicit action features.</w:t>
            </w:r>
          </w:p>
        </w:tc>
      </w:tr>
      <w:tr w14:paraId="24E1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40" w:type="dxa"/>
              <w:left w:w="80" w:type="dxa"/>
              <w:bottom w:w="40" w:type="dxa"/>
              <w:right w:w="80" w:type="dxa"/>
            </w:tcMar>
            <w:vAlign w:val="center"/>
          </w:tcPr>
          <w:p w14:paraId="6EDA0CFA">
            <w:pPr>
              <w:jc w:val="left"/>
            </w:pPr>
            <w:r>
              <w:rPr>
                <w:rFonts w:ascii="Calibri" w:hAnsi="Calibri" w:eastAsia="Calibri" w:cs="Calibri"/>
                <w:b w:val="0"/>
                <w:bCs w:val="0"/>
                <w:color w:val="333333"/>
                <w:sz w:val="18"/>
                <w:szCs w:val="18"/>
              </w:rPr>
              <w:t>5. Lexical retrieval ≠ correct resolution</w:t>
            </w:r>
          </w:p>
        </w:tc>
        <w:tc>
          <w:tcPr>
            <w:tcW w:w="1900" w:type="dxa"/>
            <w:tcMar>
              <w:top w:w="40" w:type="dxa"/>
              <w:left w:w="80" w:type="dxa"/>
              <w:bottom w:w="40" w:type="dxa"/>
              <w:right w:w="80" w:type="dxa"/>
            </w:tcMar>
            <w:vAlign w:val="center"/>
          </w:tcPr>
          <w:p w14:paraId="6F106484">
            <w:pPr>
              <w:jc w:val="left"/>
            </w:pPr>
            <w:r>
              <w:rPr>
                <w:rFonts w:ascii="Calibri" w:hAnsi="Calibri" w:eastAsia="Calibri" w:cs="Calibri"/>
                <w:b w:val="0"/>
                <w:bCs w:val="0"/>
                <w:color w:val="333333"/>
                <w:sz w:val="18"/>
                <w:szCs w:val="18"/>
              </w:rPr>
              <w:t>ID 87: ticket-acceptance issue retrieved/predicted as station-related handling.</w:t>
            </w:r>
          </w:p>
        </w:tc>
        <w:tc>
          <w:tcPr>
            <w:tcW w:w="1900" w:type="dxa"/>
            <w:tcMar>
              <w:top w:w="40" w:type="dxa"/>
              <w:left w:w="80" w:type="dxa"/>
              <w:bottom w:w="40" w:type="dxa"/>
              <w:right w:w="80" w:type="dxa"/>
            </w:tcMar>
            <w:vAlign w:val="center"/>
          </w:tcPr>
          <w:p w14:paraId="08319CF7">
            <w:pPr>
              <w:jc w:val="left"/>
            </w:pPr>
            <w:r>
              <w:rPr>
                <w:rFonts w:ascii="Calibri" w:hAnsi="Calibri" w:eastAsia="Calibri" w:cs="Calibri"/>
                <w:b w:val="0"/>
                <w:bCs w:val="0"/>
                <w:color w:val="333333"/>
                <w:sz w:val="18"/>
                <w:szCs w:val="18"/>
              </w:rPr>
              <w:t>TF-IDF is sensitive to shared words, not deep semantic equivalence.</w:t>
            </w:r>
          </w:p>
        </w:tc>
        <w:tc>
          <w:tcPr>
            <w:tcW w:w="1500" w:type="dxa"/>
            <w:tcMar>
              <w:top w:w="40" w:type="dxa"/>
              <w:left w:w="80" w:type="dxa"/>
              <w:bottom w:w="40" w:type="dxa"/>
              <w:right w:w="80" w:type="dxa"/>
            </w:tcMar>
            <w:vAlign w:val="center"/>
          </w:tcPr>
          <w:p w14:paraId="429496F0">
            <w:pPr>
              <w:jc w:val="left"/>
            </w:pPr>
            <w:r>
              <w:rPr>
                <w:rFonts w:ascii="Calibri" w:hAnsi="Calibri" w:eastAsia="Calibri" w:cs="Calibri"/>
                <w:b w:val="0"/>
                <w:bCs w:val="0"/>
                <w:color w:val="333333"/>
                <w:sz w:val="18"/>
                <w:szCs w:val="18"/>
              </w:rPr>
              <w:t>Sentence embeddings + retrieval reranking + resolution-aware retrieval.</w:t>
            </w:r>
          </w:p>
        </w:tc>
      </w:tr>
    </w:tbl>
    <w:p w14:paraId="00E740FE">
      <w:pPr>
        <w:spacing w:before="100" w:after="50"/>
      </w:pPr>
      <w:r>
        <w:rPr>
          <w:rFonts w:ascii="Calibri" w:hAnsi="Calibri" w:eastAsia="Calibri" w:cs="Calibri"/>
          <w:b/>
          <w:bCs/>
          <w:color w:val="1F3864"/>
          <w:sz w:val="23"/>
          <w:szCs w:val="23"/>
        </w:rPr>
        <w:t>Main Confusion Pairs (golden set)</w:t>
      </w:r>
    </w:p>
    <w:p w14:paraId="75F37D6A">
      <w:pPr>
        <w:spacing w:after="60" w:line="264" w:lineRule="auto"/>
      </w:pPr>
      <w:r>
        <w:rPr>
          <w:rFonts w:ascii="Calibri" w:hAnsi="Calibri" w:eastAsia="Calibri" w:cs="Calibri"/>
          <w:b w:val="0"/>
          <w:bCs w:val="0"/>
          <w:i w:val="0"/>
          <w:iCs w:val="0"/>
          <w:color w:val="333333"/>
          <w:sz w:val="18"/>
          <w:szCs w:val="18"/>
        </w:rPr>
        <w:t>other→train_status: 6; other→complaint_feedback: 4; ticket_change→booking_ticket: 3; train_status→other: 3; ticket_change→station_facilities: 3; complaint_feedback→station_facilities: 2; refund_compensation→train_status: 2; ticket_change→train_status: 2; train_status→complaint_feedback: 2; other→lost_property: 2; fare_price→seat_reservation: 2; complaint_feedback→other: 2; complaint_feedback→seat_reservation: 2; refund_compensation→ticket_change: 2; seat_reservation→ticket_change: 2; booking_ticket→station_facilities: 2. Errors cluster around shared ticket/booking/seat/fare vocabulary and short, ambiguous, or emotionally-toned messages overlapping with other, train_status, and complaint_feedback.</w:t>
      </w:r>
    </w:p>
    <w:p w14:paraId="01DCB0E9">
      <w:pPr>
        <w:spacing w:before="100" w:after="50"/>
      </w:pPr>
      <w:r>
        <w:rPr>
          <w:rFonts w:ascii="Calibri" w:hAnsi="Calibri" w:eastAsia="Calibri" w:cs="Calibri"/>
          <w:b/>
          <w:bCs/>
          <w:color w:val="1F3864"/>
          <w:sz w:val="23"/>
          <w:szCs w:val="23"/>
        </w:rPr>
        <w:t>Rejected Experiment: Keyword Multi-Intent Detection</w:t>
      </w:r>
    </w:p>
    <w:p w14:paraId="4C620567">
      <w:pPr>
        <w:spacing w:after="100" w:line="264" w:lineRule="auto"/>
      </w:pPr>
      <w:r>
        <w:rPr>
          <w:rFonts w:ascii="Calibri" w:hAnsi="Calibri" w:eastAsia="Calibri" w:cs="Calibri"/>
          <w:b w:val="0"/>
          <w:bCs w:val="0"/>
          <w:i w:val="0"/>
          <w:iCs w:val="0"/>
          <w:color w:val="333333"/>
          <w:sz w:val="19"/>
          <w:szCs w:val="19"/>
        </w:rPr>
        <w:t>A broad keyword-based multi-intent detector flagged 134/200 examples as potential multi-intent; manual inspection showed substantial over-counting from generic domain words in unrelated messages. It was rejected in favor of one primary intent plus escalation for residual complexity — an explicit, non-obvious engineering decision.</w:t>
      </w:r>
    </w:p>
    <w:p w14:paraId="4E9AE07D">
      <w:pPr>
        <w:pBdr>
          <w:bottom w:val="single" w:color="1F3864" w:sz="6" w:space="2"/>
        </w:pBdr>
        <w:spacing w:before="140" w:after="70"/>
      </w:pPr>
      <w:r>
        <w:rPr>
          <w:rFonts w:ascii="Calibri" w:hAnsi="Calibri" w:eastAsia="Calibri" w:cs="Calibri"/>
          <w:b/>
          <w:bCs/>
          <w:color w:val="1F3864"/>
          <w:sz w:val="30"/>
          <w:szCs w:val="30"/>
        </w:rPr>
        <w:t>What Is Misleading About My Headline Number?</w:t>
      </w:r>
    </w:p>
    <w:p w14:paraId="7FDB2820">
      <w:pPr>
        <w:spacing w:after="40" w:line="264" w:lineRule="auto"/>
      </w:pPr>
      <w:r>
        <w:rPr>
          <w:rFonts w:ascii="Calibri" w:hAnsi="Calibri" w:eastAsia="Calibri" w:cs="Calibri"/>
          <w:b w:val="0"/>
          <w:bCs w:val="0"/>
          <w:i w:val="0"/>
          <w:iCs w:val="0"/>
          <w:color w:val="333333"/>
          <w:sz w:val="19"/>
          <w:szCs w:val="19"/>
        </w:rPr>
        <w:t>Headline number: 65.5% intent accuracy. This is useful but incomplete:</w:t>
      </w:r>
    </w:p>
    <w:p w14:paraId="02A406CE">
      <w:pPr>
        <w:pStyle w:val="19"/>
        <w:numPr>
          <w:ilvl w:val="0"/>
          <w:numId w:val="1"/>
        </w:numPr>
        <w:spacing w:after="30" w:line="252" w:lineRule="auto"/>
      </w:pPr>
      <w:r>
        <w:rPr>
          <w:rFonts w:ascii="Calibri" w:hAnsi="Calibri" w:eastAsia="Calibri" w:cs="Calibri"/>
          <w:color w:val="333333"/>
          <w:sz w:val="18"/>
          <w:szCs w:val="18"/>
        </w:rPr>
        <w:t>Measured on only 200 golden examples.</w:t>
      </w:r>
    </w:p>
    <w:p w14:paraId="21619A32">
      <w:pPr>
        <w:pStyle w:val="19"/>
        <w:numPr>
          <w:ilvl w:val="0"/>
          <w:numId w:val="1"/>
        </w:numPr>
        <w:spacing w:after="30" w:line="252" w:lineRule="auto"/>
      </w:pPr>
      <w:r>
        <w:rPr>
          <w:rFonts w:ascii="Calibri" w:hAnsi="Calibri" w:eastAsia="Calibri" w:cs="Calibri"/>
          <w:color w:val="333333"/>
          <w:sz w:val="18"/>
          <w:szCs w:val="18"/>
        </w:rPr>
        <w:t>Intent accuracy is not end-to-end customer-support success.</w:t>
      </w:r>
    </w:p>
    <w:p w14:paraId="4783091E">
      <w:pPr>
        <w:pStyle w:val="19"/>
        <w:numPr>
          <w:ilvl w:val="0"/>
          <w:numId w:val="1"/>
        </w:numPr>
        <w:spacing w:after="30" w:line="252" w:lineRule="auto"/>
      </w:pPr>
      <w:r>
        <w:rPr>
          <w:rFonts w:ascii="Calibri" w:hAnsi="Calibri" w:eastAsia="Calibri" w:cs="Calibri"/>
          <w:color w:val="333333"/>
          <w:sz w:val="18"/>
          <w:szCs w:val="18"/>
        </w:rPr>
        <w:t>Classes are imbalanced, so accuracy alone can overstate performance — macro-F1 (57.81%) is the more honest figure.</w:t>
      </w:r>
    </w:p>
    <w:p w14:paraId="2988A4D5">
      <w:pPr>
        <w:pStyle w:val="19"/>
        <w:numPr>
          <w:ilvl w:val="0"/>
          <w:numId w:val="1"/>
        </w:numPr>
        <w:spacing w:after="30" w:line="252" w:lineRule="auto"/>
      </w:pPr>
      <w:r>
        <w:rPr>
          <w:rFonts w:ascii="Calibri" w:hAnsi="Calibri" w:eastAsia="Calibri" w:cs="Calibri"/>
          <w:color w:val="333333"/>
          <w:sz w:val="18"/>
          <w:szCs w:val="18"/>
        </w:rPr>
        <w:t>lost_property has zero golden-set examples and is therefore unmeasured, not failed.</w:t>
      </w:r>
    </w:p>
    <w:p w14:paraId="78D910B7">
      <w:pPr>
        <w:pStyle w:val="19"/>
        <w:numPr>
          <w:ilvl w:val="0"/>
          <w:numId w:val="1"/>
        </w:numPr>
        <w:spacing w:after="30" w:line="252" w:lineRule="auto"/>
      </w:pPr>
      <w:r>
        <w:rPr>
          <w:rFonts w:ascii="Calibri" w:hAnsi="Calibri" w:eastAsia="Calibri" w:cs="Calibri"/>
          <w:color w:val="333333"/>
          <w:sz w:val="18"/>
          <w:szCs w:val="18"/>
        </w:rPr>
        <w:t>Escalation performance is markedly weaker: 52.50% (standalone gate) and 53.00% (leakage-safe reply evaluation).</w:t>
      </w:r>
    </w:p>
    <w:p w14:paraId="0E5FB9F7">
      <w:pPr>
        <w:pStyle w:val="19"/>
        <w:numPr>
          <w:ilvl w:val="0"/>
          <w:numId w:val="1"/>
        </w:numPr>
        <w:spacing w:after="30" w:line="252" w:lineRule="auto"/>
      </w:pPr>
      <w:r>
        <w:rPr>
          <w:rFonts w:ascii="Calibri" w:hAnsi="Calibri" w:eastAsia="Calibri" w:cs="Calibri"/>
          <w:color w:val="333333"/>
          <w:sz w:val="18"/>
          <w:szCs w:val="18"/>
        </w:rPr>
        <w:t>Retrieval similarity (avg. 0.232) is not equivalent to correct evidence.</w:t>
      </w:r>
    </w:p>
    <w:p w14:paraId="02BD029C">
      <w:pPr>
        <w:pStyle w:val="19"/>
        <w:numPr>
          <w:ilvl w:val="0"/>
          <w:numId w:val="1"/>
        </w:numPr>
        <w:spacing w:after="30" w:line="252" w:lineRule="auto"/>
      </w:pPr>
      <w:r>
        <w:rPr>
          <w:rFonts w:ascii="Calibri" w:hAnsi="Calibri" w:eastAsia="Calibri" w:cs="Calibri"/>
          <w:color w:val="333333"/>
          <w:sz w:val="18"/>
          <w:szCs w:val="18"/>
        </w:rPr>
        <w:t>Reply quality is moderate: avg. lexical grounding 0.190; intent-relevant replies 136/200.</w:t>
      </w:r>
    </w:p>
    <w:p w14:paraId="541B2A45">
      <w:pPr>
        <w:pStyle w:val="19"/>
        <w:numPr>
          <w:ilvl w:val="0"/>
          <w:numId w:val="1"/>
        </w:numPr>
        <w:spacing w:after="30" w:line="252" w:lineRule="auto"/>
      </w:pPr>
      <w:r>
        <w:rPr>
          <w:rFonts w:ascii="Calibri" w:hAnsi="Calibri" w:eastAsia="Calibri" w:cs="Calibri"/>
          <w:color w:val="333333"/>
          <w:sz w:val="18"/>
          <w:szCs w:val="18"/>
        </w:rPr>
        <w:t>LLM judge overall is 3.64/5, with helpfulness 2.72/5 and grounding 2.88/5 notably lower than safety/tone (5.00/5 each).</w:t>
      </w:r>
    </w:p>
    <w:p w14:paraId="49D071E9">
      <w:pPr>
        <w:pStyle w:val="19"/>
        <w:numPr>
          <w:ilvl w:val="0"/>
          <w:numId w:val="1"/>
        </w:numPr>
        <w:spacing w:after="30" w:line="252" w:lineRule="auto"/>
      </w:pPr>
      <w:r>
        <w:rPr>
          <w:rFonts w:ascii="Calibri" w:hAnsi="Calibri" w:eastAsia="Calibri" w:cs="Calibri"/>
          <w:color w:val="333333"/>
          <w:sz w:val="18"/>
          <w:szCs w:val="18"/>
        </w:rPr>
        <w:t>Historical VirginTrains support behavior may not represent current policy.</w:t>
      </w:r>
    </w:p>
    <w:p w14:paraId="119BEADF">
      <w:pPr>
        <w:pStyle w:val="19"/>
        <w:numPr>
          <w:ilvl w:val="0"/>
          <w:numId w:val="1"/>
        </w:numPr>
        <w:spacing w:after="30" w:line="252" w:lineRule="auto"/>
      </w:pPr>
      <w:r>
        <w:rPr>
          <w:rFonts w:ascii="Calibri" w:hAnsi="Calibri" w:eastAsia="Calibri" w:cs="Calibri"/>
          <w:color w:val="333333"/>
          <w:sz w:val="18"/>
          <w:szCs w:val="18"/>
        </w:rPr>
        <w:t>The system is currently stronger at intent routing than at fully autonomous resolution.</w:t>
      </w:r>
    </w:p>
    <w:p w14:paraId="32E2CE7F">
      <w:pPr>
        <w:spacing w:after="0" w:line="264" w:lineRule="auto"/>
      </w:pPr>
      <w:r>
        <w:rPr>
          <w:rFonts w:ascii="Calibri" w:hAnsi="Calibri" w:eastAsia="Calibri" w:cs="Calibri"/>
          <w:b/>
          <w:bCs/>
          <w:i w:val="0"/>
          <w:iCs w:val="0"/>
          <w:color w:val="333333"/>
          <w:sz w:val="18"/>
          <w:szCs w:val="18"/>
        </w:rPr>
        <w:t>65.5% should therefore be interpreted as a golden-set intent-classification result, not as a 65.5% end-to-end customer-support success rate.</w:t>
      </w:r>
    </w:p>
    <w:p w14:paraId="699007AB">
      <w:pPr>
        <w:pBdr>
          <w:bottom w:val="single" w:color="1F3864" w:sz="6" w:space="2"/>
        </w:pBdr>
        <w:spacing w:before="140" w:after="70"/>
      </w:pPr>
      <w:r>
        <w:rPr>
          <w:rFonts w:ascii="Calibri" w:hAnsi="Calibri" w:eastAsia="Calibri" w:cs="Calibri"/>
          <w:b/>
          <w:bCs/>
          <w:color w:val="1F3864"/>
          <w:sz w:val="30"/>
          <w:szCs w:val="30"/>
        </w:rPr>
        <w:t>Key Engineering Decisions</w:t>
      </w: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2400"/>
      </w:tblGrid>
      <w:tr w14:paraId="17147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40" w:type="dxa"/>
              <w:left w:w="80" w:type="dxa"/>
              <w:bottom w:w="40" w:type="dxa"/>
              <w:right w:w="80" w:type="dxa"/>
            </w:tcMar>
            <w:vAlign w:val="center"/>
          </w:tcPr>
          <w:p w14:paraId="28C8CCAC">
            <w:pPr>
              <w:jc w:val="left"/>
            </w:pPr>
            <w:r>
              <w:rPr>
                <w:rFonts w:ascii="Calibri" w:hAnsi="Calibri" w:eastAsia="Calibri" w:cs="Calibri"/>
                <w:b/>
                <w:bCs/>
                <w:color w:val="FFFFFF"/>
                <w:sz w:val="18"/>
                <w:szCs w:val="18"/>
              </w:rPr>
              <w:t>Decision</w:t>
            </w:r>
          </w:p>
        </w:tc>
        <w:tc>
          <w:tcPr>
            <w:tcW w:w="3000" w:type="dxa"/>
            <w:shd w:val="clear" w:color="auto" w:fill="1F3864"/>
            <w:tcMar>
              <w:top w:w="40" w:type="dxa"/>
              <w:left w:w="80" w:type="dxa"/>
              <w:bottom w:w="40" w:type="dxa"/>
              <w:right w:w="80" w:type="dxa"/>
            </w:tcMar>
            <w:vAlign w:val="center"/>
          </w:tcPr>
          <w:p w14:paraId="6C7C5DA9">
            <w:pPr>
              <w:jc w:val="left"/>
            </w:pPr>
            <w:r>
              <w:rPr>
                <w:rFonts w:ascii="Calibri" w:hAnsi="Calibri" w:eastAsia="Calibri" w:cs="Calibri"/>
                <w:b/>
                <w:bCs/>
                <w:color w:val="FFFFFF"/>
                <w:sz w:val="18"/>
                <w:szCs w:val="18"/>
              </w:rPr>
              <w:t>Reason</w:t>
            </w:r>
          </w:p>
        </w:tc>
        <w:tc>
          <w:tcPr>
            <w:tcW w:w="2400" w:type="dxa"/>
            <w:shd w:val="clear" w:color="auto" w:fill="1F3864"/>
            <w:tcMar>
              <w:top w:w="40" w:type="dxa"/>
              <w:left w:w="80" w:type="dxa"/>
              <w:bottom w:w="40" w:type="dxa"/>
              <w:right w:w="80" w:type="dxa"/>
            </w:tcMar>
            <w:vAlign w:val="center"/>
          </w:tcPr>
          <w:p w14:paraId="59A4B7A4">
            <w:pPr>
              <w:jc w:val="left"/>
            </w:pPr>
            <w:r>
              <w:rPr>
                <w:rFonts w:ascii="Calibri" w:hAnsi="Calibri" w:eastAsia="Calibri" w:cs="Calibri"/>
                <w:b/>
                <w:bCs/>
                <w:color w:val="FFFFFF"/>
                <w:sz w:val="18"/>
                <w:szCs w:val="18"/>
              </w:rPr>
              <w:t>Engineering Impact</w:t>
            </w:r>
          </w:p>
        </w:tc>
      </w:tr>
      <w:tr w14:paraId="6D9B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0D47BC2A">
            <w:pPr>
              <w:jc w:val="left"/>
            </w:pPr>
            <w:r>
              <w:rPr>
                <w:rFonts w:ascii="Calibri" w:hAnsi="Calibri" w:eastAsia="Calibri" w:cs="Calibri"/>
                <w:b w:val="0"/>
                <w:bCs w:val="0"/>
                <w:color w:val="333333"/>
                <w:sz w:val="18"/>
                <w:szCs w:val="18"/>
              </w:rPr>
              <w:t>Select VirginTrains, not the largest brand</w:t>
            </w:r>
          </w:p>
        </w:tc>
        <w:tc>
          <w:tcPr>
            <w:tcW w:w="3000" w:type="dxa"/>
            <w:tcMar>
              <w:top w:w="40" w:type="dxa"/>
              <w:left w:w="80" w:type="dxa"/>
              <w:bottom w:w="40" w:type="dxa"/>
              <w:right w:w="80" w:type="dxa"/>
            </w:tcMar>
            <w:vAlign w:val="center"/>
          </w:tcPr>
          <w:p w14:paraId="0F57A593">
            <w:pPr>
              <w:jc w:val="left"/>
            </w:pPr>
            <w:r>
              <w:rPr>
                <w:rFonts w:ascii="Calibri" w:hAnsi="Calibri" w:eastAsia="Calibri" w:cs="Calibri"/>
                <w:b w:val="0"/>
                <w:bCs w:val="0"/>
                <w:color w:val="333333"/>
                <w:sz w:val="18"/>
                <w:szCs w:val="18"/>
              </w:rPr>
              <w:t>Substantial linked volume, diverse scenarios, practical scope</w:t>
            </w:r>
          </w:p>
        </w:tc>
        <w:tc>
          <w:tcPr>
            <w:tcW w:w="2400" w:type="dxa"/>
            <w:tcMar>
              <w:top w:w="40" w:type="dxa"/>
              <w:left w:w="80" w:type="dxa"/>
              <w:bottom w:w="40" w:type="dxa"/>
              <w:right w:w="80" w:type="dxa"/>
            </w:tcMar>
            <w:vAlign w:val="center"/>
          </w:tcPr>
          <w:p w14:paraId="3C4CD628">
            <w:pPr>
              <w:jc w:val="left"/>
            </w:pPr>
            <w:r>
              <w:rPr>
                <w:rFonts w:ascii="Calibri" w:hAnsi="Calibri" w:eastAsia="Calibri" w:cs="Calibri"/>
                <w:b w:val="0"/>
                <w:bCs w:val="0"/>
                <w:color w:val="333333"/>
                <w:sz w:val="18"/>
                <w:szCs w:val="18"/>
              </w:rPr>
              <w:t>Feasible single-brand scope within assignment time</w:t>
            </w:r>
          </w:p>
        </w:tc>
      </w:tr>
      <w:tr w14:paraId="70B2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DEDED"/>
            <w:tcMar>
              <w:top w:w="40" w:type="dxa"/>
              <w:left w:w="80" w:type="dxa"/>
              <w:bottom w:w="40" w:type="dxa"/>
              <w:right w:w="80" w:type="dxa"/>
            </w:tcMar>
            <w:vAlign w:val="center"/>
          </w:tcPr>
          <w:p w14:paraId="7B9A6C41">
            <w:pPr>
              <w:jc w:val="left"/>
            </w:pPr>
            <w:r>
              <w:rPr>
                <w:rFonts w:ascii="Calibri" w:hAnsi="Calibri" w:eastAsia="Calibri" w:cs="Calibri"/>
                <w:b w:val="0"/>
                <w:bCs w:val="0"/>
                <w:color w:val="333333"/>
                <w:sz w:val="18"/>
                <w:szCs w:val="18"/>
              </w:rPr>
              <w:t>Treat outbound tweets as support responses</w:t>
            </w:r>
          </w:p>
        </w:tc>
        <w:tc>
          <w:tcPr>
            <w:tcW w:w="3000" w:type="dxa"/>
            <w:shd w:val="clear" w:color="auto" w:fill="EDEDED"/>
            <w:tcMar>
              <w:top w:w="40" w:type="dxa"/>
              <w:left w:w="80" w:type="dxa"/>
              <w:bottom w:w="40" w:type="dxa"/>
              <w:right w:w="80" w:type="dxa"/>
            </w:tcMar>
            <w:vAlign w:val="center"/>
          </w:tcPr>
          <w:p w14:paraId="442F6277">
            <w:pPr>
              <w:jc w:val="left"/>
            </w:pPr>
            <w:r>
              <w:rPr>
                <w:rFonts w:ascii="Calibri" w:hAnsi="Calibri" w:eastAsia="Calibri" w:cs="Calibri"/>
                <w:b w:val="0"/>
                <w:bCs w:val="0"/>
                <w:color w:val="333333"/>
                <w:sz w:val="18"/>
                <w:szCs w:val="18"/>
              </w:rPr>
              <w:t>These are the brand's actual replies</w:t>
            </w:r>
          </w:p>
        </w:tc>
        <w:tc>
          <w:tcPr>
            <w:tcW w:w="2400" w:type="dxa"/>
            <w:shd w:val="clear" w:color="auto" w:fill="EDEDED"/>
            <w:tcMar>
              <w:top w:w="40" w:type="dxa"/>
              <w:left w:w="80" w:type="dxa"/>
              <w:bottom w:w="40" w:type="dxa"/>
              <w:right w:w="80" w:type="dxa"/>
            </w:tcMar>
            <w:vAlign w:val="center"/>
          </w:tcPr>
          <w:p w14:paraId="6CF9215B">
            <w:pPr>
              <w:jc w:val="left"/>
            </w:pPr>
            <w:r>
              <w:rPr>
                <w:rFonts w:ascii="Calibri" w:hAnsi="Calibri" w:eastAsia="Calibri" w:cs="Calibri"/>
                <w:b w:val="0"/>
                <w:bCs w:val="0"/>
                <w:color w:val="333333"/>
                <w:sz w:val="18"/>
                <w:szCs w:val="18"/>
              </w:rPr>
              <w:t>Correct response-side signal for linkage/retrieval</w:t>
            </w:r>
          </w:p>
        </w:tc>
      </w:tr>
      <w:tr w14:paraId="11919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2E61906B">
            <w:pPr>
              <w:jc w:val="left"/>
            </w:pPr>
            <w:r>
              <w:rPr>
                <w:rFonts w:ascii="Calibri" w:hAnsi="Calibri" w:eastAsia="Calibri" w:cs="Calibri"/>
                <w:b w:val="0"/>
                <w:bCs w:val="0"/>
                <w:color w:val="333333"/>
                <w:sz w:val="18"/>
                <w:szCs w:val="18"/>
              </w:rPr>
              <w:t>Link via response_tweet_id / in_response_to_tweet_id</w:t>
            </w:r>
          </w:p>
        </w:tc>
        <w:tc>
          <w:tcPr>
            <w:tcW w:w="3000" w:type="dxa"/>
            <w:tcMar>
              <w:top w:w="40" w:type="dxa"/>
              <w:left w:w="80" w:type="dxa"/>
              <w:bottom w:w="40" w:type="dxa"/>
              <w:right w:w="80" w:type="dxa"/>
            </w:tcMar>
            <w:vAlign w:val="center"/>
          </w:tcPr>
          <w:p w14:paraId="12924EC0">
            <w:pPr>
              <w:jc w:val="left"/>
            </w:pPr>
            <w:r>
              <w:rPr>
                <w:rFonts w:ascii="Calibri" w:hAnsi="Calibri" w:eastAsia="Calibri" w:cs="Calibri"/>
                <w:b w:val="0"/>
                <w:bCs w:val="0"/>
                <w:color w:val="333333"/>
                <w:sz w:val="18"/>
                <w:szCs w:val="18"/>
              </w:rPr>
              <w:t>More reliable than timestamp heuristics</w:t>
            </w:r>
          </w:p>
        </w:tc>
        <w:tc>
          <w:tcPr>
            <w:tcW w:w="2400" w:type="dxa"/>
            <w:tcMar>
              <w:top w:w="40" w:type="dxa"/>
              <w:left w:w="80" w:type="dxa"/>
              <w:bottom w:w="40" w:type="dxa"/>
              <w:right w:w="80" w:type="dxa"/>
            </w:tcMar>
            <w:vAlign w:val="center"/>
          </w:tcPr>
          <w:p w14:paraId="70A80AEC">
            <w:pPr>
              <w:jc w:val="left"/>
            </w:pPr>
            <w:r>
              <w:rPr>
                <w:rFonts w:ascii="Calibri" w:hAnsi="Calibri" w:eastAsia="Calibri" w:cs="Calibri"/>
                <w:b w:val="0"/>
                <w:bCs w:val="0"/>
                <w:color w:val="333333"/>
                <w:sz w:val="18"/>
                <w:szCs w:val="18"/>
              </w:rPr>
              <w:t>Cleaner customer-brand pairs</w:t>
            </w:r>
          </w:p>
        </w:tc>
      </w:tr>
      <w:tr w14:paraId="3AAC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DEDED"/>
            <w:tcMar>
              <w:top w:w="40" w:type="dxa"/>
              <w:left w:w="80" w:type="dxa"/>
              <w:bottom w:w="40" w:type="dxa"/>
              <w:right w:w="80" w:type="dxa"/>
            </w:tcMar>
            <w:vAlign w:val="center"/>
          </w:tcPr>
          <w:p w14:paraId="77A4BF42">
            <w:pPr>
              <w:jc w:val="left"/>
            </w:pPr>
            <w:r>
              <w:rPr>
                <w:rFonts w:ascii="Calibri" w:hAnsi="Calibri" w:eastAsia="Calibri" w:cs="Calibri"/>
                <w:b w:val="0"/>
                <w:bCs w:val="0"/>
                <w:color w:val="333333"/>
                <w:sz w:val="18"/>
                <w:szCs w:val="18"/>
              </w:rPr>
              <w:t>Streaming two-pass processing</w:t>
            </w:r>
          </w:p>
        </w:tc>
        <w:tc>
          <w:tcPr>
            <w:tcW w:w="3000" w:type="dxa"/>
            <w:shd w:val="clear" w:color="auto" w:fill="EDEDED"/>
            <w:tcMar>
              <w:top w:w="40" w:type="dxa"/>
              <w:left w:w="80" w:type="dxa"/>
              <w:bottom w:w="40" w:type="dxa"/>
              <w:right w:w="80" w:type="dxa"/>
            </w:tcMar>
            <w:vAlign w:val="center"/>
          </w:tcPr>
          <w:p w14:paraId="59615B55">
            <w:pPr>
              <w:jc w:val="left"/>
            </w:pPr>
            <w:r>
              <w:rPr>
                <w:rFonts w:ascii="Calibri" w:hAnsi="Calibri" w:eastAsia="Calibri" w:cs="Calibri"/>
                <w:b w:val="0"/>
                <w:bCs w:val="0"/>
                <w:color w:val="333333"/>
                <w:sz w:val="18"/>
                <w:szCs w:val="18"/>
              </w:rPr>
              <w:t>Raw file ~492.58 MB, millions of rows</w:t>
            </w:r>
          </w:p>
        </w:tc>
        <w:tc>
          <w:tcPr>
            <w:tcW w:w="2400" w:type="dxa"/>
            <w:shd w:val="clear" w:color="auto" w:fill="EDEDED"/>
            <w:tcMar>
              <w:top w:w="40" w:type="dxa"/>
              <w:left w:w="80" w:type="dxa"/>
              <w:bottom w:w="40" w:type="dxa"/>
              <w:right w:w="80" w:type="dxa"/>
            </w:tcMar>
            <w:vAlign w:val="center"/>
          </w:tcPr>
          <w:p w14:paraId="37977131">
            <w:pPr>
              <w:jc w:val="left"/>
            </w:pPr>
            <w:r>
              <w:rPr>
                <w:rFonts w:ascii="Calibri" w:hAnsi="Calibri" w:eastAsia="Calibri" w:cs="Calibri"/>
                <w:b w:val="0"/>
                <w:bCs w:val="0"/>
                <w:color w:val="333333"/>
                <w:sz w:val="18"/>
                <w:szCs w:val="18"/>
              </w:rPr>
              <w:t>Avoids full in-memory load</w:t>
            </w:r>
          </w:p>
        </w:tc>
      </w:tr>
      <w:tr w14:paraId="11D6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7DC03859">
            <w:pPr>
              <w:jc w:val="left"/>
            </w:pPr>
            <w:r>
              <w:rPr>
                <w:rFonts w:ascii="Calibri" w:hAnsi="Calibri" w:eastAsia="Calibri" w:cs="Calibri"/>
                <w:b w:val="0"/>
                <w:bCs w:val="0"/>
                <w:color w:val="333333"/>
                <w:sz w:val="18"/>
                <w:szCs w:val="18"/>
              </w:rPr>
              <w:t>11-intent taxonomy incl. "other"</w:t>
            </w:r>
          </w:p>
        </w:tc>
        <w:tc>
          <w:tcPr>
            <w:tcW w:w="3000" w:type="dxa"/>
            <w:tcMar>
              <w:top w:w="40" w:type="dxa"/>
              <w:left w:w="80" w:type="dxa"/>
              <w:bottom w:w="40" w:type="dxa"/>
              <w:right w:w="80" w:type="dxa"/>
            </w:tcMar>
            <w:vAlign w:val="center"/>
          </w:tcPr>
          <w:p w14:paraId="6AFE9DBF">
            <w:pPr>
              <w:jc w:val="left"/>
            </w:pPr>
            <w:r>
              <w:rPr>
                <w:rFonts w:ascii="Calibri" w:hAnsi="Calibri" w:eastAsia="Calibri" w:cs="Calibri"/>
                <w:b w:val="0"/>
                <w:bCs w:val="0"/>
                <w:color w:val="333333"/>
                <w:sz w:val="18"/>
                <w:szCs w:val="18"/>
              </w:rPr>
              <w:t>Balances granularity vs. rare-class fragmentation</w:t>
            </w:r>
          </w:p>
        </w:tc>
        <w:tc>
          <w:tcPr>
            <w:tcW w:w="2400" w:type="dxa"/>
            <w:tcMar>
              <w:top w:w="40" w:type="dxa"/>
              <w:left w:w="80" w:type="dxa"/>
              <w:bottom w:w="40" w:type="dxa"/>
              <w:right w:w="80" w:type="dxa"/>
            </w:tcMar>
            <w:vAlign w:val="center"/>
          </w:tcPr>
          <w:p w14:paraId="0851C34A">
            <w:pPr>
              <w:jc w:val="left"/>
            </w:pPr>
            <w:r>
              <w:rPr>
                <w:rFonts w:ascii="Calibri" w:hAnsi="Calibri" w:eastAsia="Calibri" w:cs="Calibri"/>
                <w:b w:val="0"/>
                <w:bCs w:val="0"/>
                <w:color w:val="333333"/>
                <w:sz w:val="18"/>
                <w:szCs w:val="18"/>
              </w:rPr>
              <w:t>Avoids forcing unrelated messages into wrong classes</w:t>
            </w:r>
          </w:p>
        </w:tc>
      </w:tr>
      <w:tr w14:paraId="77A9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DEDED"/>
            <w:tcMar>
              <w:top w:w="40" w:type="dxa"/>
              <w:left w:w="80" w:type="dxa"/>
              <w:bottom w:w="40" w:type="dxa"/>
              <w:right w:w="80" w:type="dxa"/>
            </w:tcMar>
            <w:vAlign w:val="center"/>
          </w:tcPr>
          <w:p w14:paraId="59A708FB">
            <w:pPr>
              <w:jc w:val="left"/>
            </w:pPr>
            <w:r>
              <w:rPr>
                <w:rFonts w:ascii="Calibri" w:hAnsi="Calibri" w:eastAsia="Calibri" w:cs="Calibri"/>
                <w:b w:val="0"/>
                <w:bCs w:val="0"/>
                <w:color w:val="333333"/>
                <w:sz w:val="18"/>
                <w:szCs w:val="18"/>
              </w:rPr>
              <w:t>Single primary intent + escalation</w:t>
            </w:r>
          </w:p>
        </w:tc>
        <w:tc>
          <w:tcPr>
            <w:tcW w:w="3000" w:type="dxa"/>
            <w:shd w:val="clear" w:color="auto" w:fill="EDEDED"/>
            <w:tcMar>
              <w:top w:w="40" w:type="dxa"/>
              <w:left w:w="80" w:type="dxa"/>
              <w:bottom w:w="40" w:type="dxa"/>
              <w:right w:w="80" w:type="dxa"/>
            </w:tcMar>
            <w:vAlign w:val="center"/>
          </w:tcPr>
          <w:p w14:paraId="47FE2B6F">
            <w:pPr>
              <w:jc w:val="left"/>
            </w:pPr>
            <w:r>
              <w:rPr>
                <w:rFonts w:ascii="Calibri" w:hAnsi="Calibri" w:eastAsia="Calibri" w:cs="Calibri"/>
                <w:b w:val="0"/>
                <w:bCs w:val="0"/>
                <w:color w:val="333333"/>
                <w:sz w:val="18"/>
                <w:szCs w:val="18"/>
              </w:rPr>
              <w:t>No reliable multi-label ground truth; keyword multi-intent over-flagged 134/200</w:t>
            </w:r>
          </w:p>
        </w:tc>
        <w:tc>
          <w:tcPr>
            <w:tcW w:w="2400" w:type="dxa"/>
            <w:shd w:val="clear" w:color="auto" w:fill="EDEDED"/>
            <w:tcMar>
              <w:top w:w="40" w:type="dxa"/>
              <w:left w:w="80" w:type="dxa"/>
              <w:bottom w:w="40" w:type="dxa"/>
              <w:right w:w="80" w:type="dxa"/>
            </w:tcMar>
            <w:vAlign w:val="center"/>
          </w:tcPr>
          <w:p w14:paraId="75D9B784">
            <w:pPr>
              <w:jc w:val="left"/>
            </w:pPr>
            <w:r>
              <w:rPr>
                <w:rFonts w:ascii="Calibri" w:hAnsi="Calibri" w:eastAsia="Calibri" w:cs="Calibri"/>
                <w:b w:val="0"/>
                <w:bCs w:val="0"/>
                <w:color w:val="333333"/>
                <w:sz w:val="18"/>
                <w:szCs w:val="18"/>
              </w:rPr>
              <w:t>Escalation absorbs residual complexity safely</w:t>
            </w:r>
          </w:p>
        </w:tc>
      </w:tr>
      <w:tr w14:paraId="7B77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29391226">
            <w:pPr>
              <w:jc w:val="left"/>
            </w:pPr>
            <w:r>
              <w:rPr>
                <w:rFonts w:ascii="Calibri" w:hAnsi="Calibri" w:eastAsia="Calibri" w:cs="Calibri"/>
                <w:b w:val="0"/>
                <w:bCs w:val="0"/>
                <w:color w:val="333333"/>
                <w:sz w:val="18"/>
                <w:szCs w:val="18"/>
              </w:rPr>
              <w:t>200-example human-reviewed golden set</w:t>
            </w:r>
          </w:p>
        </w:tc>
        <w:tc>
          <w:tcPr>
            <w:tcW w:w="3000" w:type="dxa"/>
            <w:tcMar>
              <w:top w:w="40" w:type="dxa"/>
              <w:left w:w="80" w:type="dxa"/>
              <w:bottom w:w="40" w:type="dxa"/>
              <w:right w:w="80" w:type="dxa"/>
            </w:tcMar>
            <w:vAlign w:val="center"/>
          </w:tcPr>
          <w:p w14:paraId="751734CF">
            <w:pPr>
              <w:jc w:val="left"/>
            </w:pPr>
            <w:r>
              <w:rPr>
                <w:rFonts w:ascii="Calibri" w:hAnsi="Calibri" w:eastAsia="Calibri" w:cs="Calibri"/>
                <w:b w:val="0"/>
                <w:bCs w:val="0"/>
                <w:color w:val="333333"/>
                <w:sz w:val="18"/>
                <w:szCs w:val="18"/>
              </w:rPr>
              <w:t>Balances labeling effort vs. evaluation usefulness</w:t>
            </w:r>
          </w:p>
        </w:tc>
        <w:tc>
          <w:tcPr>
            <w:tcW w:w="2400" w:type="dxa"/>
            <w:tcMar>
              <w:top w:w="40" w:type="dxa"/>
              <w:left w:w="80" w:type="dxa"/>
              <w:bottom w:w="40" w:type="dxa"/>
              <w:right w:w="80" w:type="dxa"/>
            </w:tcMar>
            <w:vAlign w:val="center"/>
          </w:tcPr>
          <w:p w14:paraId="6A2AFA77">
            <w:pPr>
              <w:jc w:val="left"/>
            </w:pPr>
            <w:r>
              <w:rPr>
                <w:rFonts w:ascii="Calibri" w:hAnsi="Calibri" w:eastAsia="Calibri" w:cs="Calibri"/>
                <w:b w:val="0"/>
                <w:bCs w:val="0"/>
                <w:color w:val="333333"/>
                <w:sz w:val="18"/>
                <w:szCs w:val="18"/>
              </w:rPr>
              <w:t>Trustworthy evaluation signal, human-final-decision</w:t>
            </w:r>
          </w:p>
        </w:tc>
      </w:tr>
      <w:tr w14:paraId="05D1A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DEDED"/>
            <w:tcMar>
              <w:top w:w="40" w:type="dxa"/>
              <w:left w:w="80" w:type="dxa"/>
              <w:bottom w:w="40" w:type="dxa"/>
              <w:right w:w="80" w:type="dxa"/>
            </w:tcMar>
            <w:vAlign w:val="center"/>
          </w:tcPr>
          <w:p w14:paraId="32334FF4">
            <w:pPr>
              <w:jc w:val="left"/>
            </w:pPr>
            <w:r>
              <w:rPr>
                <w:rFonts w:ascii="Calibri" w:hAnsi="Calibri" w:eastAsia="Calibri" w:cs="Calibri"/>
                <w:b w:val="0"/>
                <w:bCs w:val="0"/>
                <w:color w:val="333333"/>
                <w:sz w:val="18"/>
                <w:szCs w:val="18"/>
              </w:rPr>
              <w:t>Exclude golden examples from training/retrieval</w:t>
            </w:r>
          </w:p>
        </w:tc>
        <w:tc>
          <w:tcPr>
            <w:tcW w:w="3000" w:type="dxa"/>
            <w:shd w:val="clear" w:color="auto" w:fill="EDEDED"/>
            <w:tcMar>
              <w:top w:w="40" w:type="dxa"/>
              <w:left w:w="80" w:type="dxa"/>
              <w:bottom w:w="40" w:type="dxa"/>
              <w:right w:w="80" w:type="dxa"/>
            </w:tcMar>
            <w:vAlign w:val="center"/>
          </w:tcPr>
          <w:p w14:paraId="4B4AF75E">
            <w:pPr>
              <w:jc w:val="left"/>
            </w:pPr>
            <w:r>
              <w:rPr>
                <w:rFonts w:ascii="Calibri" w:hAnsi="Calibri" w:eastAsia="Calibri" w:cs="Calibri"/>
                <w:b w:val="0"/>
                <w:bCs w:val="0"/>
                <w:color w:val="333333"/>
                <w:sz w:val="18"/>
                <w:szCs w:val="18"/>
              </w:rPr>
              <w:t>Prevent evaluation leakage</w:t>
            </w:r>
          </w:p>
        </w:tc>
        <w:tc>
          <w:tcPr>
            <w:tcW w:w="2400" w:type="dxa"/>
            <w:shd w:val="clear" w:color="auto" w:fill="EDEDED"/>
            <w:tcMar>
              <w:top w:w="40" w:type="dxa"/>
              <w:left w:w="80" w:type="dxa"/>
              <w:bottom w:w="40" w:type="dxa"/>
              <w:right w:w="80" w:type="dxa"/>
            </w:tcMar>
            <w:vAlign w:val="center"/>
          </w:tcPr>
          <w:p w14:paraId="1203E1D5">
            <w:pPr>
              <w:jc w:val="left"/>
            </w:pPr>
            <w:r>
              <w:rPr>
                <w:rFonts w:ascii="Calibri" w:hAnsi="Calibri" w:eastAsia="Calibri" w:cs="Calibri"/>
                <w:b w:val="0"/>
                <w:bCs w:val="0"/>
                <w:color w:val="333333"/>
                <w:sz w:val="18"/>
                <w:szCs w:val="18"/>
              </w:rPr>
              <w:t>195/200 matched &amp; excluded; 0 leakage in final run</w:t>
            </w:r>
          </w:p>
        </w:tc>
      </w:tr>
      <w:tr w14:paraId="653A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3648ABB">
            <w:pPr>
              <w:jc w:val="left"/>
            </w:pPr>
            <w:r>
              <w:rPr>
                <w:rFonts w:ascii="Calibri" w:hAnsi="Calibri" w:eastAsia="Calibri" w:cs="Calibri"/>
                <w:b w:val="0"/>
                <w:bCs w:val="0"/>
                <w:color w:val="333333"/>
                <w:sz w:val="18"/>
                <w:szCs w:val="18"/>
              </w:rPr>
              <w:t>TF-IDF + Logistic Regression</w:t>
            </w:r>
          </w:p>
        </w:tc>
        <w:tc>
          <w:tcPr>
            <w:tcW w:w="3000" w:type="dxa"/>
            <w:tcMar>
              <w:top w:w="40" w:type="dxa"/>
              <w:left w:w="80" w:type="dxa"/>
              <w:bottom w:w="40" w:type="dxa"/>
              <w:right w:w="80" w:type="dxa"/>
            </w:tcMar>
            <w:vAlign w:val="center"/>
          </w:tcPr>
          <w:p w14:paraId="7F6D2B4B">
            <w:pPr>
              <w:jc w:val="left"/>
            </w:pPr>
            <w:r>
              <w:rPr>
                <w:rFonts w:ascii="Calibri" w:hAnsi="Calibri" w:eastAsia="Calibri" w:cs="Calibri"/>
                <w:b w:val="0"/>
                <w:bCs w:val="0"/>
                <w:color w:val="333333"/>
                <w:sz w:val="18"/>
                <w:szCs w:val="18"/>
              </w:rPr>
              <w:t>Fast, interpretable, reproducible baseline</w:t>
            </w:r>
          </w:p>
        </w:tc>
        <w:tc>
          <w:tcPr>
            <w:tcW w:w="2400" w:type="dxa"/>
            <w:tcMar>
              <w:top w:w="40" w:type="dxa"/>
              <w:left w:w="80" w:type="dxa"/>
              <w:bottom w:w="40" w:type="dxa"/>
              <w:right w:w="80" w:type="dxa"/>
            </w:tcMar>
            <w:vAlign w:val="center"/>
          </w:tcPr>
          <w:p w14:paraId="7371F448">
            <w:pPr>
              <w:jc w:val="left"/>
            </w:pPr>
            <w:r>
              <w:rPr>
                <w:rFonts w:ascii="Calibri" w:hAnsi="Calibri" w:eastAsia="Calibri" w:cs="Calibri"/>
                <w:b w:val="0"/>
                <w:bCs w:val="0"/>
                <w:color w:val="333333"/>
                <w:sz w:val="18"/>
                <w:szCs w:val="18"/>
              </w:rPr>
              <w:t>No novelty claim; enables clean ablation vs. pipeline</w:t>
            </w:r>
          </w:p>
        </w:tc>
      </w:tr>
      <w:tr w14:paraId="78791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DEDED"/>
            <w:tcMar>
              <w:top w:w="40" w:type="dxa"/>
              <w:left w:w="80" w:type="dxa"/>
              <w:bottom w:w="40" w:type="dxa"/>
              <w:right w:w="80" w:type="dxa"/>
            </w:tcMar>
            <w:vAlign w:val="center"/>
          </w:tcPr>
          <w:p w14:paraId="13CBF712">
            <w:pPr>
              <w:jc w:val="left"/>
            </w:pPr>
            <w:r>
              <w:rPr>
                <w:rFonts w:ascii="Calibri" w:hAnsi="Calibri" w:eastAsia="Calibri" w:cs="Calibri"/>
                <w:b w:val="0"/>
                <w:bCs w:val="0"/>
                <w:color w:val="333333"/>
                <w:sz w:val="18"/>
                <w:szCs w:val="18"/>
              </w:rPr>
              <w:t>Resolution-evidence extraction, not raw copy</w:t>
            </w:r>
          </w:p>
        </w:tc>
        <w:tc>
          <w:tcPr>
            <w:tcW w:w="3000" w:type="dxa"/>
            <w:shd w:val="clear" w:color="auto" w:fill="EDEDED"/>
            <w:tcMar>
              <w:top w:w="40" w:type="dxa"/>
              <w:left w:w="80" w:type="dxa"/>
              <w:bottom w:w="40" w:type="dxa"/>
              <w:right w:w="80" w:type="dxa"/>
            </w:tcMar>
            <w:vAlign w:val="center"/>
          </w:tcPr>
          <w:p w14:paraId="5B9EEFA9">
            <w:pPr>
              <w:jc w:val="left"/>
            </w:pPr>
            <w:r>
              <w:rPr>
                <w:rFonts w:ascii="Calibri" w:hAnsi="Calibri" w:eastAsia="Calibri" w:cs="Calibri"/>
                <w:b w:val="0"/>
                <w:bCs w:val="0"/>
                <w:color w:val="333333"/>
                <w:sz w:val="18"/>
                <w:szCs w:val="18"/>
              </w:rPr>
              <w:t>Creates auditable action categories</w:t>
            </w:r>
          </w:p>
        </w:tc>
        <w:tc>
          <w:tcPr>
            <w:tcW w:w="2400" w:type="dxa"/>
            <w:shd w:val="clear" w:color="auto" w:fill="EDEDED"/>
            <w:tcMar>
              <w:top w:w="40" w:type="dxa"/>
              <w:left w:w="80" w:type="dxa"/>
              <w:bottom w:w="40" w:type="dxa"/>
              <w:right w:w="80" w:type="dxa"/>
            </w:tcMar>
            <w:vAlign w:val="center"/>
          </w:tcPr>
          <w:p w14:paraId="2CCEB785">
            <w:pPr>
              <w:jc w:val="left"/>
            </w:pPr>
            <w:r>
              <w:rPr>
                <w:rFonts w:ascii="Calibri" w:hAnsi="Calibri" w:eastAsia="Calibri" w:cs="Calibri"/>
                <w:b w:val="0"/>
                <w:bCs w:val="0"/>
                <w:color w:val="333333"/>
                <w:sz w:val="18"/>
                <w:szCs w:val="18"/>
              </w:rPr>
              <w:t>Supports evidence-agreement scoring</w:t>
            </w:r>
          </w:p>
        </w:tc>
      </w:tr>
      <w:tr w14:paraId="69778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3E9DD9BD">
            <w:pPr>
              <w:jc w:val="left"/>
            </w:pPr>
            <w:r>
              <w:rPr>
                <w:rFonts w:ascii="Calibri" w:hAnsi="Calibri" w:eastAsia="Calibri" w:cs="Calibri"/>
                <w:b w:val="0"/>
                <w:bCs w:val="0"/>
                <w:color w:val="333333"/>
                <w:sz w:val="18"/>
                <w:szCs w:val="18"/>
              </w:rPr>
              <w:t>Evidence-confidence gating over raw confidence</w:t>
            </w:r>
          </w:p>
        </w:tc>
        <w:tc>
          <w:tcPr>
            <w:tcW w:w="3000" w:type="dxa"/>
            <w:tcMar>
              <w:top w:w="40" w:type="dxa"/>
              <w:left w:w="80" w:type="dxa"/>
              <w:bottom w:w="40" w:type="dxa"/>
              <w:right w:w="80" w:type="dxa"/>
            </w:tcMar>
            <w:vAlign w:val="center"/>
          </w:tcPr>
          <w:p w14:paraId="5FC03391">
            <w:pPr>
              <w:jc w:val="left"/>
            </w:pPr>
            <w:r>
              <w:rPr>
                <w:rFonts w:ascii="Calibri" w:hAnsi="Calibri" w:eastAsia="Calibri" w:cs="Calibri"/>
                <w:b w:val="0"/>
                <w:bCs w:val="0"/>
                <w:color w:val="333333"/>
                <w:sz w:val="18"/>
                <w:szCs w:val="18"/>
              </w:rPr>
              <w:t>High classifier confidence ≠ safe automation</w:t>
            </w:r>
          </w:p>
        </w:tc>
        <w:tc>
          <w:tcPr>
            <w:tcW w:w="2400" w:type="dxa"/>
            <w:tcMar>
              <w:top w:w="40" w:type="dxa"/>
              <w:left w:w="80" w:type="dxa"/>
              <w:bottom w:w="40" w:type="dxa"/>
              <w:right w:w="80" w:type="dxa"/>
            </w:tcMar>
            <w:vAlign w:val="center"/>
          </w:tcPr>
          <w:p w14:paraId="29643404">
            <w:pPr>
              <w:jc w:val="left"/>
            </w:pPr>
            <w:r>
              <w:rPr>
                <w:rFonts w:ascii="Calibri" w:hAnsi="Calibri" w:eastAsia="Calibri" w:cs="Calibri"/>
                <w:b w:val="0"/>
                <w:bCs w:val="0"/>
                <w:color w:val="333333"/>
                <w:sz w:val="18"/>
                <w:szCs w:val="18"/>
              </w:rPr>
              <w:t>Core safety mechanism of the system</w:t>
            </w:r>
          </w:p>
        </w:tc>
      </w:tr>
      <w:tr w14:paraId="3AFDD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DEDED"/>
            <w:tcMar>
              <w:top w:w="40" w:type="dxa"/>
              <w:left w:w="80" w:type="dxa"/>
              <w:bottom w:w="40" w:type="dxa"/>
              <w:right w:w="80" w:type="dxa"/>
            </w:tcMar>
            <w:vAlign w:val="center"/>
          </w:tcPr>
          <w:p w14:paraId="1ACD5DA8">
            <w:pPr>
              <w:jc w:val="left"/>
            </w:pPr>
            <w:r>
              <w:rPr>
                <w:rFonts w:ascii="Calibri" w:hAnsi="Calibri" w:eastAsia="Calibri" w:cs="Calibri"/>
                <w:b w:val="0"/>
                <w:bCs w:val="0"/>
                <w:color w:val="333333"/>
                <w:sz w:val="18"/>
                <w:szCs w:val="18"/>
              </w:rPr>
              <w:t>Historical response ≠ current policy</w:t>
            </w:r>
          </w:p>
        </w:tc>
        <w:tc>
          <w:tcPr>
            <w:tcW w:w="3000" w:type="dxa"/>
            <w:shd w:val="clear" w:color="auto" w:fill="EDEDED"/>
            <w:tcMar>
              <w:top w:w="40" w:type="dxa"/>
              <w:left w:w="80" w:type="dxa"/>
              <w:bottom w:w="40" w:type="dxa"/>
              <w:right w:w="80" w:type="dxa"/>
            </w:tcMar>
            <w:vAlign w:val="center"/>
          </w:tcPr>
          <w:p w14:paraId="3C5CFDE2">
            <w:pPr>
              <w:jc w:val="left"/>
            </w:pPr>
            <w:r>
              <w:rPr>
                <w:rFonts w:ascii="Calibri" w:hAnsi="Calibri" w:eastAsia="Calibri" w:cs="Calibri"/>
                <w:b w:val="0"/>
                <w:bCs w:val="0"/>
                <w:color w:val="333333"/>
                <w:sz w:val="18"/>
                <w:szCs w:val="18"/>
              </w:rPr>
              <w:t>Social-media history may be stale</w:t>
            </w:r>
          </w:p>
        </w:tc>
        <w:tc>
          <w:tcPr>
            <w:tcW w:w="2400" w:type="dxa"/>
            <w:shd w:val="clear" w:color="auto" w:fill="EDEDED"/>
            <w:tcMar>
              <w:top w:w="40" w:type="dxa"/>
              <w:left w:w="80" w:type="dxa"/>
              <w:bottom w:w="40" w:type="dxa"/>
              <w:right w:w="80" w:type="dxa"/>
            </w:tcMar>
            <w:vAlign w:val="center"/>
          </w:tcPr>
          <w:p w14:paraId="5354E2F9">
            <w:pPr>
              <w:jc w:val="left"/>
            </w:pPr>
            <w:r>
              <w:rPr>
                <w:rFonts w:ascii="Calibri" w:hAnsi="Calibri" w:eastAsia="Calibri" w:cs="Calibri"/>
                <w:b w:val="0"/>
                <w:bCs w:val="0"/>
                <w:color w:val="333333"/>
                <w:sz w:val="18"/>
                <w:szCs w:val="18"/>
              </w:rPr>
              <w:t>Reply templates avoid unsupported guarantees</w:t>
            </w:r>
          </w:p>
        </w:tc>
      </w:tr>
      <w:tr w14:paraId="4C819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80" w:type="dxa"/>
              <w:bottom w:w="40" w:type="dxa"/>
              <w:right w:w="80" w:type="dxa"/>
            </w:tcMar>
            <w:vAlign w:val="center"/>
          </w:tcPr>
          <w:p w14:paraId="5533B10C">
            <w:pPr>
              <w:jc w:val="left"/>
            </w:pPr>
            <w:r>
              <w:rPr>
                <w:rFonts w:ascii="Calibri" w:hAnsi="Calibri" w:eastAsia="Calibri" w:cs="Calibri"/>
                <w:b w:val="0"/>
                <w:bCs w:val="0"/>
                <w:color w:val="333333"/>
                <w:sz w:val="18"/>
                <w:szCs w:val="18"/>
              </w:rPr>
              <w:t>No paid LLM API used</w:t>
            </w:r>
          </w:p>
        </w:tc>
        <w:tc>
          <w:tcPr>
            <w:tcW w:w="3000" w:type="dxa"/>
            <w:tcMar>
              <w:top w:w="40" w:type="dxa"/>
              <w:left w:w="80" w:type="dxa"/>
              <w:bottom w:w="40" w:type="dxa"/>
              <w:right w:w="80" w:type="dxa"/>
            </w:tcMar>
            <w:vAlign w:val="center"/>
          </w:tcPr>
          <w:p w14:paraId="6CBB5B5D">
            <w:pPr>
              <w:jc w:val="left"/>
            </w:pPr>
            <w:r>
              <w:rPr>
                <w:rFonts w:ascii="Calibri" w:hAnsi="Calibri" w:eastAsia="Calibri" w:cs="Calibri"/>
                <w:b w:val="0"/>
                <w:bCs w:val="0"/>
                <w:color w:val="333333"/>
                <w:sz w:val="18"/>
                <w:szCs w:val="18"/>
              </w:rPr>
              <w:t>Keeps submission reproducible without paid credits</w:t>
            </w:r>
          </w:p>
        </w:tc>
        <w:tc>
          <w:tcPr>
            <w:tcW w:w="2400" w:type="dxa"/>
            <w:tcMar>
              <w:top w:w="40" w:type="dxa"/>
              <w:left w:w="80" w:type="dxa"/>
              <w:bottom w:w="40" w:type="dxa"/>
              <w:right w:w="80" w:type="dxa"/>
            </w:tcMar>
            <w:vAlign w:val="center"/>
          </w:tcPr>
          <w:p w14:paraId="357A8998">
            <w:pPr>
              <w:jc w:val="left"/>
            </w:pPr>
            <w:r>
              <w:rPr>
                <w:rFonts w:ascii="Calibri" w:hAnsi="Calibri" w:eastAsia="Calibri" w:cs="Calibri"/>
                <w:b w:val="0"/>
                <w:bCs w:val="0"/>
                <w:color w:val="333333"/>
                <w:sz w:val="18"/>
                <w:szCs w:val="18"/>
              </w:rPr>
              <w:t>Judge stage is AI-assisted, not a production pipeline</w:t>
            </w:r>
          </w:p>
        </w:tc>
      </w:tr>
    </w:tbl>
    <w:p w14:paraId="51E2DDB1">
      <w:pPr>
        <w:pBdr>
          <w:bottom w:val="single" w:color="1F3864" w:sz="6" w:space="2"/>
        </w:pBdr>
        <w:spacing w:before="140" w:after="70"/>
      </w:pPr>
      <w:r>
        <w:rPr>
          <w:rFonts w:ascii="Calibri" w:hAnsi="Calibri" w:eastAsia="Calibri" w:cs="Calibri"/>
          <w:b/>
          <w:bCs/>
          <w:color w:val="1F3864"/>
          <w:sz w:val="30"/>
          <w:szCs w:val="30"/>
        </w:rPr>
        <w:t>Limitations</w:t>
      </w:r>
    </w:p>
    <w:p w14:paraId="01827F84">
      <w:pPr>
        <w:pStyle w:val="19"/>
        <w:numPr>
          <w:ilvl w:val="0"/>
          <w:numId w:val="1"/>
        </w:numPr>
        <w:spacing w:after="30" w:line="252" w:lineRule="auto"/>
      </w:pPr>
      <w:r>
        <w:rPr>
          <w:rFonts w:ascii="Calibri" w:hAnsi="Calibri" w:eastAsia="Calibri" w:cs="Calibri"/>
          <w:color w:val="333333"/>
          <w:sz w:val="18"/>
          <w:szCs w:val="18"/>
        </w:rPr>
        <w:t>Only one brand (VirginTrains) was evaluated.</w:t>
      </w:r>
    </w:p>
    <w:p w14:paraId="70D54839">
      <w:pPr>
        <w:pStyle w:val="19"/>
        <w:numPr>
          <w:ilvl w:val="0"/>
          <w:numId w:val="1"/>
        </w:numPr>
        <w:spacing w:after="30" w:line="252" w:lineRule="auto"/>
      </w:pPr>
      <w:r>
        <w:rPr>
          <w:rFonts w:ascii="Calibri" w:hAnsi="Calibri" w:eastAsia="Calibri" w:cs="Calibri"/>
          <w:color w:val="333333"/>
          <w:sz w:val="18"/>
          <w:szCs w:val="18"/>
        </w:rPr>
        <w:t>Historical data may not represent current policy.</w:t>
      </w:r>
    </w:p>
    <w:p w14:paraId="150F6CAD">
      <w:pPr>
        <w:pStyle w:val="19"/>
        <w:numPr>
          <w:ilvl w:val="0"/>
          <w:numId w:val="1"/>
        </w:numPr>
        <w:spacing w:after="30" w:line="252" w:lineRule="auto"/>
      </w:pPr>
      <w:r>
        <w:rPr>
          <w:rFonts w:ascii="Calibri" w:hAnsi="Calibri" w:eastAsia="Calibri" w:cs="Calibri"/>
          <w:color w:val="333333"/>
          <w:sz w:val="18"/>
          <w:szCs w:val="18"/>
        </w:rPr>
        <w:t>Golden set contains only 200 examples.</w:t>
      </w:r>
    </w:p>
    <w:p w14:paraId="2EF08FDA">
      <w:pPr>
        <w:pStyle w:val="19"/>
        <w:numPr>
          <w:ilvl w:val="0"/>
          <w:numId w:val="1"/>
        </w:numPr>
        <w:spacing w:after="30" w:line="252" w:lineRule="auto"/>
      </w:pPr>
      <w:r>
        <w:rPr>
          <w:rFonts w:ascii="Calibri" w:hAnsi="Calibri" w:eastAsia="Calibri" w:cs="Calibri"/>
          <w:color w:val="333333"/>
          <w:sz w:val="18"/>
          <w:szCs w:val="18"/>
        </w:rPr>
        <w:t>lost_property has zero evaluation examples.</w:t>
      </w:r>
    </w:p>
    <w:p w14:paraId="4FA774B8">
      <w:pPr>
        <w:pStyle w:val="19"/>
        <w:numPr>
          <w:ilvl w:val="0"/>
          <w:numId w:val="1"/>
        </w:numPr>
        <w:spacing w:after="30" w:line="252" w:lineRule="auto"/>
      </w:pPr>
      <w:r>
        <w:rPr>
          <w:rFonts w:ascii="Calibri" w:hAnsi="Calibri" w:eastAsia="Calibri" w:cs="Calibri"/>
          <w:color w:val="333333"/>
          <w:sz w:val="18"/>
          <w:szCs w:val="18"/>
        </w:rPr>
        <w:t>Training labels partly used heuristic pre-labels before human review.</w:t>
      </w:r>
    </w:p>
    <w:p w14:paraId="6CC0DBDC">
      <w:pPr>
        <w:pStyle w:val="19"/>
        <w:numPr>
          <w:ilvl w:val="0"/>
          <w:numId w:val="1"/>
        </w:numPr>
        <w:spacing w:after="30" w:line="252" w:lineRule="auto"/>
      </w:pPr>
      <w:r>
        <w:rPr>
          <w:rFonts w:ascii="Calibri" w:hAnsi="Calibri" w:eastAsia="Calibri" w:cs="Calibri"/>
          <w:color w:val="333333"/>
          <w:sz w:val="18"/>
          <w:szCs w:val="18"/>
        </w:rPr>
        <w:t>TF-IDF retrieval is lexical, with semantic limitations.</w:t>
      </w:r>
    </w:p>
    <w:p w14:paraId="0902B574">
      <w:pPr>
        <w:pStyle w:val="19"/>
        <w:numPr>
          <w:ilvl w:val="0"/>
          <w:numId w:val="1"/>
        </w:numPr>
        <w:spacing w:after="30" w:line="252" w:lineRule="auto"/>
      </w:pPr>
      <w:r>
        <w:rPr>
          <w:rFonts w:ascii="Calibri" w:hAnsi="Calibri" w:eastAsia="Calibri" w:cs="Calibri"/>
          <w:color w:val="333333"/>
          <w:sz w:val="18"/>
          <w:szCs w:val="18"/>
        </w:rPr>
        <w:t>Single-label classification struggles with genuinely multi-intent messages.</w:t>
      </w:r>
    </w:p>
    <w:p w14:paraId="34EC03FF">
      <w:pPr>
        <w:pStyle w:val="19"/>
        <w:numPr>
          <w:ilvl w:val="0"/>
          <w:numId w:val="1"/>
        </w:numPr>
        <w:spacing w:after="30" w:line="252" w:lineRule="auto"/>
      </w:pPr>
      <w:r>
        <w:rPr>
          <w:rFonts w:ascii="Calibri" w:hAnsi="Calibri" w:eastAsia="Calibri" w:cs="Calibri"/>
          <w:color w:val="333333"/>
          <w:sz w:val="18"/>
          <w:szCs w:val="18"/>
        </w:rPr>
        <w:t>Escalation precision is relatively low (48.99%).</w:t>
      </w:r>
    </w:p>
    <w:p w14:paraId="0FC0454B">
      <w:pPr>
        <w:pStyle w:val="19"/>
        <w:numPr>
          <w:ilvl w:val="0"/>
          <w:numId w:val="1"/>
        </w:numPr>
        <w:spacing w:after="30" w:line="252" w:lineRule="auto"/>
      </w:pPr>
      <w:r>
        <w:rPr>
          <w:rFonts w:ascii="Calibri" w:hAnsi="Calibri" w:eastAsia="Calibri" w:cs="Calibri"/>
          <w:color w:val="333333"/>
          <w:sz w:val="18"/>
          <w:szCs w:val="18"/>
        </w:rPr>
        <w:t>LLM judge lacks independently collected human-agreement statistics.</w:t>
      </w:r>
    </w:p>
    <w:p w14:paraId="12370ED5">
      <w:pPr>
        <w:pStyle w:val="19"/>
        <w:numPr>
          <w:ilvl w:val="0"/>
          <w:numId w:val="1"/>
        </w:numPr>
        <w:spacing w:after="30" w:line="252" w:lineRule="auto"/>
      </w:pPr>
      <w:r>
        <w:rPr>
          <w:rFonts w:ascii="Calibri" w:hAnsi="Calibri" w:eastAsia="Calibri" w:cs="Calibri"/>
          <w:color w:val="333333"/>
          <w:sz w:val="18"/>
          <w:szCs w:val="18"/>
        </w:rPr>
        <w:t>No live production policy source was used.</w:t>
      </w:r>
    </w:p>
    <w:p w14:paraId="295DF0B4">
      <w:pPr>
        <w:pStyle w:val="19"/>
        <w:numPr>
          <w:ilvl w:val="0"/>
          <w:numId w:val="1"/>
        </w:numPr>
        <w:spacing w:after="30" w:line="252" w:lineRule="auto"/>
      </w:pPr>
      <w:r>
        <w:rPr>
          <w:rFonts w:ascii="Calibri" w:hAnsi="Calibri" w:eastAsia="Calibri" w:cs="Calibri"/>
          <w:color w:val="333333"/>
          <w:sz w:val="18"/>
          <w:szCs w:val="18"/>
        </w:rPr>
        <w:t>The system is not production-ready.</w:t>
      </w:r>
    </w:p>
    <w:p w14:paraId="124A60CD">
      <w:pPr>
        <w:pBdr>
          <w:bottom w:val="single" w:color="1F3864" w:sz="6" w:space="2"/>
        </w:pBdr>
        <w:spacing w:before="140" w:after="70"/>
      </w:pPr>
      <w:r>
        <w:rPr>
          <w:rFonts w:ascii="Calibri" w:hAnsi="Calibri" w:eastAsia="Calibri" w:cs="Calibri"/>
          <w:b/>
          <w:bCs/>
          <w:color w:val="1F3864"/>
          <w:sz w:val="30"/>
          <w:szCs w:val="30"/>
        </w:rPr>
        <w:t>One-Week Improvement Plan</w:t>
      </w:r>
    </w:p>
    <w:tbl>
      <w:tblPr>
        <w:tblStyle w:val="9"/>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900"/>
        <w:gridCol w:w="3200"/>
      </w:tblGrid>
      <w:tr w14:paraId="08331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1F3864"/>
            <w:tcMar>
              <w:top w:w="40" w:type="dxa"/>
              <w:left w:w="80" w:type="dxa"/>
              <w:bottom w:w="40" w:type="dxa"/>
              <w:right w:w="80" w:type="dxa"/>
            </w:tcMar>
            <w:vAlign w:val="center"/>
          </w:tcPr>
          <w:p w14:paraId="4894FD25">
            <w:pPr>
              <w:jc w:val="left"/>
            </w:pPr>
            <w:r>
              <w:rPr>
                <w:rFonts w:ascii="Calibri" w:hAnsi="Calibri" w:eastAsia="Calibri" w:cs="Calibri"/>
                <w:b/>
                <w:bCs/>
                <w:color w:val="FFFFFF"/>
                <w:sz w:val="18"/>
                <w:szCs w:val="18"/>
              </w:rPr>
              <w:t>Day</w:t>
            </w:r>
          </w:p>
        </w:tc>
        <w:tc>
          <w:tcPr>
            <w:tcW w:w="3900" w:type="dxa"/>
            <w:shd w:val="clear" w:color="auto" w:fill="1F3864"/>
            <w:tcMar>
              <w:top w:w="40" w:type="dxa"/>
              <w:left w:w="80" w:type="dxa"/>
              <w:bottom w:w="40" w:type="dxa"/>
              <w:right w:w="80" w:type="dxa"/>
            </w:tcMar>
            <w:vAlign w:val="center"/>
          </w:tcPr>
          <w:p w14:paraId="6EFFC562">
            <w:pPr>
              <w:jc w:val="left"/>
            </w:pPr>
            <w:r>
              <w:rPr>
                <w:rFonts w:ascii="Calibri" w:hAnsi="Calibri" w:eastAsia="Calibri" w:cs="Calibri"/>
                <w:b/>
                <w:bCs/>
                <w:color w:val="FFFFFF"/>
                <w:sz w:val="18"/>
                <w:szCs w:val="18"/>
              </w:rPr>
              <w:t>Action</w:t>
            </w:r>
          </w:p>
        </w:tc>
        <w:tc>
          <w:tcPr>
            <w:tcW w:w="3200" w:type="dxa"/>
            <w:shd w:val="clear" w:color="auto" w:fill="1F3864"/>
            <w:tcMar>
              <w:top w:w="40" w:type="dxa"/>
              <w:left w:w="80" w:type="dxa"/>
              <w:bottom w:w="40" w:type="dxa"/>
              <w:right w:w="80" w:type="dxa"/>
            </w:tcMar>
            <w:vAlign w:val="center"/>
          </w:tcPr>
          <w:p w14:paraId="77DF2C33">
            <w:pPr>
              <w:jc w:val="left"/>
            </w:pPr>
            <w:r>
              <w:rPr>
                <w:rFonts w:ascii="Calibri" w:hAnsi="Calibri" w:eastAsia="Calibri" w:cs="Calibri"/>
                <w:b/>
                <w:bCs/>
                <w:color w:val="FFFFFF"/>
                <w:sz w:val="18"/>
                <w:szCs w:val="18"/>
              </w:rPr>
              <w:t>Benefit</w:t>
            </w:r>
          </w:p>
        </w:tc>
      </w:tr>
      <w:tr w14:paraId="160A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40" w:type="dxa"/>
              <w:left w:w="80" w:type="dxa"/>
              <w:bottom w:w="40" w:type="dxa"/>
              <w:right w:w="80" w:type="dxa"/>
            </w:tcMar>
            <w:vAlign w:val="center"/>
          </w:tcPr>
          <w:p w14:paraId="32419C2C">
            <w:pPr>
              <w:jc w:val="left"/>
            </w:pPr>
            <w:r>
              <w:rPr>
                <w:rFonts w:ascii="Calibri" w:hAnsi="Calibri" w:eastAsia="Calibri" w:cs="Calibri"/>
                <w:b w:val="0"/>
                <w:bCs w:val="0"/>
                <w:color w:val="333333"/>
                <w:sz w:val="18"/>
                <w:szCs w:val="18"/>
              </w:rPr>
              <w:t>1</w:t>
            </w:r>
          </w:p>
        </w:tc>
        <w:tc>
          <w:tcPr>
            <w:tcW w:w="3900" w:type="dxa"/>
            <w:tcMar>
              <w:top w:w="40" w:type="dxa"/>
              <w:left w:w="80" w:type="dxa"/>
              <w:bottom w:w="40" w:type="dxa"/>
              <w:right w:w="80" w:type="dxa"/>
            </w:tcMar>
            <w:vAlign w:val="center"/>
          </w:tcPr>
          <w:p w14:paraId="59995F7E">
            <w:pPr>
              <w:jc w:val="left"/>
            </w:pPr>
            <w:r>
              <w:rPr>
                <w:rFonts w:ascii="Calibri" w:hAnsi="Calibri" w:eastAsia="Calibri" w:cs="Calibri"/>
                <w:b w:val="0"/>
                <w:bCs w:val="0"/>
                <w:color w:val="333333"/>
                <w:sz w:val="18"/>
                <w:szCs w:val="18"/>
              </w:rPr>
              <w:t>Review taxonomy; relabel ambiguous classes</w:t>
            </w:r>
          </w:p>
        </w:tc>
        <w:tc>
          <w:tcPr>
            <w:tcW w:w="3200" w:type="dxa"/>
            <w:tcMar>
              <w:top w:w="40" w:type="dxa"/>
              <w:left w:w="80" w:type="dxa"/>
              <w:bottom w:w="40" w:type="dxa"/>
              <w:right w:w="80" w:type="dxa"/>
            </w:tcMar>
            <w:vAlign w:val="center"/>
          </w:tcPr>
          <w:p w14:paraId="6ECCD90D">
            <w:pPr>
              <w:jc w:val="left"/>
            </w:pPr>
            <w:r>
              <w:rPr>
                <w:rFonts w:ascii="Calibri" w:hAnsi="Calibri" w:eastAsia="Calibri" w:cs="Calibri"/>
                <w:b w:val="0"/>
                <w:bCs w:val="0"/>
                <w:color w:val="333333"/>
                <w:sz w:val="18"/>
                <w:szCs w:val="18"/>
              </w:rPr>
              <w:t>Reduces label noise behind failures 2–4</w:t>
            </w:r>
          </w:p>
        </w:tc>
      </w:tr>
      <w:tr w14:paraId="6D53C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DEDED"/>
            <w:tcMar>
              <w:top w:w="40" w:type="dxa"/>
              <w:left w:w="80" w:type="dxa"/>
              <w:bottom w:w="40" w:type="dxa"/>
              <w:right w:w="80" w:type="dxa"/>
            </w:tcMar>
            <w:vAlign w:val="center"/>
          </w:tcPr>
          <w:p w14:paraId="4C2D6D21">
            <w:pPr>
              <w:jc w:val="left"/>
            </w:pPr>
            <w:r>
              <w:rPr>
                <w:rFonts w:ascii="Calibri" w:hAnsi="Calibri" w:eastAsia="Calibri" w:cs="Calibri"/>
                <w:b w:val="0"/>
                <w:bCs w:val="0"/>
                <w:color w:val="333333"/>
                <w:sz w:val="18"/>
                <w:szCs w:val="18"/>
              </w:rPr>
              <w:t>2</w:t>
            </w:r>
          </w:p>
        </w:tc>
        <w:tc>
          <w:tcPr>
            <w:tcW w:w="3900" w:type="dxa"/>
            <w:shd w:val="clear" w:color="auto" w:fill="EDEDED"/>
            <w:tcMar>
              <w:top w:w="40" w:type="dxa"/>
              <w:left w:w="80" w:type="dxa"/>
              <w:bottom w:w="40" w:type="dxa"/>
              <w:right w:w="80" w:type="dxa"/>
            </w:tcMar>
            <w:vAlign w:val="center"/>
          </w:tcPr>
          <w:p w14:paraId="0503A37F">
            <w:pPr>
              <w:jc w:val="left"/>
            </w:pPr>
            <w:r>
              <w:rPr>
                <w:rFonts w:ascii="Calibri" w:hAnsi="Calibri" w:eastAsia="Calibri" w:cs="Calibri"/>
                <w:b w:val="0"/>
                <w:bCs w:val="0"/>
                <w:color w:val="333333"/>
                <w:sz w:val="18"/>
                <w:szCs w:val="18"/>
              </w:rPr>
              <w:t>Add sentence embeddings + retrieval reranking</w:t>
            </w:r>
          </w:p>
        </w:tc>
        <w:tc>
          <w:tcPr>
            <w:tcW w:w="3200" w:type="dxa"/>
            <w:shd w:val="clear" w:color="auto" w:fill="EDEDED"/>
            <w:tcMar>
              <w:top w:w="40" w:type="dxa"/>
              <w:left w:w="80" w:type="dxa"/>
              <w:bottom w:w="40" w:type="dxa"/>
              <w:right w:w="80" w:type="dxa"/>
            </w:tcMar>
            <w:vAlign w:val="center"/>
          </w:tcPr>
          <w:p w14:paraId="6EEE979A">
            <w:pPr>
              <w:jc w:val="left"/>
            </w:pPr>
            <w:r>
              <w:rPr>
                <w:rFonts w:ascii="Calibri" w:hAnsi="Calibri" w:eastAsia="Calibri" w:cs="Calibri"/>
                <w:b w:val="0"/>
                <w:bCs w:val="0"/>
                <w:color w:val="333333"/>
                <w:sz w:val="18"/>
                <w:szCs w:val="18"/>
              </w:rPr>
              <w:t>Addresses lexical retrieval limitation</w:t>
            </w:r>
          </w:p>
        </w:tc>
      </w:tr>
      <w:tr w14:paraId="6F3F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40" w:type="dxa"/>
              <w:left w:w="80" w:type="dxa"/>
              <w:bottom w:w="40" w:type="dxa"/>
              <w:right w:w="80" w:type="dxa"/>
            </w:tcMar>
            <w:vAlign w:val="center"/>
          </w:tcPr>
          <w:p w14:paraId="55048353">
            <w:pPr>
              <w:jc w:val="left"/>
            </w:pPr>
            <w:r>
              <w:rPr>
                <w:rFonts w:ascii="Calibri" w:hAnsi="Calibri" w:eastAsia="Calibri" w:cs="Calibri"/>
                <w:b w:val="0"/>
                <w:bCs w:val="0"/>
                <w:color w:val="333333"/>
                <w:sz w:val="18"/>
                <w:szCs w:val="18"/>
              </w:rPr>
              <w:t>3</w:t>
            </w:r>
          </w:p>
        </w:tc>
        <w:tc>
          <w:tcPr>
            <w:tcW w:w="3900" w:type="dxa"/>
            <w:tcMar>
              <w:top w:w="40" w:type="dxa"/>
              <w:left w:w="80" w:type="dxa"/>
              <w:bottom w:w="40" w:type="dxa"/>
              <w:right w:w="80" w:type="dxa"/>
            </w:tcMar>
            <w:vAlign w:val="center"/>
          </w:tcPr>
          <w:p w14:paraId="1B292956">
            <w:pPr>
              <w:jc w:val="left"/>
            </w:pPr>
            <w:r>
              <w:rPr>
                <w:rFonts w:ascii="Calibri" w:hAnsi="Calibri" w:eastAsia="Calibri" w:cs="Calibri"/>
                <w:b w:val="0"/>
                <w:bCs w:val="0"/>
                <w:color w:val="333333"/>
                <w:sz w:val="18"/>
                <w:szCs w:val="18"/>
              </w:rPr>
              <w:t>Explicit multi-intent detection + action prioritization</w:t>
            </w:r>
          </w:p>
        </w:tc>
        <w:tc>
          <w:tcPr>
            <w:tcW w:w="3200" w:type="dxa"/>
            <w:tcMar>
              <w:top w:w="40" w:type="dxa"/>
              <w:left w:w="80" w:type="dxa"/>
              <w:bottom w:w="40" w:type="dxa"/>
              <w:right w:w="80" w:type="dxa"/>
            </w:tcMar>
            <w:vAlign w:val="center"/>
          </w:tcPr>
          <w:p w14:paraId="03C552BD">
            <w:pPr>
              <w:jc w:val="left"/>
            </w:pPr>
            <w:r>
              <w:rPr>
                <w:rFonts w:ascii="Calibri" w:hAnsi="Calibri" w:eastAsia="Calibri" w:cs="Calibri"/>
                <w:b w:val="0"/>
                <w:bCs w:val="0"/>
                <w:color w:val="333333"/>
                <w:sz w:val="18"/>
                <w:szCs w:val="18"/>
              </w:rPr>
              <w:t>Handles mixed-intent messages</w:t>
            </w:r>
          </w:p>
        </w:tc>
      </w:tr>
      <w:tr w14:paraId="2BF9E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DEDED"/>
            <w:tcMar>
              <w:top w:w="40" w:type="dxa"/>
              <w:left w:w="80" w:type="dxa"/>
              <w:bottom w:w="40" w:type="dxa"/>
              <w:right w:w="80" w:type="dxa"/>
            </w:tcMar>
            <w:vAlign w:val="center"/>
          </w:tcPr>
          <w:p w14:paraId="60519A22">
            <w:pPr>
              <w:jc w:val="left"/>
            </w:pPr>
            <w:r>
              <w:rPr>
                <w:rFonts w:ascii="Calibri" w:hAnsi="Calibri" w:eastAsia="Calibri" w:cs="Calibri"/>
                <w:b w:val="0"/>
                <w:bCs w:val="0"/>
                <w:color w:val="333333"/>
                <w:sz w:val="18"/>
                <w:szCs w:val="18"/>
              </w:rPr>
              <w:t>4</w:t>
            </w:r>
          </w:p>
        </w:tc>
        <w:tc>
          <w:tcPr>
            <w:tcW w:w="3900" w:type="dxa"/>
            <w:shd w:val="clear" w:color="auto" w:fill="EDEDED"/>
            <w:tcMar>
              <w:top w:w="40" w:type="dxa"/>
              <w:left w:w="80" w:type="dxa"/>
              <w:bottom w:w="40" w:type="dxa"/>
              <w:right w:w="80" w:type="dxa"/>
            </w:tcMar>
            <w:vAlign w:val="center"/>
          </w:tcPr>
          <w:p w14:paraId="4CDFA712">
            <w:pPr>
              <w:jc w:val="left"/>
            </w:pPr>
            <w:r>
              <w:rPr>
                <w:rFonts w:ascii="Calibri" w:hAnsi="Calibri" w:eastAsia="Calibri" w:cs="Calibri"/>
                <w:b w:val="0"/>
                <w:bCs w:val="0"/>
                <w:color w:val="333333"/>
                <w:sz w:val="18"/>
                <w:szCs w:val="18"/>
              </w:rPr>
              <w:t>Improve resolution extraction &amp; grounded generation</w:t>
            </w:r>
          </w:p>
        </w:tc>
        <w:tc>
          <w:tcPr>
            <w:tcW w:w="3200" w:type="dxa"/>
            <w:shd w:val="clear" w:color="auto" w:fill="EDEDED"/>
            <w:tcMar>
              <w:top w:w="40" w:type="dxa"/>
              <w:left w:w="80" w:type="dxa"/>
              <w:bottom w:w="40" w:type="dxa"/>
              <w:right w:w="80" w:type="dxa"/>
            </w:tcMar>
            <w:vAlign w:val="center"/>
          </w:tcPr>
          <w:p w14:paraId="5F5164D3">
            <w:pPr>
              <w:jc w:val="left"/>
            </w:pPr>
            <w:r>
              <w:rPr>
                <w:rFonts w:ascii="Calibri" w:hAnsi="Calibri" w:eastAsia="Calibri" w:cs="Calibri"/>
                <w:b w:val="0"/>
                <w:bCs w:val="0"/>
                <w:color w:val="333333"/>
                <w:sz w:val="18"/>
                <w:szCs w:val="18"/>
              </w:rPr>
              <w:t>Improves grounding and helpfulness</w:t>
            </w:r>
          </w:p>
        </w:tc>
      </w:tr>
      <w:tr w14:paraId="21A2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40" w:type="dxa"/>
              <w:left w:w="80" w:type="dxa"/>
              <w:bottom w:w="40" w:type="dxa"/>
              <w:right w:w="80" w:type="dxa"/>
            </w:tcMar>
            <w:vAlign w:val="center"/>
          </w:tcPr>
          <w:p w14:paraId="6AE08287">
            <w:pPr>
              <w:jc w:val="left"/>
            </w:pPr>
            <w:r>
              <w:rPr>
                <w:rFonts w:ascii="Calibri" w:hAnsi="Calibri" w:eastAsia="Calibri" w:cs="Calibri"/>
                <w:b w:val="0"/>
                <w:bCs w:val="0"/>
                <w:color w:val="333333"/>
                <w:sz w:val="18"/>
                <w:szCs w:val="18"/>
              </w:rPr>
              <w:t>5</w:t>
            </w:r>
          </w:p>
        </w:tc>
        <w:tc>
          <w:tcPr>
            <w:tcW w:w="3900" w:type="dxa"/>
            <w:tcMar>
              <w:top w:w="40" w:type="dxa"/>
              <w:left w:w="80" w:type="dxa"/>
              <w:bottom w:w="40" w:type="dxa"/>
              <w:right w:w="80" w:type="dxa"/>
            </w:tcMar>
            <w:vAlign w:val="center"/>
          </w:tcPr>
          <w:p w14:paraId="692B76A0">
            <w:pPr>
              <w:jc w:val="left"/>
            </w:pPr>
            <w:r>
              <w:rPr>
                <w:rFonts w:ascii="Calibri" w:hAnsi="Calibri" w:eastAsia="Calibri" w:cs="Calibri"/>
                <w:b w:val="0"/>
                <w:bCs w:val="0"/>
                <w:color w:val="333333"/>
                <w:sz w:val="18"/>
                <w:szCs w:val="18"/>
              </w:rPr>
              <w:t>Calibrate escalation thresholds on larger validation set</w:t>
            </w:r>
          </w:p>
        </w:tc>
        <w:tc>
          <w:tcPr>
            <w:tcW w:w="3200" w:type="dxa"/>
            <w:tcMar>
              <w:top w:w="40" w:type="dxa"/>
              <w:left w:w="80" w:type="dxa"/>
              <w:bottom w:w="40" w:type="dxa"/>
              <w:right w:w="80" w:type="dxa"/>
            </w:tcMar>
            <w:vAlign w:val="center"/>
          </w:tcPr>
          <w:p w14:paraId="7E645A3F">
            <w:pPr>
              <w:jc w:val="left"/>
            </w:pPr>
            <w:r>
              <w:rPr>
                <w:rFonts w:ascii="Calibri" w:hAnsi="Calibri" w:eastAsia="Calibri" w:cs="Calibri"/>
                <w:b w:val="0"/>
                <w:bCs w:val="0"/>
                <w:color w:val="333333"/>
                <w:sz w:val="18"/>
                <w:szCs w:val="18"/>
              </w:rPr>
              <w:t>Improves escalation precision, preserves recall</w:t>
            </w:r>
          </w:p>
        </w:tc>
      </w:tr>
      <w:tr w14:paraId="31187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EDEDED"/>
            <w:tcMar>
              <w:top w:w="40" w:type="dxa"/>
              <w:left w:w="80" w:type="dxa"/>
              <w:bottom w:w="40" w:type="dxa"/>
              <w:right w:w="80" w:type="dxa"/>
            </w:tcMar>
            <w:vAlign w:val="center"/>
          </w:tcPr>
          <w:p w14:paraId="1473C52A">
            <w:pPr>
              <w:jc w:val="left"/>
            </w:pPr>
            <w:r>
              <w:rPr>
                <w:rFonts w:ascii="Calibri" w:hAnsi="Calibri" w:eastAsia="Calibri" w:cs="Calibri"/>
                <w:b w:val="0"/>
                <w:bCs w:val="0"/>
                <w:color w:val="333333"/>
                <w:sz w:val="18"/>
                <w:szCs w:val="18"/>
              </w:rPr>
              <w:t>6</w:t>
            </w:r>
          </w:p>
        </w:tc>
        <w:tc>
          <w:tcPr>
            <w:tcW w:w="3900" w:type="dxa"/>
            <w:shd w:val="clear" w:color="auto" w:fill="EDEDED"/>
            <w:tcMar>
              <w:top w:w="40" w:type="dxa"/>
              <w:left w:w="80" w:type="dxa"/>
              <w:bottom w:w="40" w:type="dxa"/>
              <w:right w:w="80" w:type="dxa"/>
            </w:tcMar>
            <w:vAlign w:val="center"/>
          </w:tcPr>
          <w:p w14:paraId="4C7551F5">
            <w:pPr>
              <w:jc w:val="left"/>
            </w:pPr>
            <w:r>
              <w:rPr>
                <w:rFonts w:ascii="Calibri" w:hAnsi="Calibri" w:eastAsia="Calibri" w:cs="Calibri"/>
                <w:b w:val="0"/>
                <w:bCs w:val="0"/>
                <w:color w:val="333333"/>
                <w:sz w:val="18"/>
                <w:szCs w:val="18"/>
              </w:rPr>
              <w:t>Expand golden set; collect independent human judge scores</w:t>
            </w:r>
          </w:p>
        </w:tc>
        <w:tc>
          <w:tcPr>
            <w:tcW w:w="3200" w:type="dxa"/>
            <w:shd w:val="clear" w:color="auto" w:fill="EDEDED"/>
            <w:tcMar>
              <w:top w:w="40" w:type="dxa"/>
              <w:left w:w="80" w:type="dxa"/>
              <w:bottom w:w="40" w:type="dxa"/>
              <w:right w:w="80" w:type="dxa"/>
            </w:tcMar>
            <w:vAlign w:val="center"/>
          </w:tcPr>
          <w:p w14:paraId="65479E20">
            <w:pPr>
              <w:jc w:val="left"/>
            </w:pPr>
            <w:r>
              <w:rPr>
                <w:rFonts w:ascii="Calibri" w:hAnsi="Calibri" w:eastAsia="Calibri" w:cs="Calibri"/>
                <w:b w:val="0"/>
                <w:bCs w:val="0"/>
                <w:color w:val="333333"/>
                <w:sz w:val="18"/>
                <w:szCs w:val="18"/>
              </w:rPr>
              <w:t>Enables human-LLM agreement measurement</w:t>
            </w:r>
          </w:p>
        </w:tc>
      </w:tr>
      <w:tr w14:paraId="13A2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40" w:type="dxa"/>
              <w:left w:w="80" w:type="dxa"/>
              <w:bottom w:w="40" w:type="dxa"/>
              <w:right w:w="80" w:type="dxa"/>
            </w:tcMar>
            <w:vAlign w:val="center"/>
          </w:tcPr>
          <w:p w14:paraId="6C393404">
            <w:pPr>
              <w:jc w:val="left"/>
            </w:pPr>
            <w:r>
              <w:rPr>
                <w:rFonts w:ascii="Calibri" w:hAnsi="Calibri" w:eastAsia="Calibri" w:cs="Calibri"/>
                <w:b w:val="0"/>
                <w:bCs w:val="0"/>
                <w:color w:val="333333"/>
                <w:sz w:val="18"/>
                <w:szCs w:val="18"/>
              </w:rPr>
              <w:t>7</w:t>
            </w:r>
          </w:p>
        </w:tc>
        <w:tc>
          <w:tcPr>
            <w:tcW w:w="3900" w:type="dxa"/>
            <w:tcMar>
              <w:top w:w="40" w:type="dxa"/>
              <w:left w:w="80" w:type="dxa"/>
              <w:bottom w:w="40" w:type="dxa"/>
              <w:right w:w="80" w:type="dxa"/>
            </w:tcMar>
            <w:vAlign w:val="center"/>
          </w:tcPr>
          <w:p w14:paraId="2F31753E">
            <w:pPr>
              <w:jc w:val="left"/>
            </w:pPr>
            <w:r>
              <w:rPr>
                <w:rFonts w:ascii="Calibri" w:hAnsi="Calibri" w:eastAsia="Calibri" w:cs="Calibri"/>
                <w:b w:val="0"/>
                <w:bCs w:val="0"/>
                <w:color w:val="333333"/>
                <w:sz w:val="18"/>
                <w:szCs w:val="18"/>
              </w:rPr>
              <w:t>Run final ablations, error analysis, reproducibility check</w:t>
            </w:r>
          </w:p>
        </w:tc>
        <w:tc>
          <w:tcPr>
            <w:tcW w:w="3200" w:type="dxa"/>
            <w:tcMar>
              <w:top w:w="40" w:type="dxa"/>
              <w:left w:w="80" w:type="dxa"/>
              <w:bottom w:w="40" w:type="dxa"/>
              <w:right w:w="80" w:type="dxa"/>
            </w:tcMar>
            <w:vAlign w:val="center"/>
          </w:tcPr>
          <w:p w14:paraId="5A4C801B">
            <w:pPr>
              <w:jc w:val="left"/>
            </w:pPr>
            <w:r>
              <w:rPr>
                <w:rFonts w:ascii="Calibri" w:hAnsi="Calibri" w:eastAsia="Calibri" w:cs="Calibri"/>
                <w:b w:val="0"/>
                <w:bCs w:val="0"/>
                <w:color w:val="333333"/>
                <w:sz w:val="18"/>
                <w:szCs w:val="18"/>
              </w:rPr>
              <w:t>Separates gains from data, classifier, retrieval, gating</w:t>
            </w:r>
          </w:p>
        </w:tc>
      </w:tr>
    </w:tbl>
    <w:p w14:paraId="32968F05">
      <w:pPr>
        <w:pBdr>
          <w:bottom w:val="single" w:color="1F3864" w:sz="6" w:space="2"/>
        </w:pBdr>
        <w:spacing w:before="140" w:after="70"/>
      </w:pPr>
      <w:r>
        <w:rPr>
          <w:rFonts w:ascii="Calibri" w:hAnsi="Calibri" w:eastAsia="Calibri" w:cs="Calibri"/>
          <w:b/>
          <w:bCs/>
          <w:color w:val="1F3864"/>
          <w:sz w:val="30"/>
          <w:szCs w:val="30"/>
        </w:rPr>
        <w:t>Conclusion</w:t>
      </w:r>
    </w:p>
    <w:p w14:paraId="3D4161C4">
      <w:pPr>
        <w:spacing w:after="60" w:line="264" w:lineRule="auto"/>
      </w:pPr>
      <w:r>
        <w:rPr>
          <w:rFonts w:ascii="Calibri" w:hAnsi="Calibri" w:eastAsia="Calibri" w:cs="Calibri"/>
          <w:b w:val="0"/>
          <w:bCs w:val="0"/>
          <w:i w:val="0"/>
          <w:iCs w:val="0"/>
          <w:color w:val="333333"/>
          <w:sz w:val="19"/>
          <w:szCs w:val="19"/>
        </w:rPr>
        <w:t>TrustSupport demonstrates a practical approach to building a trust-aware support agent from historical customer-support conversations. Its strongest result is not the 65.5% classifier accuracy in isolation, but the decision architecture combining intent prediction, historical retrieval, resolution evidence, input quality, risk, evidence agreement, and escalation. Results show meaningful improvement over simple baselines, but also that escalation remains too conservative, retrieval remains lexical, reply helpfulness and grounding are moderate, multi-intent cases remain difficult, evaluation coverage is limited, and historical responses cannot be treated as current policy.</w:t>
      </w:r>
    </w:p>
    <w:p w14:paraId="636BDF5A">
      <w:pPr>
        <w:spacing w:after="60" w:line="264" w:lineRule="auto"/>
      </w:pPr>
      <w:r>
        <w:rPr>
          <w:rFonts w:ascii="Calibri" w:hAnsi="Calibri" w:eastAsia="Calibri" w:cs="Calibri"/>
          <w:b/>
          <w:bCs/>
          <w:i w:val="0"/>
          <w:iCs w:val="0"/>
          <w:color w:val="333333"/>
          <w:sz w:val="19"/>
          <w:szCs w:val="19"/>
        </w:rPr>
        <w:t>TrustSupport should be viewed as a trust-aware prototype that demonstrates a reproducible path toward safer customer-support automation, rather than as a production-ready autonomous agent.</w:t>
      </w:r>
    </w:p>
    <w:p w14:paraId="04B7C03D">
      <w:pPr>
        <w:pBdr>
          <w:bottom w:val="single" w:color="1F3864" w:sz="6" w:space="2"/>
        </w:pBdr>
        <w:spacing w:before="140" w:after="70"/>
      </w:pPr>
      <w:r>
        <w:rPr>
          <w:rFonts w:ascii="Calibri" w:hAnsi="Calibri" w:eastAsia="Calibri" w:cs="Calibri"/>
          <w:b/>
          <w:bCs/>
          <w:color w:val="1F3864"/>
          <w:sz w:val="30"/>
          <w:szCs w:val="30"/>
        </w:rPr>
        <w:t>References</w:t>
      </w:r>
    </w:p>
    <w:p w14:paraId="5E959D4A">
      <w:pPr>
        <w:pStyle w:val="19"/>
        <w:numPr>
          <w:ilvl w:val="0"/>
          <w:numId w:val="1"/>
        </w:numPr>
        <w:spacing w:after="30" w:line="252" w:lineRule="auto"/>
      </w:pPr>
      <w:r>
        <w:rPr>
          <w:rFonts w:ascii="Calibri" w:hAnsi="Calibri" w:eastAsia="Calibri" w:cs="Calibri"/>
          <w:color w:val="333333"/>
          <w:sz w:val="18"/>
          <w:szCs w:val="18"/>
        </w:rPr>
        <w:t>Kaggle: "Customer Support on Twitter" — thoughtvector/customer-support-on-twitter.</w:t>
      </w:r>
    </w:p>
    <w:p w14:paraId="4F5C7DBF">
      <w:pPr>
        <w:pStyle w:val="19"/>
        <w:numPr>
          <w:ilvl w:val="0"/>
          <w:numId w:val="1"/>
        </w:numPr>
        <w:spacing w:after="30" w:line="252" w:lineRule="auto"/>
      </w:pPr>
      <w:r>
        <w:rPr>
          <w:rFonts w:ascii="Calibri" w:hAnsi="Calibri" w:eastAsia="Calibri" w:cs="Calibri"/>
          <w:color w:val="333333"/>
          <w:sz w:val="18"/>
          <w:szCs w:val="18"/>
        </w:rPr>
        <w:t>Kaggle dataset license: CC BY-NC-SA 4.0.</w:t>
      </w:r>
    </w:p>
    <w:p w14:paraId="471FB2BD">
      <w:pPr>
        <w:pStyle w:val="19"/>
        <w:numPr>
          <w:ilvl w:val="0"/>
          <w:numId w:val="1"/>
        </w:numPr>
        <w:spacing w:after="30" w:line="252" w:lineRule="auto"/>
      </w:pPr>
      <w:r>
        <w:rPr>
          <w:rFonts w:ascii="Calibri" w:hAnsi="Calibri" w:eastAsia="Calibri" w:cs="Calibri"/>
          <w:color w:val="333333"/>
          <w:sz w:val="18"/>
          <w:szCs w:val="18"/>
        </w:rPr>
        <w:t>scikit-learn documentation — TfidfVectorizer and LogisticRegression.</w:t>
      </w:r>
    </w:p>
    <w:sectPr>
      <w:pgSz w:w="11906" w:h="16838"/>
      <w:pgMar w:top="850" w:right="900" w:bottom="85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26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D926D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33333"/>
      <w:sz w:val="19"/>
      <w:szCs w:val="19"/>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19"/>
      <w:szCs w:val="19"/>
    </w:rPr>
  </w:style>
  <w:style w:type="paragraph" w:styleId="6">
    <w:name w:val="heading 5"/>
    <w:next w:val="1"/>
    <w:qFormat/>
    <w:uiPriority w:val="0"/>
    <w:rPr>
      <w:rFonts w:ascii="Calibri" w:hAnsi="Calibri" w:eastAsia="Calibri" w:cs="Calibri"/>
      <w:color w:val="2E74B5"/>
      <w:sz w:val="19"/>
      <w:szCs w:val="19"/>
    </w:rPr>
  </w:style>
  <w:style w:type="paragraph" w:styleId="7">
    <w:name w:val="heading 6"/>
    <w:next w:val="1"/>
    <w:qFormat/>
    <w:uiPriority w:val="0"/>
    <w:rPr>
      <w:rFonts w:ascii="Calibri" w:hAnsi="Calibri" w:eastAsia="Calibri" w:cs="Calibri"/>
      <w:color w:val="1F4D78"/>
      <w:sz w:val="19"/>
      <w:szCs w:val="1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1"/>
    <w:semiHidden/>
    <w:unhideWhenUsed/>
    <w:qFormat/>
    <w:uiPriority w:val="99"/>
    <w:pPr>
      <w:spacing w:after="0" w:line="240" w:lineRule="auto"/>
    </w:pPr>
    <w:rPr>
      <w:rFonts w:ascii="Calibri" w:hAnsi="Calibri" w:eastAsia="Calibri" w:cs="Calibri"/>
      <w:color w:val="333333"/>
      <w:sz w:val="20"/>
      <w:szCs w:val="20"/>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Calibri" w:hAnsi="Calibri" w:eastAsia="Calibri" w:cs="Calibri"/>
      <w:color w:val="333333"/>
      <w:sz w:val="20"/>
      <w:szCs w:val="20"/>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kern w:val="0"/>
      <w:sz w:val="24"/>
      <w:szCs w:val="24"/>
      <w:lang w:val="en-US" w:eastAsia="zh-CN" w:bidi="ar"/>
    </w:rPr>
  </w:style>
  <w:style w:type="character" w:styleId="17">
    <w:name w:val="Strong"/>
    <w:basedOn w:val="8"/>
    <w:qFormat/>
    <w:uiPriority w:val="0"/>
    <w:rPr>
      <w:b/>
      <w:bCs/>
    </w:rPr>
  </w:style>
  <w:style w:type="paragraph" w:styleId="18">
    <w:name w:val="Title"/>
    <w:qFormat/>
    <w:uiPriority w:val="0"/>
    <w:rPr>
      <w:rFonts w:ascii="Calibri" w:hAnsi="Calibri" w:eastAsia="Calibri" w:cs="Calibri"/>
      <w:color w:val="333333"/>
      <w:sz w:val="56"/>
      <w:szCs w:val="56"/>
    </w:rPr>
  </w:style>
  <w:style w:type="paragraph" w:styleId="19">
    <w:name w:val="List Paragraph"/>
    <w:qFormat/>
    <w:uiPriority w:val="0"/>
    <w:rPr>
      <w:rFonts w:ascii="Calibri" w:hAnsi="Calibri" w:eastAsia="Calibri" w:cs="Calibri"/>
      <w:color w:val="333333"/>
      <w:sz w:val="19"/>
      <w:szCs w:val="19"/>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2282</Words>
  <Characters>15779</Characters>
  <TotalTime>1</TotalTime>
  <ScaleCrop>false</ScaleCrop>
  <LinksUpToDate>false</LinksUpToDate>
  <CharactersWithSpaces>17740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2026-09-11T13:50:00Z</dcterms:created>
  <dc:creator>Un-named</dc:creator>
  <cp:lastModifiedBy>triveni m</cp:lastModifiedBy>
  <dcterms:modified xsi:type="dcterms:W3CDTF">2026-09-11T13:56:24Z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eyJoZGlkIjoiYmEyZDMxNWRkYmY5MjE3NjUxYTk3ZDA1NDUyNmVkYWEiLCJ1c2VySWQiOiI1NjcxMTc4OTI4NjkifQ==</vt:lpwstr>
  </property>
  <property fmtid="{D5CDD505-2E9C-101B-9397-08002B2CF9AE}" pid="3" name="KSOProductBuildVer">
    <vt:lpwstr>1033-12.1.0.28485</vt:lpwstr>
  </property>
  <property fmtid="{D5CDD505-2E9C-101B-9397-08002B2CF9AE}" pid="4" name="ICV">
    <vt:lpwstr>2B134FC2A8304BCBB08A3955C0A07DC5_12</vt:lpwstr>
  </property>
</Properties>
</file>