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val="false"/>
          <w:bCs w:val="false"/>
          <w:i w:val="false"/>
          <w:iCs w:val="false"/>
          <w:sz w:val="36"/>
          <w:szCs w:val="36"/>
        </w:rPr>
        <w:t xml:space="preserve">A Unified Physics-Based Compact Model and Calibrated Circuit-Validation Flow for Multi-Material CFET Logic: Si, SiGe, MoS</w:t>
      </w:r>
      <w:r>
        <w:rPr>
          <w:rFonts w:ascii="Times New Roman" w:cs="Times New Roman" w:eastAsia="Times New Roman" w:hAnsi="Times New Roman"/>
          <w:b w:val="false"/>
          <w:bCs w:val="false"/>
          <w:i w:val="false"/>
          <w:iCs w:val="false"/>
          <w:sz w:val="36"/>
          <w:szCs w:val="36"/>
          <w:vertAlign w:val="subscript"/>
        </w:rPr>
        <w:t xml:space="preserve">2</w:t>
      </w:r>
      <w:r>
        <w:rPr>
          <w:rFonts w:ascii="Times New Roman" w:cs="Times New Roman" w:eastAsia="Times New Roman" w:hAnsi="Times New Roman"/>
          <w:b w:val="false"/>
          <w:bCs w:val="false"/>
          <w:i w:val="false"/>
          <w:iCs w:val="false"/>
          <w:sz w:val="36"/>
          <w:szCs w:val="36"/>
        </w:rPr>
        <w:t xml:space="preserve">/WSe</w:t>
      </w:r>
      <w:r>
        <w:rPr>
          <w:rFonts w:ascii="Times New Roman" w:cs="Times New Roman" w:eastAsia="Times New Roman" w:hAnsi="Times New Roman"/>
          <w:b w:val="false"/>
          <w:bCs w:val="false"/>
          <w:i w:val="false"/>
          <w:iCs w:val="false"/>
          <w:sz w:val="36"/>
          <w:szCs w:val="36"/>
          <w:vertAlign w:val="subscript"/>
        </w:rPr>
        <w:t xml:space="preserve">2</w:t>
      </w:r>
      <w:r>
        <w:rPr>
          <w:rFonts w:ascii="Times New Roman" w:cs="Times New Roman" w:eastAsia="Times New Roman" w:hAnsi="Times New Roman"/>
          <w:b w:val="false"/>
          <w:bCs w:val="false"/>
          <w:i w:val="false"/>
          <w:iCs w:val="false"/>
          <w:sz w:val="36"/>
          <w:szCs w:val="36"/>
        </w:rPr>
        <w:t xml:space="preserve">, CNT and GaN</w:t>
      </w:r>
    </w:p>
    <w:p>
      <w:pPr>
        <w:spacing w:after="60"/>
        <w:jc w:val="center"/>
      </w:pPr>
      <w:r>
        <w:rPr>
          <w:rFonts w:ascii="Times New Roman" w:cs="Times New Roman" w:eastAsia="Times New Roman" w:hAnsi="Times New Roman"/>
          <w:sz w:val="22"/>
          <w:szCs w:val="22"/>
        </w:rPr>
        <w:t xml:space="preserve">M. Nisha Angeline</w:t>
      </w:r>
    </w:p>
    <w:p>
      <w:pPr>
        <w:spacing w:after="240"/>
        <w:jc w:val="center"/>
      </w:pPr>
      <w:r>
        <w:rPr>
          <w:rFonts w:ascii="Times New Roman" w:cs="Times New Roman" w:eastAsia="Times New Roman" w:hAnsi="Times New Roman"/>
          <w:i/>
          <w:iCs/>
          <w:sz w:val="18"/>
          <w:szCs w:val="18"/>
        </w:rPr>
        <w:t xml:space="preserve">Department of Electronics and Communication Engineering, Velalar College of Engineering and Technology, Thindal, Erode, Tamil Nadu, India (e-mail: nishavlsidesign@gmail.com)</w:t>
      </w:r>
    </w:p>
    <w:p>
      <w:pPr>
        <w:sectPr>
          <w:footerReference w:type="default" r:id="rId7"/>
          <w:type w:val="continuous"/>
          <w:pgSz w:w="11906" w:h="16838" w:orient="portrait"/>
          <w:pgMar w:top="1080" w:right="900" w:bottom="1080" w:left="900" w:header="708" w:footer="708" w:gutter="0"/>
          <w:pgNumType/>
          <w:cols w:num="1"/>
          <w:docGrid w:linePitch="360"/>
        </w:sectPr>
      </w:pPr>
    </w:p>
    <w:p>
      <w:pPr>
        <w:spacing w:after="1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i w:val="false"/>
          <w:iCs w:val="false"/>
          <w:sz w:val="18"/>
          <w:szCs w:val="18"/>
        </w:rPr>
        <w:t xml:space="preserve">Complementary FET (CFET) stacking removes the n/p lateral separation from the standard-cell footprint, but the choice of channel material for the two tiers is still open. We present a unified, physics-based compact model (UCM-CFET) whose single equation core (EKV-type smooth overdrive, velocity-saturation-limited drift–diffusion current with a </w:t>
      </w:r>
      <w:r>
        <w:rPr>
          <w:rFonts w:ascii="Times New Roman" w:cs="Times New Roman" w:eastAsia="Times New Roman" w:hAnsi="Times New Roman"/>
          <w:b/>
          <w:bCs/>
          <w:i w:val="false"/>
          <w:iCs w:val="false"/>
          <w:sz w:val="18"/>
          <w:szCs w:val="18"/>
        </w:rPr>
        <w:t xml:space="preserve">tanh</w:t>
      </w:r>
      <w:r>
        <w:rPr>
          <w:rFonts w:ascii="Times New Roman" w:cs="Times New Roman" w:eastAsia="Times New Roman" w:hAnsi="Times New Roman"/>
          <w:b/>
          <w:bCs/>
          <w:i w:val="false"/>
          <w:iCs w:val="false"/>
          <w:sz w:val="18"/>
          <w:szCs w:val="18"/>
        </w:rPr>
        <w:t xml:space="preserve"> drain-voltage interpolation, charge-conserving terminal charges, series resistance and temperature dependence) is extended by material blocks: quantum capacitance and trap-limited ideality for two-dimensional MoS</w:t>
      </w:r>
      <w:r>
        <w:rPr>
          <w:rFonts w:ascii="Times New Roman" w:cs="Times New Roman" w:eastAsia="Times New Roman" w:hAnsi="Times New Roman"/>
          <w:b/>
          <w:bCs/>
          <w:i w:val="false"/>
          <w:iCs w:val="false"/>
          <w:sz w:val="18"/>
          <w:szCs w:val="18"/>
          <w:vertAlign w:val="subscript"/>
        </w:rPr>
        <w:t xml:space="preserve">2</w:t>
      </w:r>
      <w:r>
        <w:rPr>
          <w:rFonts w:ascii="Times New Roman" w:cs="Times New Roman" w:eastAsia="Times New Roman" w:hAnsi="Times New Roman"/>
          <w:b/>
          <w:bCs/>
          <w:i w:val="false"/>
          <w:iCs w:val="false"/>
          <w:sz w:val="18"/>
          <w:szCs w:val="18"/>
        </w:rPr>
        <w:t xml:space="preserve">/WSe</w:t>
      </w:r>
      <w:r>
        <w:rPr>
          <w:rFonts w:ascii="Times New Roman" w:cs="Times New Roman" w:eastAsia="Times New Roman" w:hAnsi="Times New Roman"/>
          <w:b/>
          <w:bCs/>
          <w:i w:val="false"/>
          <w:iCs w:val="false"/>
          <w:sz w:val="18"/>
          <w:szCs w:val="18"/>
          <w:vertAlign w:val="subscript"/>
        </w:rPr>
        <w:t xml:space="preserve">2</w:t>
      </w:r>
      <w:r>
        <w:rPr>
          <w:rFonts w:ascii="Times New Roman" w:cs="Times New Roman" w:eastAsia="Times New Roman" w:hAnsi="Times New Roman"/>
          <w:b/>
          <w:bCs/>
          <w:i w:val="false"/>
          <w:iCs w:val="false"/>
          <w:sz w:val="18"/>
          <w:szCs w:val="18"/>
        </w:rPr>
        <w:t xml:space="preserve"> channels, a Landauer quasi-ballistic branch with a metallic-tube shunt for carbon-nanotube (CNT) arrays, and an electro-thermal node for GaN. Nine device models (Si GAA n/p, SiGe p, MoS</w:t>
      </w:r>
      <w:r>
        <w:rPr>
          <w:rFonts w:ascii="Times New Roman" w:cs="Times New Roman" w:eastAsia="Times New Roman" w:hAnsi="Times New Roman"/>
          <w:b/>
          <w:bCs/>
          <w:i w:val="false"/>
          <w:iCs w:val="false"/>
          <w:sz w:val="18"/>
          <w:szCs w:val="18"/>
          <w:vertAlign w:val="subscript"/>
        </w:rPr>
        <w:t xml:space="preserve">2</w:t>
      </w:r>
      <w:r>
        <w:rPr>
          <w:rFonts w:ascii="Times New Roman" w:cs="Times New Roman" w:eastAsia="Times New Roman" w:hAnsi="Times New Roman"/>
          <w:b/>
          <w:bCs/>
          <w:i w:val="false"/>
          <w:iCs w:val="false"/>
          <w:sz w:val="18"/>
          <w:szCs w:val="18"/>
        </w:rPr>
        <w:t xml:space="preserve"> n, WSe</w:t>
      </w:r>
      <w:r>
        <w:rPr>
          <w:rFonts w:ascii="Times New Roman" w:cs="Times New Roman" w:eastAsia="Times New Roman" w:hAnsi="Times New Roman"/>
          <w:b/>
          <w:bCs/>
          <w:i w:val="false"/>
          <w:iCs w:val="false"/>
          <w:sz w:val="18"/>
          <w:szCs w:val="18"/>
          <w:vertAlign w:val="subscript"/>
        </w:rPr>
        <w:t xml:space="preserve">2</w:t>
      </w:r>
      <w:r>
        <w:rPr>
          <w:rFonts w:ascii="Times New Roman" w:cs="Times New Roman" w:eastAsia="Times New Roman" w:hAnsi="Times New Roman"/>
          <w:b/>
          <w:bCs/>
          <w:i w:val="false"/>
          <w:iCs w:val="false"/>
          <w:sz w:val="18"/>
          <w:szCs w:val="18"/>
        </w:rPr>
        <w:t xml:space="preserve"> p, CNT n/p, GaN n and projected p-GaN) are written once as Verilog-A for Cadence Spectre/ADE, mirrored exactly (within 0.1%) by an open-source ngspice behavioural library, and calibrated by least squares to literature-anchored reference </w:t>
      </w:r>
      <w:r>
        <w:rPr>
          <w:rFonts w:ascii="Times New Roman" w:cs="Times New Roman" w:eastAsia="Times New Roman" w:hAnsi="Times New Roman"/>
          <w:b/>
          <w:bCs/>
          <w:i/>
          <w:iCs/>
          <w:sz w:val="18"/>
          <w:szCs w:val="18"/>
        </w:rPr>
        <w:t xml:space="preserve">I</w:t>
      </w:r>
      <w:r>
        <w:rPr>
          <w:rFonts w:ascii="Times New Roman" w:cs="Times New Roman" w:eastAsia="Times New Roman" w:hAnsi="Times New Roman"/>
          <w:b/>
          <w:bCs/>
          <w:i w:val="false"/>
          <w:iCs w:val="false"/>
          <w:sz w:val="18"/>
          <w:szCs w:val="18"/>
        </w:rPr>
        <w:t xml:space="preserve">–</w:t>
      </w:r>
      <w:r>
        <w:rPr>
          <w:rFonts w:ascii="Times New Roman" w:cs="Times New Roman" w:eastAsia="Times New Roman" w:hAnsi="Times New Roman"/>
          <w:b/>
          <w:bCs/>
          <w:i/>
          <w:iCs/>
          <w:sz w:val="18"/>
          <w:szCs w:val="18"/>
        </w:rPr>
        <w:t xml:space="preserve">V</w:t>
      </w:r>
      <w:r>
        <w:rPr>
          <w:rFonts w:ascii="Times New Roman" w:cs="Times New Roman" w:eastAsia="Times New Roman" w:hAnsi="Times New Roman"/>
          <w:b/>
          <w:bCs/>
          <w:i w:val="false"/>
          <w:iCs w:val="false"/>
          <w:sz w:val="18"/>
          <w:szCs w:val="18"/>
        </w:rPr>
        <w:t xml:space="preserve"> data with 1.3–12.1% mean absolute percentage error on </w:t>
      </w:r>
      <w:r>
        <w:rPr>
          <w:rFonts w:ascii="Times New Roman" w:cs="Times New Roman" w:eastAsia="Times New Roman" w:hAnsi="Times New Roman"/>
          <w:b/>
          <w:bCs/>
          <w:i/>
          <w:iCs/>
          <w:sz w:val="18"/>
          <w:szCs w:val="18"/>
        </w:rPr>
        <w:t xml:space="preserve">I</w:t>
      </w:r>
      <w:r>
        <w:rPr>
          <w:rFonts w:ascii="Times New Roman" w:cs="Times New Roman" w:eastAsia="Times New Roman" w:hAnsi="Times New Roman"/>
          <w:b/>
          <w:bCs/>
          <w:i/>
          <w:iCs/>
          <w:sz w:val="18"/>
          <w:szCs w:val="18"/>
          <w:vertAlign w:val="subscript"/>
        </w:rPr>
        <w:t xml:space="preserve">D</w:t>
      </w:r>
      <w:r>
        <w:rPr>
          <w:rFonts w:ascii="Times New Roman" w:cs="Times New Roman" w:eastAsia="Times New Roman" w:hAnsi="Times New Roman"/>
          <w:b/>
          <w:bCs/>
          <w:i w:val="false"/>
          <w:iCs w:val="false"/>
          <w:sz w:val="18"/>
          <w:szCs w:val="18"/>
        </w:rPr>
        <w:t xml:space="preserve">–</w:t>
      </w:r>
      <w:r>
        <w:rPr>
          <w:rFonts w:ascii="Times New Roman" w:cs="Times New Roman" w:eastAsia="Times New Roman" w:hAnsi="Times New Roman"/>
          <w:b/>
          <w:bCs/>
          <w:i/>
          <w:iCs/>
          <w:sz w:val="18"/>
          <w:szCs w:val="18"/>
        </w:rPr>
        <w:t xml:space="preserve">V</w:t>
      </w:r>
      <w:r>
        <w:rPr>
          <w:rFonts w:ascii="Times New Roman" w:cs="Times New Roman" w:eastAsia="Times New Roman" w:hAnsi="Times New Roman"/>
          <w:b/>
          <w:bCs/>
          <w:i/>
          <w:iCs/>
          <w:sz w:val="18"/>
          <w:szCs w:val="18"/>
          <w:vertAlign w:val="subscript"/>
        </w:rPr>
        <w:t xml:space="preserve">G</w:t>
      </w:r>
      <w:r>
        <w:rPr>
          <w:rFonts w:ascii="Times New Roman" w:cs="Times New Roman" w:eastAsia="Times New Roman" w:hAnsi="Times New Roman"/>
          <w:b/>
          <w:bCs/>
          <w:i w:val="false"/>
          <w:iCs w:val="false"/>
          <w:sz w:val="18"/>
          <w:szCs w:val="18"/>
        </w:rPr>
        <w:t xml:space="preserve"> and 3.7–12.6% on </w:t>
      </w:r>
      <w:r>
        <w:rPr>
          <w:rFonts w:ascii="Times New Roman" w:cs="Times New Roman" w:eastAsia="Times New Roman" w:hAnsi="Times New Roman"/>
          <w:b/>
          <w:bCs/>
          <w:i/>
          <w:iCs/>
          <w:sz w:val="18"/>
          <w:szCs w:val="18"/>
        </w:rPr>
        <w:t xml:space="preserve">I</w:t>
      </w:r>
      <w:r>
        <w:rPr>
          <w:rFonts w:ascii="Times New Roman" w:cs="Times New Roman" w:eastAsia="Times New Roman" w:hAnsi="Times New Roman"/>
          <w:b/>
          <w:bCs/>
          <w:i/>
          <w:iCs/>
          <w:sz w:val="18"/>
          <w:szCs w:val="18"/>
          <w:vertAlign w:val="subscript"/>
        </w:rPr>
        <w:t xml:space="preserve">D</w:t>
      </w:r>
      <w:r>
        <w:rPr>
          <w:rFonts w:ascii="Times New Roman" w:cs="Times New Roman" w:eastAsia="Times New Roman" w:hAnsi="Times New Roman"/>
          <w:b/>
          <w:bCs/>
          <w:i w:val="false"/>
          <w:iCs w:val="false"/>
          <w:sz w:val="18"/>
          <w:szCs w:val="18"/>
        </w:rPr>
        <w:t xml:space="preserve">–</w:t>
      </w:r>
      <w:r>
        <w:rPr>
          <w:rFonts w:ascii="Times New Roman" w:cs="Times New Roman" w:eastAsia="Times New Roman" w:hAnsi="Times New Roman"/>
          <w:b/>
          <w:bCs/>
          <w:i/>
          <w:iCs/>
          <w:sz w:val="18"/>
          <w:szCs w:val="18"/>
        </w:rPr>
        <w:t xml:space="preserve">V</w:t>
      </w:r>
      <w:r>
        <w:rPr>
          <w:rFonts w:ascii="Times New Roman" w:cs="Times New Roman" w:eastAsia="Times New Roman" w:hAnsi="Times New Roman"/>
          <w:b/>
          <w:bCs/>
          <w:i/>
          <w:iCs/>
          <w:sz w:val="18"/>
          <w:szCs w:val="18"/>
          <w:vertAlign w:val="subscript"/>
        </w:rPr>
        <w:t xml:space="preserve">D</w:t>
      </w:r>
      <w:r>
        <w:rPr>
          <w:rFonts w:ascii="Times New Roman" w:cs="Times New Roman" w:eastAsia="Times New Roman" w:hAnsi="Times New Roman"/>
          <w:b/>
          <w:bCs/>
          <w:i w:val="false"/>
          <w:iCs w:val="false"/>
          <w:sz w:val="18"/>
          <w:szCs w:val="18"/>
        </w:rPr>
        <w:t xml:space="preserve"> families. The calibrated models drive a common CFET inverter cell with explicit inter-tier coupling capacitance, output parasitic and local-interconnect resistance, 5/7/9-stage ring oscillators (ROs), unified </w:t>
      </w:r>
      <w:r>
        <w:rPr>
          <w:rFonts w:ascii="Times New Roman" w:cs="Times New Roman" w:eastAsia="Times New Roman" w:hAnsi="Times New Roman"/>
          <w:b/>
          <w:bCs/>
          <w:i/>
          <w:iCs/>
          <w:sz w:val="18"/>
          <w:szCs w:val="18"/>
        </w:rPr>
        <w:t xml:space="preserve">V</w:t>
      </w:r>
      <w:r>
        <w:rPr>
          <w:rFonts w:ascii="Times New Roman" w:cs="Times New Roman" w:eastAsia="Times New Roman" w:hAnsi="Times New Roman"/>
          <w:b/>
          <w:bCs/>
          <w:i/>
          <w:iCs/>
          <w:sz w:val="18"/>
          <w:szCs w:val="18"/>
          <w:vertAlign w:val="subscript"/>
        </w:rPr>
        <w:t xml:space="preserve">DD</w:t>
      </w:r>
      <w:r>
        <w:rPr>
          <w:rFonts w:ascii="Times New Roman" w:cs="Times New Roman" w:eastAsia="Times New Roman" w:hAnsi="Times New Roman"/>
          <w:b/>
          <w:bCs/>
          <w:i w:val="false"/>
          <w:iCs w:val="false"/>
          <w:sz w:val="18"/>
          <w:szCs w:val="18"/>
        </w:rPr>
        <w:t xml:space="preserve"> and temperature sweeps, material-specific sensitivity studies and Monte Carlo yield analysis. At nominal supply the 5-stage ROs run at 19.39, 21.39, 2.59, 45.39 and 1.69 GHz for the Si, SiGe, TMD, CNT and GaN platforms with 2.09, 2.12, 0.67, 0.84 and 94.17 fJ per cycle. A contact-resistance crossover map shows the TMD CFET keeps an iso-frequency energy advantage over Si only below a critical contact resistance; the CNT inverter loses its gain once the metallic-tube fraction exceeds about </w:t>
      </w:r>
      <w:r>
        <w:rPr>
          <w:rFonts w:ascii="Times New Roman" w:cs="Times New Roman" w:eastAsia="Times New Roman" w:hAnsi="Times New Roman"/>
          <w:b/>
          <w:bCs/>
          <w:i w:val="false"/>
          <w:iCs w:val="false"/>
          <w:sz w:val="18"/>
          <w:szCs w:val="18"/>
        </w:rPr>
        <w:t xml:space="preserve">5\</w:t>
      </w:r>
      <w:r>
        <w:rPr>
          <w:rFonts w:ascii="Times New Roman" w:cs="Times New Roman" w:eastAsia="Times New Roman" w:hAnsi="Times New Roman"/>
          <w:b/>
          <w:bCs/>
          <w:i/>
          <w:iCs/>
          <w:sz w:val="18"/>
          <w:szCs w:val="18"/>
        </w:rPr>
        <w:t xml:space="preserve">times</w:t>
      </w:r>
      <w:r>
        <w:rPr>
          <w:rFonts w:ascii="Times New Roman" w:cs="Times New Roman" w:eastAsia="Times New Roman" w:hAnsi="Times New Roman"/>
          <w:b/>
          <w:bCs/>
          <w:i w:val="false"/>
          <w:iCs w:val="false"/>
          <w:sz w:val="18"/>
          <w:szCs w:val="18"/>
        </w:rPr>
        <w:t xml:space="preserve">10</w:t>
      </w:r>
      <w:r>
        <w:rPr>
          <w:rFonts w:ascii="Times New Roman" w:cs="Times New Roman" w:eastAsia="Times New Roman" w:hAnsi="Times New Roman"/>
          <w:b/>
          <w:bCs/>
          <w:i/>
          <w:iCs/>
          <w:sz w:val="18"/>
          <w:szCs w:val="18"/>
          <w:vertAlign w:val="superscript"/>
        </w:rPr>
        <w:t xml:space="preserve">-3</w:t>
      </w:r>
      <w:r>
        <w:rPr>
          <w:rFonts w:ascii="Times New Roman" w:cs="Times New Roman" w:eastAsia="Times New Roman" w:hAnsi="Times New Roman"/>
          <w:b/>
          <w:bCs/>
          <w:i w:val="false"/>
          <w:iCs w:val="false"/>
          <w:sz w:val="18"/>
          <w:szCs w:val="18"/>
        </w:rPr>
        <w:t xml:space="preserve">; the GaN platform shows a frequency temperature coefficient of 501 ppm/K between 300 and 500 K. The outcome is a material-selection map rather than a single winner, together with conceptual, DRC-clean GDSII layouts of the five inverter and RO cells.</w:t>
      </w:r>
    </w:p>
    <w:p>
      <w:pPr>
        <w:spacing w:after="2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i w:val="false"/>
          <w:iCs w:val="false"/>
          <w:sz w:val="18"/>
          <w:szCs w:val="18"/>
        </w:rPr>
        <w:t xml:space="preserve">CFET, compact model, Verilog-A, nanosheet, SiGe, MoS</w:t>
      </w:r>
      <w:r>
        <w:rPr>
          <w:rFonts w:ascii="Times New Roman" w:cs="Times New Roman" w:eastAsia="Times New Roman" w:hAnsi="Times New Roman"/>
          <w:b/>
          <w:bCs/>
          <w:i w:val="false"/>
          <w:iCs w:val="false"/>
          <w:sz w:val="18"/>
          <w:szCs w:val="18"/>
          <w:vertAlign w:val="subscript"/>
        </w:rPr>
        <w:t xml:space="preserve">2</w:t>
      </w:r>
      <w:r>
        <w:rPr>
          <w:rFonts w:ascii="Times New Roman" w:cs="Times New Roman" w:eastAsia="Times New Roman" w:hAnsi="Times New Roman"/>
          <w:b/>
          <w:bCs/>
          <w:i w:val="false"/>
          <w:iCs w:val="false"/>
          <w:sz w:val="18"/>
          <w:szCs w:val="18"/>
        </w:rPr>
        <w:t xml:space="preserve">, WSe</w:t>
      </w:r>
      <w:r>
        <w:rPr>
          <w:rFonts w:ascii="Times New Roman" w:cs="Times New Roman" w:eastAsia="Times New Roman" w:hAnsi="Times New Roman"/>
          <w:b/>
          <w:bCs/>
          <w:i w:val="false"/>
          <w:iCs w:val="false"/>
          <w:sz w:val="18"/>
          <w:szCs w:val="18"/>
          <w:vertAlign w:val="subscript"/>
        </w:rPr>
        <w:t xml:space="preserve">2</w:t>
      </w:r>
      <w:r>
        <w:rPr>
          <w:rFonts w:ascii="Times New Roman" w:cs="Times New Roman" w:eastAsia="Times New Roman" w:hAnsi="Times New Roman"/>
          <w:b/>
          <w:bCs/>
          <w:i w:val="false"/>
          <w:iCs w:val="false"/>
          <w:sz w:val="18"/>
          <w:szCs w:val="18"/>
        </w:rPr>
        <w:t xml:space="preserve">, carbon nanotube, GaN, ring oscillator, Monte Carlo, design-technology co-optimization.</w:t>
      </w:r>
    </w:p>
    <w:p>
      <w:pPr>
        <w:pStyle w:val="Heading1"/>
        <w:keepNext/>
        <w:spacing w:after="120" w:before="240"/>
        <w:jc w:val="center"/>
      </w:pPr>
      <w:r>
        <w:rPr>
          <w:rFonts w:ascii="Times New Roman" w:cs="Times New Roman" w:eastAsia="Times New Roman" w:hAnsi="Times New Roman"/>
          <w:b w:val="false"/>
          <w:bCs w:val="false"/>
          <w:sz w:val="20"/>
          <w:szCs w:val="20"/>
        </w:rPr>
        <w:t xml:space="preserve">I. INTRODUCTION</w:t>
      </w: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The complementary FET (CFET), in which the p-channel device is stacked vertically over the n-channel device around a common gate, is the leading candidate to continue track-height scaling below the lateral gate-all-around (GAA) nanosheet node [1, 2, 3]. Because the two tiers are fabricated sequentially or share a common stack, the CFET also opens the possibility of placing </w:t>
      </w:r>
      <w:r>
        <w:rPr>
          <w:rFonts w:ascii="Times New Roman" w:cs="Times New Roman" w:eastAsia="Times New Roman" w:hAnsi="Times New Roman"/>
          <w:b w:val="false"/>
          <w:bCs w:val="false"/>
          <w:i/>
          <w:iCs/>
          <w:sz w:val="20"/>
          <w:szCs w:val="20"/>
        </w:rPr>
        <w:t xml:space="preserve">different channel materials</w:t>
      </w:r>
      <w:r>
        <w:rPr>
          <w:rFonts w:ascii="Times New Roman" w:cs="Times New Roman" w:eastAsia="Times New Roman" w:hAnsi="Times New Roman"/>
          <w:b w:val="false"/>
          <w:bCs w:val="false"/>
          <w:i w:val="false"/>
          <w:iCs w:val="false"/>
          <w:sz w:val="20"/>
          <w:szCs w:val="20"/>
        </w:rPr>
        <w:t xml:space="preserve"> in the two tiers: strained SiGe for the hole channel [4, 5], two-dimensional (2D) transition-metal dichalcogenides (TMDs) for ultimate thickness scaling [6, 7, 8, 9, 10], aligned carbon-nanotube (CNT) arrays for quasi-ballistic transport [11, 12, 13], and wide-band-gap GaN for high-temperature or power-control logic [14, 15, 16, 17].</w:t>
      </w: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Assessing these options at the circuit level requires compact models that are (i) physically interpretable, so that a material parameter such as contact resistance or metallic-tube fraction maps to one model parameter, (ii) numerically smooth, so that Spectre or ngspice converge in ring-oscillator (RO) transients, (iii) charge-conserving, so that delay and energy are meaningful, and (iv) calibrated by a documented procedure. Industry-standard models such as BSIM-CMG [18] satisfy (ii)–(iii) for Si but do not expose 2D, CNT or GaN physics; published 2D [19] and CNT [20] models are material-specific and are rarely compared on one footing.</w:t>
      </w: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This paper makes four contributions. First, a unified compact model (UCM-CFET) with one core and four material blocks, written in Verilog-A for Cadence Virtuoso/Spectre/ADE [21, 22, 23] and mirrored by an ngspice behavioural library [24] that reproduces the Verilog-A equations to within 0.1%. Second, a reproducible calibration flow with explicit targets and error metrics. Third, a complete circuit-validation flow (inverter cell with CFET parasitics, VTC, transient delay and energy, 5/7/9-stage ROs,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val="false"/>
          <w:iCs w:val="false"/>
          <w:sz w:val="20"/>
          <w:szCs w:val="20"/>
        </w:rPr>
        <w:t xml:space="preserve"> and temperature sweeps, material-specific sensitivity studies, Monte Carlo yield), executed identically for all five platforms. Fourth, a material-selection map derived from those results. The platform maturity is stated explicitly (Table I): the Si and SiGe models are advanced-node, roadmap-relevant; the TMD and CNT models are emerging post-Si projections; the GaN model, in particular its p-channel device, is exploratory.</w:t>
      </w:r>
    </w:p>
    <w:p>
      <w:pPr>
        <w:keepNext/>
        <w:spacing w:after="40" w:before="12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b w:val="false"/>
          <w:bCs w:val="false"/>
          <w:i w:val="false"/>
          <w:iCs w:val="false"/>
          <w:sz w:val="16"/>
          <w:szCs w:val="16"/>
        </w:rPr>
        <w:t xml:space="preserve">The five CFET material platforms and their maturity.</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008"/>
        <w:gridCol w:w="1008"/>
        <w:gridCol w:w="1008"/>
        <w:gridCol w:w="1008"/>
        <w:gridCol w:w="1008"/>
      </w:tblGrid>
      <w:tr>
        <w:tc>
          <w:tcPr>
            <w:tcW w:type="dxa" w:w="1008"/>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lllp{2.6cm}c@{}}
ID</w:t>
            </w:r>
          </w:p>
        </w:tc>
        <w:tc>
          <w:tcPr>
            <w:tcW w:type="dxa" w:w="1008"/>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Bottom (n)</w:t>
            </w:r>
          </w:p>
        </w:tc>
        <w:tc>
          <w:tcPr>
            <w:tcW w:type="dxa" w:w="1008"/>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Top (p)</w:t>
            </w:r>
          </w:p>
        </w:tc>
        <w:tc>
          <w:tcPr>
            <w:tcW w:type="dxa" w:w="1008"/>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Purpose (maturity)</w:t>
            </w:r>
          </w:p>
        </w:tc>
        <w:tc>
          <w:tcPr>
            <w:tcW w:type="dxa" w:w="1008"/>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V</w:t>
            </w:r>
            <w:r>
              <w:rPr>
                <w:rFonts w:ascii="Times New Roman" w:cs="Times New Roman" w:eastAsia="Times New Roman" w:hAnsi="Times New Roman"/>
                <w:b w:val="false"/>
                <w:bCs w:val="false"/>
                <w:i/>
                <w:iCs/>
                <w:sz w:val="14"/>
                <w:szCs w:val="14"/>
                <w:vertAlign w:val="subscript"/>
              </w:rPr>
              <w:t xml:space="preserve">DD</w:t>
            </w:r>
          </w:p>
        </w:tc>
      </w:tr>
      <w:tr>
        <w:tc>
          <w:tcPr>
            <w:tcW w:type="dxa" w:w="100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CFET-Si</w:t>
            </w:r>
          </w:p>
        </w:tc>
        <w:tc>
          <w:tcPr>
            <w:tcW w:type="dxa" w:w="100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Si GAA NS</w:t>
            </w:r>
          </w:p>
        </w:tc>
        <w:tc>
          <w:tcPr>
            <w:tcW w:type="dxa" w:w="100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Si GAA NS</w:t>
            </w:r>
          </w:p>
        </w:tc>
        <w:tc>
          <w:tcPr>
            <w:tcW w:type="dxa" w:w="100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baseline logic (advanced node)</w:t>
            </w:r>
          </w:p>
        </w:tc>
        <w:tc>
          <w:tcPr>
            <w:tcW w:type="dxa" w:w="100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 V</w:t>
            </w:r>
          </w:p>
        </w:tc>
      </w:tr>
      <w:tr>
        <w:tc>
          <w:tcPr>
            <w:tcW w:type="dxa" w:w="100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CFET-SiGe</w:t>
            </w:r>
          </w:p>
        </w:tc>
        <w:tc>
          <w:tcPr>
            <w:tcW w:type="dxa" w:w="100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Si GAA NS</w:t>
            </w:r>
          </w:p>
        </w:tc>
        <w:tc>
          <w:tcPr>
            <w:tcW w:type="dxa" w:w="100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SiGe GAA NS</w:t>
            </w:r>
          </w:p>
        </w:tc>
        <w:tc>
          <w:tcPr>
            <w:tcW w:type="dxa" w:w="100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p-FET mobility boost (advanced node)</w:t>
            </w:r>
          </w:p>
        </w:tc>
        <w:tc>
          <w:tcPr>
            <w:tcW w:type="dxa" w:w="100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 V</w:t>
            </w:r>
          </w:p>
        </w:tc>
      </w:tr>
      <w:tr>
        <w:tc>
          <w:tcPr>
            <w:tcW w:type="dxa" w:w="100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CFET-TMD</w:t>
            </w:r>
          </w:p>
        </w:tc>
        <w:tc>
          <w:tcPr>
            <w:tcW w:type="dxa" w:w="100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MoS</w:t>
            </w:r>
            <w:r>
              <w:rPr>
                <w:rFonts w:ascii="Times New Roman" w:cs="Times New Roman" w:eastAsia="Times New Roman" w:hAnsi="Times New Roman"/>
                <w:b w:val="false"/>
                <w:bCs w:val="false"/>
                <w:i w:val="false"/>
                <w:iCs w:val="false"/>
                <w:sz w:val="14"/>
                <w:szCs w:val="14"/>
                <w:vertAlign w:val="subscript"/>
              </w:rPr>
              <w:t xml:space="preserve">2</w:t>
            </w:r>
          </w:p>
        </w:tc>
        <w:tc>
          <w:tcPr>
            <w:tcW w:type="dxa" w:w="100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WSe</w:t>
            </w:r>
            <w:r>
              <w:rPr>
                <w:rFonts w:ascii="Times New Roman" w:cs="Times New Roman" w:eastAsia="Times New Roman" w:hAnsi="Times New Roman"/>
                <w:b w:val="false"/>
                <w:bCs w:val="false"/>
                <w:i w:val="false"/>
                <w:iCs w:val="false"/>
                <w:sz w:val="14"/>
                <w:szCs w:val="14"/>
                <w:vertAlign w:val="subscript"/>
              </w:rPr>
              <w:t xml:space="preserve">2</w:t>
            </w:r>
          </w:p>
        </w:tc>
        <w:tc>
          <w:tcPr>
            <w:tcW w:type="dxa" w:w="100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low-</w:t>
            </w:r>
            <w:r>
              <w:rPr>
                <w:rFonts w:ascii="Times New Roman" w:cs="Times New Roman" w:eastAsia="Times New Roman" w:hAnsi="Times New Roman"/>
                <w:b w:val="false"/>
                <w:bCs w:val="false"/>
                <w:i/>
                <w:iCs/>
                <w:sz w:val="14"/>
                <w:szCs w:val="14"/>
              </w:rPr>
              <w:t xml:space="preserve">V</w:t>
            </w:r>
            <w:r>
              <w:rPr>
                <w:rFonts w:ascii="Times New Roman" w:cs="Times New Roman" w:eastAsia="Times New Roman" w:hAnsi="Times New Roman"/>
                <w:b w:val="false"/>
                <w:bCs w:val="false"/>
                <w:i/>
                <w:iCs/>
                <w:sz w:val="14"/>
                <w:szCs w:val="14"/>
                <w:vertAlign w:val="subscript"/>
              </w:rPr>
              <w:t xml:space="preserve">DD</w:t>
            </w:r>
            <w:r>
              <w:rPr>
                <w:rFonts w:ascii="Times New Roman" w:cs="Times New Roman" w:eastAsia="Times New Roman" w:hAnsi="Times New Roman"/>
                <w:b w:val="false"/>
                <w:bCs w:val="false"/>
                <w:i w:val="false"/>
                <w:iCs w:val="false"/>
                <w:sz w:val="14"/>
                <w:szCs w:val="14"/>
              </w:rPr>
              <w:t xml:space="preserve">, contact-limited (emerging)</w:t>
            </w:r>
          </w:p>
        </w:tc>
        <w:tc>
          <w:tcPr>
            <w:tcW w:type="dxa" w:w="100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0.5 V</w:t>
            </w:r>
          </w:p>
        </w:tc>
      </w:tr>
      <w:tr>
        <w:tc>
          <w:tcPr>
            <w:tcW w:type="dxa" w:w="100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CFET-CNT</w:t>
            </w:r>
          </w:p>
        </w:tc>
        <w:tc>
          <w:tcPr>
            <w:tcW w:type="dxa" w:w="100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n-CNTFET</w:t>
            </w:r>
          </w:p>
        </w:tc>
        <w:tc>
          <w:tcPr>
            <w:tcW w:type="dxa" w:w="100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p-CNTFET</w:t>
            </w:r>
          </w:p>
        </w:tc>
        <w:tc>
          <w:tcPr>
            <w:tcW w:type="dxa" w:w="100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quasi-ballistic post-Si (emerging)</w:t>
            </w:r>
          </w:p>
        </w:tc>
        <w:tc>
          <w:tcPr>
            <w:tcW w:type="dxa" w:w="100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0.6 V</w:t>
            </w:r>
          </w:p>
        </w:tc>
      </w:tr>
      <w:tr>
        <w:tc>
          <w:tcPr>
            <w:tcW w:type="dxa" w:w="1008"/>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CFET-GaN</w:t>
            </w:r>
          </w:p>
        </w:tc>
        <w:tc>
          <w:tcPr>
            <w:tcW w:type="dxa" w:w="1008"/>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n-GaN</w:t>
            </w:r>
          </w:p>
        </w:tc>
        <w:tc>
          <w:tcPr>
            <w:tcW w:type="dxa" w:w="1008"/>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p-GaN (proj.)</w:t>
            </w:r>
          </w:p>
        </w:tc>
        <w:tc>
          <w:tcPr>
            <w:tcW w:type="dxa" w:w="1008"/>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high-</w:t>
            </w:r>
            <w:r>
              <w:rPr>
                <w:rFonts w:ascii="Times New Roman" w:cs="Times New Roman" w:eastAsia="Times New Roman" w:hAnsi="Times New Roman"/>
                <w:b w:val="false"/>
                <w:bCs w:val="false"/>
                <w:i/>
                <w:iCs/>
                <w:sz w:val="14"/>
                <w:szCs w:val="14"/>
              </w:rPr>
              <w:t xml:space="preserve">T</w:t>
            </w:r>
            <w:r>
              <w:rPr>
                <w:rFonts w:ascii="Times New Roman" w:cs="Times New Roman" w:eastAsia="Times New Roman" w:hAnsi="Times New Roman"/>
                <w:b w:val="false"/>
                <w:bCs w:val="false"/>
                <w:i w:val="false"/>
                <w:iCs w:val="false"/>
                <w:sz w:val="14"/>
                <w:szCs w:val="14"/>
              </w:rPr>
              <w:t xml:space="preserve">, power-control (exploratory)</w:t>
            </w:r>
          </w:p>
        </w:tc>
        <w:tc>
          <w:tcPr>
            <w:tcW w:type="dxa" w:w="1008"/>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1.2 V</w:t>
            </w:r>
          </w:p>
        </w:tc>
      </w:tr>
    </w:tbl>
    <w:p>
      <w:pPr>
        <w:spacing w:after="120"/>
      </w:pPr>
    </w:p>
    <w:p>
      <w:pPr>
        <w:spacing w:after="60" w:before="60"/>
        <w:jc w:val="center"/>
      </w:pPr>
      <w:r>
        <w:drawing>
          <wp:inline distT="0" distB="0" distL="0" distR="0">
            <wp:extent cx="32004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00400" cy="10953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b w:val="false"/>
          <w:bCs w:val="false"/>
          <w:i w:val="false"/>
          <w:iCs w:val="false"/>
          <w:sz w:val="16"/>
          <w:szCs w:val="16"/>
        </w:rPr>
        <w:t xml:space="preserve">Cross-section cartoons of the five CFET platforms: bottom n-tier, inter-tier dielectric, top p-tier, common gate wrapping both tiers, and n/p source/drain contacts. Maturity tags follow Table I.</w:t>
      </w:r>
    </w:p>
    <w:p>
      <w:pPr>
        <w:pStyle w:val="Heading1"/>
        <w:keepNext/>
        <w:spacing w:after="120" w:before="240"/>
        <w:jc w:val="center"/>
      </w:pPr>
      <w:r>
        <w:rPr>
          <w:rFonts w:ascii="Times New Roman" w:cs="Times New Roman" w:eastAsia="Times New Roman" w:hAnsi="Times New Roman"/>
          <w:b w:val="false"/>
          <w:bCs w:val="false"/>
          <w:sz w:val="20"/>
          <w:szCs w:val="20"/>
        </w:rPr>
        <w:t xml:space="preserve">II. UNIFIED COMPACT MODEL</w:t>
      </w:r>
    </w:p>
    <w:p>
      <w:pPr>
        <w:pStyle w:val="Heading2"/>
        <w:keepNext/>
        <w:spacing w:after="80" w:before="160"/>
      </w:pPr>
      <w:r>
        <w:rPr>
          <w:rFonts w:ascii="Times New Roman" w:cs="Times New Roman" w:eastAsia="Times New Roman" w:hAnsi="Times New Roman"/>
          <w:i/>
          <w:iCs/>
          <w:sz w:val="20"/>
          <w:szCs w:val="20"/>
        </w:rPr>
        <w:t xml:space="preserve">A. </w:t>
      </w:r>
      <w:r>
        <w:rPr>
          <w:rFonts w:ascii="Times New Roman" w:cs="Times New Roman" w:eastAsia="Times New Roman" w:hAnsi="Times New Roman"/>
          <w:b w:val="false"/>
          <w:bCs w:val="false"/>
          <w:i/>
          <w:iCs/>
          <w:sz w:val="20"/>
          <w:szCs w:val="20"/>
        </w:rPr>
        <w:t xml:space="preserve">Core equations</w:t>
      </w: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All nine devices share the four-terminal interface (d, g, s, b; b is a reference terminal tied to the source in every circuit) and internal nodes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iCs/>
          <w:sz w:val="20"/>
          <w:szCs w:val="20"/>
          <w:vertAlign w:val="subscript"/>
        </w:rPr>
        <w:t xml:space="preserve">i</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iCs/>
          <w:sz w:val="20"/>
          <w:szCs w:val="20"/>
          <w:vertAlign w:val="subscript"/>
        </w:rPr>
        <w:t xml:space="preserve">i</w:t>
      </w:r>
      <w:r>
        <w:rPr>
          <w:rFonts w:ascii="Times New Roman" w:cs="Times New Roman" w:eastAsia="Times New Roman" w:hAnsi="Times New Roman"/>
          <w:b w:val="false"/>
          <w:bCs w:val="false"/>
          <w:i w:val="false"/>
          <w:iCs w:val="false"/>
          <w:sz w:val="20"/>
          <w:szCs w:val="20"/>
        </w:rPr>
        <w:t xml:space="preserve"> (series resistance) and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iCs/>
          <w:sz w:val="20"/>
          <w:szCs w:val="20"/>
          <w:vertAlign w:val="subscript"/>
        </w:rPr>
        <w:t xml:space="preserve">j</w:t>
      </w:r>
      <w:r>
        <w:rPr>
          <w:rFonts w:ascii="Times New Roman" w:cs="Times New Roman" w:eastAsia="Times New Roman" w:hAnsi="Times New Roman"/>
          <w:b w:val="false"/>
          <w:bCs w:val="false"/>
          <w:i w:val="false"/>
          <w:iCs w:val="false"/>
          <w:sz w:val="20"/>
          <w:szCs w:val="20"/>
        </w:rPr>
        <w:t xml:space="preserve"> (temperature rise). With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T</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iCs/>
          <w:sz w:val="20"/>
          <w:szCs w:val="20"/>
          <w:vertAlign w:val="subscript"/>
        </w:rPr>
        <w:t xml:space="preserve">B</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iCs/>
          <w:sz w:val="20"/>
          <w:szCs w:val="20"/>
          <w:vertAlign w:val="subscript"/>
        </w:rPr>
        <w:t xml:space="preserve">dev</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rPr>
        <w:t xml:space="preserve">, the model uses an EKV-type smooth overdrive [25]</w:t>
      </w:r>
    </w:p>
    <w:p>
      <w:pPr>
        <w:tabs>
          <w:tab w:val="right" w:pos="5040"/>
        </w:tabs>
        <w:spacing w:after="60" w:before="60"/>
      </w:pPr>
      <w:r>
        <w:drawing>
          <wp:inline distT="0" distB="0" distL="0" distR="0">
            <wp:extent cx="275272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52725" cy="257175"/>
                    </a:xfrm>
                    <a:prstGeom prst="rect">
                      <a:avLst/>
                    </a:prstGeom>
                  </pic:spPr>
                </pic:pic>
              </a:graphicData>
            </a:graphic>
          </wp:inline>
        </w:drawing>
      </w:r>
      <w:r>
        <w:rPr>
          <w:rFonts w:ascii="Times New Roman" w:cs="Times New Roman" w:eastAsia="Times New Roman" w:hAnsi="Times New Roman"/>
          <w:sz w:val="20"/>
          <w:szCs w:val="20"/>
        </w:rPr>
        <w:t xml:space="preserve">	(1)</w:t>
      </w: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so that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ov</w:t>
      </w:r>
      <w:r>
        <w:rPr>
          <w:rFonts w:ascii="Times New Roman" w:cs="Times New Roman" w:eastAsia="Times New Roman" w:hAnsi="Times New Roman"/>
          <w:b w:val="false"/>
          <w:bCs w:val="false"/>
          <w:i w:val="false"/>
          <w:iCs w:val="false"/>
          <w:sz w:val="20"/>
          <w:szCs w:val="20"/>
          <w:vertAlign w:val="superscript"/>
        </w:rPr>
        <w:t xml:space="preserve">2</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val="false"/>
          <w:iCs w:val="false"/>
          <w:sz w:val="20"/>
          <w:szCs w:val="20"/>
        </w:rPr>
        <w:t xml:space="preserve">exp</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GS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TH</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nV</w:t>
      </w:r>
      <w:r>
        <w:rPr>
          <w:rFonts w:ascii="Times New Roman" w:cs="Times New Roman" w:eastAsia="Times New Roman" w:hAnsi="Times New Roman"/>
          <w:b w:val="false"/>
          <w:bCs w:val="false"/>
          <w:i/>
          <w:iCs/>
          <w:sz w:val="20"/>
          <w:szCs w:val="20"/>
          <w:vertAlign w:val="subscript"/>
        </w:rPr>
        <w:t xml:space="preserve">T</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in weak inversion (subthreshold slope </w:t>
      </w:r>
      <w:r>
        <w:rPr>
          <w:rFonts w:ascii="Times New Roman" w:cs="Times New Roman" w:eastAsia="Times New Roman" w:hAnsi="Times New Roman"/>
          <w:b w:val="false"/>
          <w:bCs w:val="false"/>
          <w:i/>
          <w:iCs/>
          <w:sz w:val="20"/>
          <w:szCs w:val="20"/>
        </w:rPr>
        <w:t xml:space="preserve">nV</w:t>
      </w:r>
      <w:r>
        <w:rPr>
          <w:rFonts w:ascii="Times New Roman" w:cs="Times New Roman" w:eastAsia="Times New Roman" w:hAnsi="Times New Roman"/>
          <w:b w:val="false"/>
          <w:bCs w:val="false"/>
          <w:i/>
          <w:iCs/>
          <w:sz w:val="20"/>
          <w:szCs w:val="20"/>
          <w:vertAlign w:val="subscript"/>
        </w:rPr>
        <w:t xml:space="preserve">T</w:t>
      </w:r>
      <w:r>
        <w:rPr>
          <w:rFonts w:ascii="Times New Roman" w:cs="Times New Roman" w:eastAsia="Times New Roman" w:hAnsi="Times New Roman"/>
          <w:b w:val="false"/>
          <w:bCs w:val="false"/>
          <w:i w:val="false"/>
          <w:iCs w:val="false"/>
          <w:sz w:val="20"/>
          <w:szCs w:val="20"/>
        </w:rPr>
        <w:t xml:space="preserve">ln</w:t>
      </w:r>
      <w:r>
        <w:rPr>
          <w:rFonts w:ascii="Times New Roman" w:cs="Times New Roman" w:eastAsia="Times New Roman" w:hAnsi="Times New Roman"/>
          <w:b w:val="false"/>
          <w:bCs w:val="false"/>
          <w:i w:val="false"/>
          <w:iCs w:val="false"/>
          <w:sz w:val="20"/>
          <w:szCs w:val="20"/>
        </w:rPr>
        <w:t xml:space="preserve"> 10</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ov</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GS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TH</w:t>
      </w:r>
      <w:r>
        <w:rPr>
          <w:rFonts w:ascii="Times New Roman" w:cs="Times New Roman" w:eastAsia="Times New Roman" w:hAnsi="Times New Roman"/>
          <w:b w:val="false"/>
          <w:bCs w:val="false"/>
          <w:i w:val="false"/>
          <w:iCs w:val="false"/>
          <w:sz w:val="20"/>
          <w:szCs w:val="20"/>
        </w:rPr>
        <w:t xml:space="preserve"> in strong inversion. Drain-induced barrier lowering enters as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TH,eff</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TH,T</w:t>
      </w:r>
      <w:r>
        <w:rPr>
          <w:rFonts w:ascii="Times New Roman" w:cs="Times New Roman" w:eastAsia="Times New Roman" w:hAnsi="Times New Roman"/>
          <w:b w:val="false"/>
          <w:bCs w:val="false"/>
          <w:i w:val="false"/>
          <w:iCs w:val="false"/>
          <w:sz w:val="20"/>
          <w:szCs w:val="20"/>
        </w:rPr>
        <w:t xml:space="preserve"> - η\</w:t>
      </w:r>
      <w:r>
        <w:rPr>
          <w:rFonts w:ascii="Times New Roman" w:cs="Times New Roman" w:eastAsia="Times New Roman" w:hAnsi="Times New Roman"/>
          <w:b w:val="false"/>
          <w:bCs w:val="false"/>
          <w:i/>
          <w:iCs/>
          <w:sz w:val="20"/>
          <w:szCs w:val="20"/>
        </w:rPr>
        <w:t xml:space="preserve">sqrt</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DS</w:t>
      </w:r>
      <w:r>
        <w:rPr>
          <w:rFonts w:ascii="Times New Roman" w:cs="Times New Roman" w:eastAsia="Times New Roman" w:hAnsi="Times New Roman"/>
          <w:b w:val="false"/>
          <w:bCs w:val="false"/>
          <w:i w:val="false"/>
          <w:iCs w:val="false"/>
          <w:sz w:val="20"/>
          <w:szCs w:val="20"/>
          <w:vertAlign w:val="superscript"/>
        </w:rPr>
        <w:t xml:space="preserve">2</w:t>
      </w:r>
      <w:r>
        <w:rPr>
          <w:rFonts w:ascii="Times New Roman" w:cs="Times New Roman" w:eastAsia="Times New Roman" w:hAnsi="Times New Roman"/>
          <w:b w:val="false"/>
          <w:bCs w:val="false"/>
          <w:i w:val="false"/>
          <w:iCs w:val="false"/>
          <w:sz w:val="20"/>
          <w:szCs w:val="20"/>
        </w:rPr>
        <w:t xml:space="preserve">+δ</w:t>
      </w:r>
      <w:r>
        <w:rPr>
          <w:rFonts w:ascii="Times New Roman" w:cs="Times New Roman" w:eastAsia="Times New Roman" w:hAnsi="Times New Roman"/>
          <w:b w:val="false"/>
          <w:bCs w:val="false"/>
          <w:i w:val="false"/>
          <w:iCs w:val="false"/>
          <w:sz w:val="20"/>
          <w:szCs w:val="20"/>
          <w:vertAlign w:val="superscript"/>
        </w:rPr>
        <w:t xml:space="preserve">2</w:t>
      </w:r>
      <w:r>
        <w:rPr>
          <w:rFonts w:ascii="Times New Roman" w:cs="Times New Roman" w:eastAsia="Times New Roman" w:hAnsi="Times New Roman"/>
          <w:b w:val="false"/>
          <w:bCs w:val="false"/>
          <w:i w:val="false"/>
          <w:iCs w:val="false"/>
          <w:sz w:val="20"/>
          <w:szCs w:val="20"/>
        </w:rPr>
        <w:t xml:space="preserve"> and the temperature dependence as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TH,T</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TH0</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iCs/>
          <w:sz w:val="20"/>
          <w:szCs w:val="20"/>
          <w:vertAlign w:val="subscript"/>
        </w:rPr>
        <w:t xml:space="preserve">VTH</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iCs/>
          <w:sz w:val="20"/>
          <w:szCs w:val="20"/>
          <w:vertAlign w:val="subscript"/>
        </w:rPr>
        <w:t xml:space="preserve">dev</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iCs/>
          <w:sz w:val="20"/>
          <w:szCs w:val="20"/>
          <w:vertAlign w:val="subscript"/>
        </w:rPr>
        <w:t xml:space="preserve">nom</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mu</w:t>
      </w:r>
      <w:r>
        <w:rPr>
          <w:rFonts w:ascii="Times New Roman" w:cs="Times New Roman" w:eastAsia="Times New Roman" w:hAnsi="Times New Roman"/>
          <w:b w:val="false"/>
          <w:bCs w:val="false"/>
          <w:i/>
          <w:iCs/>
          <w:sz w:val="20"/>
          <w:szCs w:val="20"/>
          <w:vertAlign w:val="subscript"/>
        </w:rPr>
        <w:t xml:space="preserve">T</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mu</w:t>
      </w:r>
      <w:r>
        <w:rPr>
          <w:rFonts w:ascii="Times New Roman" w:cs="Times New Roman" w:eastAsia="Times New Roman" w:hAnsi="Times New Roman"/>
          <w:b w:val="false"/>
          <w:bCs w:val="false"/>
          <w:i w:val="false"/>
          <w:iCs w:val="false"/>
          <w:sz w:val="20"/>
          <w:szCs w:val="20"/>
          <w:vertAlign w:val="subscript"/>
        </w:rPr>
        <w:t xml:space="preserve">0</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iCs/>
          <w:sz w:val="20"/>
          <w:szCs w:val="20"/>
          <w:vertAlign w:val="subscript"/>
        </w:rPr>
        <w:t xml:space="preserve">dev</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iCs/>
          <w:sz w:val="20"/>
          <w:szCs w:val="20"/>
          <w:vertAlign w:val="subscript"/>
        </w:rPr>
        <w:t xml:space="preserve">nom</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vertAlign w:val="superscript"/>
        </w:rPr>
        <w:t xml:space="preserve">-m_µ</w:t>
      </w:r>
      <w:r>
        <w:rPr>
          <w:rFonts w:ascii="Times New Roman" w:cs="Times New Roman" w:eastAsia="Times New Roman" w:hAnsi="Times New Roman"/>
          <w:b w:val="false"/>
          <w:bCs w:val="false"/>
          <w:i w:val="false"/>
          <w:iCs w:val="false"/>
          <w:sz w:val="20"/>
          <w:szCs w:val="20"/>
        </w:rPr>
        <w:t xml:space="preserve">. The drift–diffusion branch with velocity saturation is</w:t>
      </w:r>
    </w:p>
    <w:p>
      <w:pPr>
        <w:tabs>
          <w:tab w:val="right" w:pos="5040"/>
        </w:tabs>
        <w:spacing w:after="60" w:before="60"/>
      </w:pPr>
      <w:r>
        <w:drawing>
          <wp:inline distT="0" distB="0" distL="0" distR="0">
            <wp:extent cx="2752725"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52725" cy="771525"/>
                    </a:xfrm>
                    <a:prstGeom prst="rect">
                      <a:avLst/>
                    </a:prstGeom>
                  </pic:spPr>
                </pic:pic>
              </a:graphicData>
            </a:graphic>
          </wp:inline>
        </w:drawing>
      </w:r>
      <w:r>
        <w:rPr>
          <w:rFonts w:ascii="Times New Roman" w:cs="Times New Roman" w:eastAsia="Times New Roman" w:hAnsi="Times New Roman"/>
          <w:sz w:val="20"/>
          <w:szCs w:val="20"/>
        </w:rPr>
        <w:t xml:space="preserve">	(2)</w:t>
      </w: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with </w:t>
      </w:r>
      <w:r>
        <w:rPr>
          <w:rFonts w:ascii="Times New Roman" w:cs="Times New Roman" w:eastAsia="Times New Roman" w:hAnsi="Times New Roman"/>
          <w:b w:val="false"/>
          <w:bCs w:val="false"/>
          <w:i w:val="false"/>
          <w:iCs w:val="false"/>
          <w:sz w:val="20"/>
          <w:szCs w:val="20"/>
        </w:rPr>
        <w:t xml:space="preserve">β=\</w:t>
      </w:r>
      <w:r>
        <w:rPr>
          <w:rFonts w:ascii="Times New Roman" w:cs="Times New Roman" w:eastAsia="Times New Roman" w:hAnsi="Times New Roman"/>
          <w:b w:val="false"/>
          <w:bCs w:val="false"/>
          <w:i/>
          <w:iCs/>
          <w:sz w:val="20"/>
          <w:szCs w:val="20"/>
        </w:rPr>
        <w:t xml:space="preserve">mu</w:t>
      </w:r>
      <w:r>
        <w:rPr>
          <w:rFonts w:ascii="Times New Roman" w:cs="Times New Roman" w:eastAsia="Times New Roman" w:hAnsi="Times New Roman"/>
          <w:b w:val="false"/>
          <w:bCs w:val="false"/>
          <w:i/>
          <w:iCs/>
          <w:sz w:val="20"/>
          <w:szCs w:val="20"/>
          <w:vertAlign w:val="subscript"/>
        </w:rPr>
        <w:t xml:space="preserve">T</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iCs/>
          <w:sz w:val="20"/>
          <w:szCs w:val="20"/>
          <w:vertAlign w:val="subscript"/>
        </w:rPr>
        <w:t xml:space="preserve">ox,eff</w:t>
      </w:r>
      <w:r>
        <w:rPr>
          <w:rFonts w:ascii="Times New Roman" w:cs="Times New Roman" w:eastAsia="Times New Roman" w:hAnsi="Times New Roman"/>
          <w:b w:val="false"/>
          <w:bCs w:val="false"/>
          <w:i/>
          <w:iCs/>
          <w:sz w:val="20"/>
          <w:szCs w:val="20"/>
        </w:rPr>
        <w:t xml:space="preserve">W</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L</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sat,v</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sat</w:t>
      </w:r>
      <w:r>
        <w:rPr>
          <w:rFonts w:ascii="Times New Roman" w:cs="Times New Roman" w:eastAsia="Times New Roman" w:hAnsi="Times New Roman"/>
          <w:b w:val="false"/>
          <w:bCs w:val="false"/>
          <w:i/>
          <w:iCs/>
          <w:sz w:val="20"/>
          <w:szCs w:val="20"/>
        </w:rPr>
        <w:t xml:space="preserve">L</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mu</w:t>
      </w:r>
      <w:r>
        <w:rPr>
          <w:rFonts w:ascii="Times New Roman" w:cs="Times New Roman" w:eastAsia="Times New Roman" w:hAnsi="Times New Roman"/>
          <w:b w:val="false"/>
          <w:bCs w:val="false"/>
          <w:i/>
          <w:iCs/>
          <w:sz w:val="20"/>
          <w:szCs w:val="20"/>
          <w:vertAlign w:val="subscript"/>
        </w:rPr>
        <w:t xml:space="preserve">T</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dsat</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ov</w:t>
      </w:r>
      <w:r>
        <w:rPr>
          <w:rFonts w:ascii="Times New Roman" w:cs="Times New Roman" w:eastAsia="Times New Roman" w:hAnsi="Times New Roman"/>
          <w:b w:val="false"/>
          <w:bCs w:val="false"/>
          <w:i w:val="false"/>
          <w:iCs w:val="false"/>
          <w:sz w:val="20"/>
          <w:szCs w:val="20"/>
        </w:rPr>
        <w:t xml:space="preserve">/(1+</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ov</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sat,v</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The factor 2 in the </w:t>
      </w:r>
      <w:r>
        <w:rPr>
          <w:rFonts w:ascii="Times New Roman" w:cs="Times New Roman" w:eastAsia="Times New Roman" w:hAnsi="Times New Roman"/>
          <w:b w:val="false"/>
          <w:bCs w:val="false"/>
          <w:i w:val="false"/>
          <w:iCs w:val="false"/>
          <w:sz w:val="20"/>
          <w:szCs w:val="20"/>
        </w:rPr>
        <w:t xml:space="preserve">tanh</w:t>
      </w:r>
      <w:r>
        <w:rPr>
          <w:rFonts w:ascii="Times New Roman" w:cs="Times New Roman" w:eastAsia="Times New Roman" w:hAnsi="Times New Roman"/>
          <w:b w:val="false"/>
          <w:bCs w:val="false"/>
          <w:i w:val="false"/>
          <w:iCs w:val="false"/>
          <w:sz w:val="20"/>
          <w:szCs w:val="20"/>
        </w:rPr>
        <w:t xml:space="preserve"> argument makes the low-</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DS</w:t>
      </w:r>
      <w:r>
        <w:rPr>
          <w:rFonts w:ascii="Times New Roman" w:cs="Times New Roman" w:eastAsia="Times New Roman" w:hAnsi="Times New Roman"/>
          <w:b w:val="false"/>
          <w:bCs w:val="false"/>
          <w:i w:val="false"/>
          <w:iCs w:val="false"/>
          <w:sz w:val="20"/>
          <w:szCs w:val="20"/>
        </w:rPr>
        <w:t xml:space="preserve"> conductance exactly </w:t>
      </w:r>
      <w:r>
        <w:rPr>
          <w:rFonts w:ascii="Times New Roman" w:cs="Times New Roman" w:eastAsia="Times New Roman" w:hAnsi="Times New Roman"/>
          <w:b w:val="false"/>
          <w:bCs w:val="false"/>
          <w:i w:val="false"/>
          <w:iCs w:val="false"/>
          <w:sz w:val="20"/>
          <w:szCs w:val="20"/>
        </w:rPr>
        <w:t xml:space="preserve">β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ov</w:t>
      </w:r>
      <w:r>
        <w:rPr>
          <w:rFonts w:ascii="Times New Roman" w:cs="Times New Roman" w:eastAsia="Times New Roman" w:hAnsi="Times New Roman"/>
          <w:b w:val="false"/>
          <w:bCs w:val="false"/>
          <w:i w:val="false"/>
          <w:iCs w:val="false"/>
          <w:sz w:val="20"/>
          <w:szCs w:val="20"/>
        </w:rPr>
        <w:t xml:space="preserve"> while the saturation current retains the square law for long channels and the velocity-saturated limit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iCs/>
          <w:sz w:val="20"/>
          <w:szCs w:val="20"/>
          <w:vertAlign w:val="subscript"/>
        </w:rPr>
        <w:t xml:space="preserve">ox</w:t>
      </w:r>
      <w:r>
        <w:rPr>
          <w:rFonts w:ascii="Times New Roman" w:cs="Times New Roman" w:eastAsia="Times New Roman" w:hAnsi="Times New Roman"/>
          <w:b w:val="false"/>
          <w:bCs w:val="false"/>
          <w:i/>
          <w:iCs/>
          <w:sz w:val="20"/>
          <w:szCs w:val="20"/>
        </w:rPr>
        <w:t xml:space="preserve">Wv</w:t>
      </w:r>
      <w:r>
        <w:rPr>
          <w:rFonts w:ascii="Times New Roman" w:cs="Times New Roman" w:eastAsia="Times New Roman" w:hAnsi="Times New Roman"/>
          <w:b w:val="false"/>
          <w:bCs w:val="false"/>
          <w:i/>
          <w:iCs/>
          <w:sz w:val="20"/>
          <w:szCs w:val="20"/>
          <w:vertAlign w:val="subscript"/>
        </w:rPr>
        <w:t xml:space="preserve">sat</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ov</w:t>
      </w:r>
      <w:r>
        <w:rPr>
          <w:rFonts w:ascii="Times New Roman" w:cs="Times New Roman" w:eastAsia="Times New Roman" w:hAnsi="Times New Roman"/>
          <w:b w:val="false"/>
          <w:bCs w:val="false"/>
          <w:i w:val="false"/>
          <w:iCs w:val="false"/>
          <w:sz w:val="20"/>
          <w:szCs w:val="20"/>
        </w:rPr>
        <w:t xml:space="preserve">/2</w:t>
      </w:r>
      <w:r>
        <w:rPr>
          <w:rFonts w:ascii="Times New Roman" w:cs="Times New Roman" w:eastAsia="Times New Roman" w:hAnsi="Times New Roman"/>
          <w:b w:val="false"/>
          <w:bCs w:val="false"/>
          <w:i w:val="false"/>
          <w:iCs w:val="false"/>
          <w:sz w:val="20"/>
          <w:szCs w:val="20"/>
        </w:rPr>
        <w:t xml:space="preserve"> for short channels [26]; the function is odd in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DS</w:t>
      </w:r>
      <w:r>
        <w:rPr>
          <w:rFonts w:ascii="Times New Roman" w:cs="Times New Roman" w:eastAsia="Times New Roman" w:hAnsi="Times New Roman"/>
          <w:b w:val="false"/>
          <w:bCs w:val="false"/>
          <w:i w:val="false"/>
          <w:iCs w:val="false"/>
          <w:sz w:val="20"/>
          <w:szCs w:val="20"/>
        </w:rPr>
        <w:t xml:space="preserve"> and infinitely differentiable, which is what the Newton iterations of a circuit simulator need. Series resistances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iCs/>
          <w:sz w:val="20"/>
          <w:szCs w:val="20"/>
          <w:vertAlign w:val="subscript"/>
        </w:rPr>
        <w:t xml:space="preserve">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iCs/>
          <w:sz w:val="20"/>
          <w:szCs w:val="20"/>
          <w:vertAlign w:val="subscript"/>
        </w:rPr>
        <w:t xml:space="preserve">SW</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W</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iCs/>
          <w:sz w:val="20"/>
          <w:szCs w:val="20"/>
          <w:vertAlign w:val="subscript"/>
        </w:rPr>
        <w:t xml:space="preserve">D</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iCs/>
          <w:sz w:val="20"/>
          <w:szCs w:val="20"/>
          <w:vertAlign w:val="subscript"/>
        </w:rPr>
        <w:t xml:space="preserve">DW</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W</w:t>
      </w:r>
      <w:r>
        <w:rPr>
          <w:rFonts w:ascii="Times New Roman" w:cs="Times New Roman" w:eastAsia="Times New Roman" w:hAnsi="Times New Roman"/>
          <w:b w:val="false"/>
          <w:bCs w:val="false"/>
          <w:i w:val="false"/>
          <w:iCs w:val="false"/>
          <w:sz w:val="20"/>
          <w:szCs w:val="20"/>
        </w:rPr>
        <w:t xml:space="preserve"> act between the external and internal nodes.</w:t>
      </w:r>
    </w:p>
    <w:p>
      <w:pPr>
        <w:pStyle w:val="Heading2"/>
        <w:keepNext/>
        <w:spacing w:after="80" w:before="160"/>
      </w:pPr>
      <w:r>
        <w:rPr>
          <w:rFonts w:ascii="Times New Roman" w:cs="Times New Roman" w:eastAsia="Times New Roman" w:hAnsi="Times New Roman"/>
          <w:i/>
          <w:iCs/>
          <w:sz w:val="20"/>
          <w:szCs w:val="20"/>
        </w:rPr>
        <w:t xml:space="preserve">B. </w:t>
      </w:r>
      <w:r>
        <w:rPr>
          <w:rFonts w:ascii="Times New Roman" w:cs="Times New Roman" w:eastAsia="Times New Roman" w:hAnsi="Times New Roman"/>
          <w:b w:val="false"/>
          <w:bCs w:val="false"/>
          <w:i/>
          <w:iCs/>
          <w:sz w:val="20"/>
          <w:szCs w:val="20"/>
        </w:rPr>
        <w:t xml:space="preserve">Terminal charges</w:t>
      </w: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A DC-only model cannot produce RO frequencies. Terminal charges are defined per branch,</w:t>
      </w:r>
    </w:p>
    <w:p>
      <w:pPr>
        <w:tabs>
          <w:tab w:val="right" w:pos="5040"/>
        </w:tabs>
        <w:spacing w:after="60" w:before="60"/>
      </w:pPr>
      <w:r>
        <w:drawing>
          <wp:inline distT="0" distB="0" distL="0" distR="0">
            <wp:extent cx="275272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52725" cy="523875"/>
                    </a:xfrm>
                    <a:prstGeom prst="rect">
                      <a:avLst/>
                    </a:prstGeom>
                  </pic:spPr>
                </pic:pic>
              </a:graphicData>
            </a:graphic>
          </wp:inline>
        </w:drawing>
      </w:r>
      <w:r>
        <w:rPr>
          <w:rFonts w:ascii="Times New Roman" w:cs="Times New Roman" w:eastAsia="Times New Roman" w:hAnsi="Times New Roman"/>
          <w:sz w:val="20"/>
          <w:szCs w:val="20"/>
        </w:rPr>
        <w:t xml:space="preserve">	(3)</w:t>
      </w: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with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ov</w:t>
      </w:r>
      <w:r>
        <w:rPr>
          <w:rFonts w:ascii="Times New Roman" w:cs="Times New Roman" w:eastAsia="Times New Roman" w:hAnsi="Times New Roman"/>
          <w:b w:val="false"/>
          <w:bCs w:val="false"/>
          <w:i w:val="false"/>
          <w:iCs w:val="false"/>
          <w:sz w:val="20"/>
          <w:szCs w:val="20"/>
        </w:rPr>
        <w:t xml:space="preserve"> evaluated without DIBL so that each charge depends only on its own branch voltage, and injected as </w:t>
      </w:r>
      <w:r>
        <w:rPr>
          <w:rFonts w:ascii="Times New Roman" w:cs="Times New Roman" w:eastAsia="Times New Roman" w:hAnsi="Times New Roman"/>
          <w:b w:val="false"/>
          <w:bCs w:val="false"/>
          <w:i/>
          <w:iCs/>
          <w:sz w:val="20"/>
          <w:szCs w:val="20"/>
        </w:rPr>
        <w:t xml:space="preserve">I</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With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iCs/>
          <w:sz w:val="20"/>
          <w:szCs w:val="20"/>
          <w:vertAlign w:val="subscript"/>
        </w:rPr>
        <w:t xml:space="preserve">g</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iCs/>
          <w:sz w:val="20"/>
          <w:szCs w:val="20"/>
          <w:vertAlign w:val="subscript"/>
        </w:rPr>
        <w:t xml:space="preserve">gs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iCs/>
          <w:sz w:val="20"/>
          <w:szCs w:val="20"/>
          <w:vertAlign w:val="subscript"/>
        </w:rPr>
        <w:t xml:space="preserve">gd</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iCs/>
          <w:sz w:val="20"/>
          <w:szCs w:val="20"/>
          <w:vertAlign w:val="subscript"/>
        </w:rPr>
        <w:t xml:space="preserve">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iCs/>
          <w:sz w:val="20"/>
          <w:szCs w:val="20"/>
          <w:vertAlign w:val="subscript"/>
        </w:rPr>
        <w:t xml:space="preserve">gs</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iCs/>
          <w:sz w:val="20"/>
          <w:szCs w:val="20"/>
          <w:vertAlign w:val="subscript"/>
        </w:rPr>
        <w:t xml:space="preserve">d</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iCs/>
          <w:sz w:val="20"/>
          <w:szCs w:val="20"/>
          <w:vertAlign w:val="subscript"/>
        </w:rPr>
        <w:t xml:space="preserve">gd</w:t>
      </w:r>
      <w:r>
        <w:rPr>
          <w:rFonts w:ascii="Times New Roman" w:cs="Times New Roman" w:eastAsia="Times New Roman" w:hAnsi="Times New Roman"/>
          <w:b w:val="false"/>
          <w:bCs w:val="false"/>
          <w:i w:val="false"/>
          <w:iCs w:val="false"/>
          <w:sz w:val="20"/>
          <w:szCs w:val="20"/>
        </w:rPr>
        <w:t xml:space="preserve">, charge conservation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iCs/>
          <w:sz w:val="20"/>
          <w:szCs w:val="20"/>
          <w:vertAlign w:val="subscript"/>
        </w:rPr>
        <w:t xml:space="preserve">g</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iCs/>
          <w:sz w:val="20"/>
          <w:szCs w:val="20"/>
          <w:vertAlign w:val="subscript"/>
        </w:rPr>
        <w:t xml:space="preserve">d</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iCs/>
          <w:sz w:val="20"/>
          <w:szCs w:val="20"/>
          <w:vertAlign w:val="subscript"/>
        </w:rPr>
        <w:t xml:space="preserve">s</w:t>
      </w:r>
      <w:r>
        <w:rPr>
          <w:rFonts w:ascii="Times New Roman" w:cs="Times New Roman" w:eastAsia="Times New Roman" w:hAnsi="Times New Roman"/>
          <w:b w:val="false"/>
          <w:bCs w:val="false"/>
          <w:i w:val="false"/>
          <w:iCs w:val="false"/>
          <w:sz w:val="20"/>
          <w:szCs w:val="20"/>
        </w:rPr>
        <w:t xml:space="preserve">=0</w:t>
      </w:r>
      <w:r>
        <w:rPr>
          <w:rFonts w:ascii="Times New Roman" w:cs="Times New Roman" w:eastAsia="Times New Roman" w:hAnsi="Times New Roman"/>
          <w:b w:val="false"/>
          <w:bCs w:val="false"/>
          <w:i w:val="false"/>
          <w:iCs w:val="false"/>
          <w:sz w:val="20"/>
          <w:szCs w:val="20"/>
        </w:rPr>
        <w:t xml:space="preserve"> holds by construction; the symmetric source/drain-end partition reduces to 50/50 in the linear region and decouples the drain in saturation.</w:t>
      </w:r>
    </w:p>
    <w:p>
      <w:pPr>
        <w:pStyle w:val="Heading2"/>
        <w:keepNext/>
        <w:spacing w:after="80" w:before="160"/>
      </w:pPr>
      <w:r>
        <w:rPr>
          <w:rFonts w:ascii="Times New Roman" w:cs="Times New Roman" w:eastAsia="Times New Roman" w:hAnsi="Times New Roman"/>
          <w:i/>
          <w:iCs/>
          <w:sz w:val="20"/>
          <w:szCs w:val="20"/>
        </w:rPr>
        <w:t xml:space="preserve">C. </w:t>
      </w:r>
      <w:r>
        <w:rPr>
          <w:rFonts w:ascii="Times New Roman" w:cs="Times New Roman" w:eastAsia="Times New Roman" w:hAnsi="Times New Roman"/>
          <w:b w:val="false"/>
          <w:bCs w:val="false"/>
          <w:i/>
          <w:iCs/>
          <w:sz w:val="20"/>
          <w:szCs w:val="20"/>
        </w:rPr>
        <w:t xml:space="preserve">Material blocks</w:t>
      </w:r>
    </w:p>
    <w:p>
      <w:pPr>
        <w:spacing w:after="0" w:before="0" w:line="240"/>
        <w:ind w:firstLine="200"/>
        <w:jc w:val="both"/>
      </w:pPr>
      <w:r>
        <w:rPr>
          <w:rFonts w:ascii="Times New Roman" w:cs="Times New Roman" w:eastAsia="Times New Roman" w:hAnsi="Times New Roman"/>
          <w:b w:val="false"/>
          <w:bCs w:val="false"/>
          <w:i/>
          <w:iCs/>
          <w:sz w:val="20"/>
          <w:szCs w:val="20"/>
        </w:rPr>
        <w:t xml:space="preserve">Si and SiGe nanosheets</w:t>
      </w:r>
      <w:r>
        <w:rPr>
          <w:rFonts w:ascii="Times New Roman" w:cs="Times New Roman" w:eastAsia="Times New Roman" w:hAnsi="Times New Roman"/>
          <w:b w:val="false"/>
          <w:bCs w:val="false"/>
          <w:i w:val="false"/>
          <w:iCs w:val="false"/>
          <w:sz w:val="20"/>
          <w:szCs w:val="20"/>
        </w:rPr>
        <w:t xml:space="preserve"> use the core with </w:t>
      </w:r>
      <w:r>
        <w:rPr>
          <w:rFonts w:ascii="Times New Roman" w:cs="Times New Roman" w:eastAsia="Times New Roman" w:hAnsi="Times New Roman"/>
          <w:b w:val="false"/>
          <w:bCs w:val="false"/>
          <w:i/>
          <w:iCs/>
          <w:sz w:val="20"/>
          <w:szCs w:val="20"/>
        </w:rPr>
        <w:t xml:space="preserve">W</w:t>
      </w:r>
      <w:r>
        <w:rPr>
          <w:rFonts w:ascii="Times New Roman" w:cs="Times New Roman" w:eastAsia="Times New Roman" w:hAnsi="Times New Roman"/>
          <w:b w:val="false"/>
          <w:bCs w:val="false"/>
          <w:i/>
          <w:iCs/>
          <w:sz w:val="20"/>
          <w:szCs w:val="20"/>
          <w:vertAlign w:val="subscript"/>
        </w:rPr>
        <w:t xml:space="preserve">eff</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iCs/>
          <w:sz w:val="20"/>
          <w:szCs w:val="20"/>
          <w:vertAlign w:val="subscript"/>
        </w:rPr>
        <w:t xml:space="preserve">NS</w:t>
      </w:r>
      <w:r>
        <w:rPr>
          <w:rFonts w:ascii="Times New Roman" w:cs="Times New Roman" w:eastAsia="Times New Roman" w:hAnsi="Times New Roman"/>
          <w:b w:val="false"/>
          <w:bCs w:val="false"/>
          <w:i w:val="false"/>
          <w:iCs w:val="false"/>
          <w:sz w:val="20"/>
          <w:szCs w:val="20"/>
        </w:rPr>
        <w:t xml:space="preserve">· 2(</w:t>
      </w:r>
      <w:r>
        <w:rPr>
          <w:rFonts w:ascii="Times New Roman" w:cs="Times New Roman" w:eastAsia="Times New Roman" w:hAnsi="Times New Roman"/>
          <w:b w:val="false"/>
          <w:bCs w:val="false"/>
          <w:i/>
          <w:iCs/>
          <w:sz w:val="20"/>
          <w:szCs w:val="20"/>
        </w:rPr>
        <w:t xml:space="preserve">W</w:t>
      </w:r>
      <w:r>
        <w:rPr>
          <w:rFonts w:ascii="Times New Roman" w:cs="Times New Roman" w:eastAsia="Times New Roman" w:hAnsi="Times New Roman"/>
          <w:b w:val="false"/>
          <w:bCs w:val="false"/>
          <w:i/>
          <w:iCs/>
          <w:sz w:val="20"/>
          <w:szCs w:val="20"/>
          <w:vertAlign w:val="subscript"/>
        </w:rPr>
        <w:t xml:space="preserve">NS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iCs/>
          <w:sz w:val="20"/>
          <w:szCs w:val="20"/>
          <w:vertAlign w:val="subscript"/>
        </w:rPr>
        <w:t xml:space="preserve">NS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MoS</w:t>
      </w:r>
      <w:r>
        <w:rPr>
          <w:rFonts w:ascii="Times New Roman" w:cs="Times New Roman" w:eastAsia="Times New Roman" w:hAnsi="Times New Roman"/>
          <w:b w:val="false"/>
          <w:bCs w:val="false"/>
          <w:i w:val="false"/>
          <w:iCs w:val="false"/>
          <w:sz w:val="20"/>
          <w:szCs w:val="20"/>
          <w:vertAlign w:val="subscript"/>
        </w:rPr>
        <w:t xml:space="preserve">2</w:t>
      </w:r>
      <w:r>
        <w:rPr>
          <w:rFonts w:ascii="Times New Roman" w:cs="Times New Roman" w:eastAsia="Times New Roman" w:hAnsi="Times New Roman"/>
          <w:b w:val="false"/>
          <w:bCs w:val="false"/>
          <w:i/>
          <w:iCs/>
          <w:sz w:val="20"/>
          <w:szCs w:val="20"/>
        </w:rPr>
        <w:t xml:space="preserve">/WSe</w:t>
      </w:r>
      <w:r>
        <w:rPr>
          <w:rFonts w:ascii="Times New Roman" w:cs="Times New Roman" w:eastAsia="Times New Roman" w:hAnsi="Times New Roman"/>
          <w:b w:val="false"/>
          <w:bCs w:val="false"/>
          <w:i w:val="false"/>
          <w:iCs w:val="false"/>
          <w:sz w:val="20"/>
          <w:szCs w:val="20"/>
          <w:vertAlign w:val="subscript"/>
        </w:rPr>
        <w:t xml:space="preserve">2</w:t>
      </w:r>
      <w:r>
        <w:rPr>
          <w:rFonts w:ascii="Times New Roman" w:cs="Times New Roman" w:eastAsia="Times New Roman" w:hAnsi="Times New Roman"/>
          <w:b w:val="false"/>
          <w:bCs w:val="false"/>
          <w:i w:val="false"/>
          <w:iCs w:val="false"/>
          <w:sz w:val="20"/>
          <w:szCs w:val="20"/>
        </w:rPr>
        <w:t xml:space="preserve"> add the quantum capacitance in series,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iCs/>
          <w:sz w:val="20"/>
          <w:szCs w:val="20"/>
          <w:vertAlign w:val="subscript"/>
        </w:rPr>
        <w:t xml:space="preserve">ox,eff</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iCs/>
          <w:sz w:val="20"/>
          <w:szCs w:val="20"/>
          <w:vertAlign w:val="subscript"/>
        </w:rPr>
        <w:t xml:space="preserve">ox</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iCs/>
          <w:sz w:val="20"/>
          <w:szCs w:val="20"/>
          <w:vertAlign w:val="subscript"/>
        </w:rPr>
        <w:t xml:space="preserve">q</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iCs/>
          <w:sz w:val="20"/>
          <w:szCs w:val="20"/>
          <w:vertAlign w:val="subscript"/>
        </w:rPr>
        <w:t xml:space="preserve">ox</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iCs/>
          <w:sz w:val="20"/>
          <w:szCs w:val="20"/>
          <w:vertAlign w:val="subscript"/>
        </w:rPr>
        <w:t xml:space="preserve">q</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a trap-limited ideality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vertAlign w:val="subscript"/>
        </w:rPr>
        <w:t xml:space="preserve">0</w:t>
      </w:r>
      <w:r>
        <w:rPr>
          <w:rFonts w:ascii="Times New Roman" w:cs="Times New Roman" w:eastAsia="Times New Roman" w:hAnsi="Times New Roman"/>
          <w:b w:val="false"/>
          <w:bCs w:val="false"/>
          <w:i w:val="false"/>
          <w:iCs w:val="false"/>
          <w:sz w:val="20"/>
          <w:szCs w:val="20"/>
        </w:rPr>
        <w:t xml:space="preserve">(1+</w:t>
      </w:r>
      <w:r>
        <w:rPr>
          <w:rFonts w:ascii="Times New Roman" w:cs="Times New Roman" w:eastAsia="Times New Roman" w:hAnsi="Times New Roman"/>
          <w:b w:val="false"/>
          <w:bCs w:val="false"/>
          <w:i/>
          <w:iCs/>
          <w:sz w:val="20"/>
          <w:szCs w:val="20"/>
        </w:rPr>
        <w:t xml:space="preserve">qD</w:t>
      </w:r>
      <w:r>
        <w:rPr>
          <w:rFonts w:ascii="Times New Roman" w:cs="Times New Roman" w:eastAsia="Times New Roman" w:hAnsi="Times New Roman"/>
          <w:b w:val="false"/>
          <w:bCs w:val="false"/>
          <w:i/>
          <w:iCs/>
          <w:sz w:val="20"/>
          <w:szCs w:val="20"/>
          <w:vertAlign w:val="subscript"/>
        </w:rPr>
        <w:t xml:space="preserve">it</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iCs/>
          <w:sz w:val="20"/>
          <w:szCs w:val="20"/>
          <w:vertAlign w:val="subscript"/>
        </w:rPr>
        <w:t xml:space="preserve">ox</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and contact-dominated series resistance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iCs/>
          <w:sz w:val="20"/>
          <w:szCs w:val="20"/>
          <w:vertAlign w:val="subscript"/>
        </w:rPr>
        <w:t xml:space="preserve">SW</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iCs/>
          <w:sz w:val="20"/>
          <w:szCs w:val="20"/>
          <w:vertAlign w:val="subscript"/>
        </w:rPr>
        <w:t xml:space="preserve">DW</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iCs/>
          <w:sz w:val="20"/>
          <w:szCs w:val="20"/>
          <w:vertAlign w:val="subscript"/>
        </w:rPr>
        <w:t xml:space="preserve">C</w:t>
      </w:r>
      <w:r>
        <w:rPr>
          <w:rFonts w:ascii="Times New Roman" w:cs="Times New Roman" w:eastAsia="Times New Roman" w:hAnsi="Times New Roman"/>
          <w:b w:val="false"/>
          <w:bCs w:val="false"/>
          <w:i w:val="false"/>
          <w:iCs w:val="false"/>
          <w:sz w:val="20"/>
          <w:szCs w:val="20"/>
        </w:rPr>
        <w:t xml:space="preserve"> [19, 8]. </w:t>
      </w:r>
      <w:r>
        <w:rPr>
          <w:rFonts w:ascii="Times New Roman" w:cs="Times New Roman" w:eastAsia="Times New Roman" w:hAnsi="Times New Roman"/>
          <w:b w:val="false"/>
          <w:bCs w:val="false"/>
          <w:i/>
          <w:iCs/>
          <w:sz w:val="20"/>
          <w:szCs w:val="20"/>
        </w:rPr>
        <w:t xml:space="preserve">CNT arrays</w:t>
      </w:r>
      <w:r>
        <w:rPr>
          <w:rFonts w:ascii="Times New Roman" w:cs="Times New Roman" w:eastAsia="Times New Roman" w:hAnsi="Times New Roman"/>
          <w:b w:val="false"/>
          <w:bCs w:val="false"/>
          <w:i w:val="false"/>
          <w:iCs w:val="false"/>
          <w:sz w:val="20"/>
          <w:szCs w:val="20"/>
        </w:rPr>
        <w:t xml:space="preserve"> replace ((2)) by a Landauer quasi-ballistic branch [20, 26]</w:t>
      </w:r>
    </w:p>
    <w:p>
      <w:pPr>
        <w:tabs>
          <w:tab w:val="right" w:pos="5040"/>
        </w:tabs>
        <w:spacing w:after="60" w:before="60"/>
      </w:pPr>
      <w:r>
        <w:drawing>
          <wp:inline distT="0" distB="0" distL="0" distR="0">
            <wp:extent cx="275272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52725" cy="523875"/>
                    </a:xfrm>
                    <a:prstGeom prst="rect">
                      <a:avLst/>
                    </a:prstGeom>
                  </pic:spPr>
                </pic:pic>
              </a:graphicData>
            </a:graphic>
          </wp:inline>
        </w:drawing>
      </w:r>
      <w:r>
        <w:rPr>
          <w:rFonts w:ascii="Times New Roman" w:cs="Times New Roman" w:eastAsia="Times New Roman" w:hAnsi="Times New Roman"/>
          <w:sz w:val="20"/>
          <w:szCs w:val="20"/>
        </w:rPr>
        <w:t xml:space="preserve">	(4)</w:t>
      </w: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with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x</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ln</w:t>
      </w:r>
      <w:r>
        <w:rPr>
          <w:rFonts w:ascii="Times New Roman" w:cs="Times New Roman" w:eastAsia="Times New Roman" w:hAnsi="Times New Roman"/>
          <w:b w:val="false"/>
          <w:bCs w:val="false"/>
          <w:i w:val="false"/>
          <w:iCs w:val="false"/>
          <w:sz w:val="20"/>
          <w:szCs w:val="20"/>
        </w:rPr>
        <w:t xml:space="preserve">(1+</w:t>
      </w:r>
      <w:r>
        <w:rPr>
          <w:rFonts w:ascii="Times New Roman" w:cs="Times New Roman" w:eastAsia="Times New Roman" w:hAnsi="Times New Roman"/>
          <w:b w:val="false"/>
          <w:bCs w:val="false"/>
          <w:i/>
          <w:iCs/>
          <w:sz w:val="20"/>
          <w:szCs w:val="20"/>
        </w:rPr>
        <w:t xml:space="preserve">e</w:t>
      </w:r>
      <w:r>
        <w:rPr>
          <w:rFonts w:ascii="Times New Roman" w:cs="Times New Roman" w:eastAsia="Times New Roman" w:hAnsi="Times New Roman"/>
          <w:b w:val="false"/>
          <w:bCs w:val="false"/>
          <w:i/>
          <w:iCs/>
          <w:sz w:val="20"/>
          <w:szCs w:val="20"/>
          <w:vertAlign w:val="superscript"/>
        </w:rPr>
        <w:t xml:space="preserve">x</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eta</w:t>
      </w:r>
      <w:r>
        <w:rPr>
          <w:rFonts w:ascii="Times New Roman" w:cs="Times New Roman" w:eastAsia="Times New Roman" w:hAnsi="Times New Roman"/>
          <w:b w:val="false"/>
          <w:bCs w:val="false"/>
          <w:i/>
          <w:iCs/>
          <w:sz w:val="20"/>
          <w:szCs w:val="20"/>
          <w:vertAlign w:val="subscript"/>
        </w:rPr>
        <w:t xml:space="preserve">s</w:t>
      </w:r>
      <w:r>
        <w:rPr>
          <w:rFonts w:ascii="Times New Roman" w:cs="Times New Roman" w:eastAsia="Times New Roman" w:hAnsi="Times New Roman"/>
          <w:b w:val="false"/>
          <w:bCs w:val="false"/>
          <w:i w:val="false"/>
          <w:iCs w:val="false"/>
          <w:sz w:val="20"/>
          <w:szCs w:val="20"/>
        </w:rPr>
        <w:t xml:space="preserve">=α(</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GS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TH,eff</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nV</w:t>
      </w:r>
      <w:r>
        <w:rPr>
          <w:rFonts w:ascii="Times New Roman" w:cs="Times New Roman" w:eastAsia="Times New Roman" w:hAnsi="Times New Roman"/>
          <w:b w:val="false"/>
          <w:bCs w:val="false"/>
          <w:i/>
          <w:iCs/>
          <w:sz w:val="20"/>
          <w:szCs w:val="20"/>
          <w:vertAlign w:val="subscript"/>
        </w:rPr>
        <w:t xml:space="preserve">T</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G</w:t>
      </w:r>
      <w:r>
        <w:rPr>
          <w:rFonts w:ascii="Times New Roman" w:cs="Times New Roman" w:eastAsia="Times New Roman" w:hAnsi="Times New Roman"/>
          <w:b w:val="false"/>
          <w:bCs w:val="false"/>
          <w:i w:val="false"/>
          <w:iCs w:val="false"/>
          <w:sz w:val="20"/>
          <w:szCs w:val="20"/>
          <w:vertAlign w:val="subscript"/>
        </w:rPr>
        <w:t xml:space="preserve">0</w:t>
      </w:r>
      <w:r>
        <w:rPr>
          <w:rFonts w:ascii="Times New Roman" w:cs="Times New Roman" w:eastAsia="Times New Roman" w:hAnsi="Times New Roman"/>
          <w:b w:val="false"/>
          <w:bCs w:val="false"/>
          <w:i w:val="false"/>
          <w:iCs w:val="false"/>
          <w:sz w:val="20"/>
          <w:szCs w:val="20"/>
        </w:rPr>
        <w:t xml:space="preserve">=4</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vertAlign w:val="superscript"/>
        </w:rPr>
        <w:t xml:space="preserve">2</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iCs/>
          <w:sz w:val="20"/>
          <w:szCs w:val="20"/>
          <w:vertAlign w:val="subscript"/>
        </w:rPr>
        <w:t xml:space="preserve">tube</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iCs/>
          <w:sz w:val="20"/>
          <w:szCs w:val="20"/>
          <w:vertAlign w:val="subscript"/>
        </w:rPr>
        <w:t xml:space="preserve">CNT</w:t>
      </w:r>
      <w:r>
        <w:rPr>
          <w:rFonts w:ascii="Times New Roman" w:cs="Times New Roman" w:eastAsia="Times New Roman" w:hAnsi="Times New Roman"/>
          <w:b w:val="false"/>
          <w:bCs w:val="false"/>
          <w:i/>
          <w:iCs/>
          <w:sz w:val="20"/>
          <w:szCs w:val="20"/>
        </w:rPr>
        <w:t xml:space="preserve">W</w:t>
      </w:r>
      <w:r>
        <w:rPr>
          <w:rFonts w:ascii="Times New Roman" w:cs="Times New Roman" w:eastAsia="Times New Roman" w:hAnsi="Times New Roman"/>
          <w:b w:val="false"/>
          <w:bCs w:val="false"/>
          <w:i w:val="false"/>
          <w:iCs w:val="false"/>
          <w:sz w:val="20"/>
          <w:szCs w:val="20"/>
        </w:rPr>
        <w:t xml:space="preserve">(1-</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iCs/>
          <w:sz w:val="20"/>
          <w:szCs w:val="20"/>
          <w:vertAlign w:val="subscript"/>
        </w:rPr>
        <w:t xml:space="preserve">met</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and the metallic-tube shunt </w:t>
      </w:r>
      <w:r>
        <w:rPr>
          <w:rFonts w:ascii="Times New Roman" w:cs="Times New Roman" w:eastAsia="Times New Roman" w:hAnsi="Times New Roman"/>
          <w:b w:val="false"/>
          <w:bCs w:val="false"/>
          <w:i/>
          <w:iCs/>
          <w:sz w:val="20"/>
          <w:szCs w:val="20"/>
        </w:rPr>
        <w:t xml:space="preserve">G</w:t>
      </w:r>
      <w:r>
        <w:rPr>
          <w:rFonts w:ascii="Times New Roman" w:cs="Times New Roman" w:eastAsia="Times New Roman" w:hAnsi="Times New Roman"/>
          <w:b w:val="false"/>
          <w:bCs w:val="false"/>
          <w:i/>
          <w:iCs/>
          <w:sz w:val="20"/>
          <w:szCs w:val="20"/>
          <w:vertAlign w:val="subscript"/>
        </w:rPr>
        <w:t xml:space="preserve">met</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iCs/>
          <w:sz w:val="20"/>
          <w:szCs w:val="20"/>
          <w:vertAlign w:val="subscript"/>
        </w:rPr>
        <w:t xml:space="preserve">met</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iCs/>
          <w:sz w:val="20"/>
          <w:szCs w:val="20"/>
          <w:vertAlign w:val="subscript"/>
        </w:rPr>
        <w:t xml:space="preserve">CNT</w:t>
      </w:r>
      <w:r>
        <w:rPr>
          <w:rFonts w:ascii="Times New Roman" w:cs="Times New Roman" w:eastAsia="Times New Roman" w:hAnsi="Times New Roman"/>
          <w:b w:val="false"/>
          <w:bCs w:val="false"/>
          <w:i/>
          <w:iCs/>
          <w:sz w:val="20"/>
          <w:szCs w:val="20"/>
        </w:rPr>
        <w:t xml:space="preserve">WG</w:t>
      </w:r>
      <w:r>
        <w:rPr>
          <w:rFonts w:ascii="Times New Roman" w:cs="Times New Roman" w:eastAsia="Times New Roman" w:hAnsi="Times New Roman"/>
          <w:b w:val="false"/>
          <w:bCs w:val="false"/>
          <w:i w:val="false"/>
          <w:iCs w:val="false"/>
          <w:sz w:val="20"/>
          <w:szCs w:val="20"/>
          <w:vertAlign w:val="subscript"/>
        </w:rPr>
        <w:t xml:space="preserve">0</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GaN</w:t>
      </w:r>
      <w:r>
        <w:rPr>
          <w:rFonts w:ascii="Times New Roman" w:cs="Times New Roman" w:eastAsia="Times New Roman" w:hAnsi="Times New Roman"/>
          <w:b w:val="false"/>
          <w:bCs w:val="false"/>
          <w:i w:val="false"/>
          <w:iCs w:val="false"/>
          <w:sz w:val="20"/>
          <w:szCs w:val="20"/>
        </w:rPr>
        <w:t xml:space="preserve"> adds an electro-thermal node: </w:t>
      </w:r>
      <w:r>
        <w:rPr>
          <w:rFonts w:ascii="Times New Roman" w:cs="Times New Roman" w:eastAsia="Times New Roman" w:hAnsi="Times New Roman"/>
          <w:b w:val="false"/>
          <w:bCs w:val="false"/>
          <w:i/>
          <w:iCs/>
          <w:sz w:val="20"/>
          <w:szCs w:val="20"/>
        </w:rPr>
        <w:t xml:space="preserve">I</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iCs/>
          <w:sz w:val="20"/>
          <w:szCs w:val="20"/>
          <w:vertAlign w:val="subscript"/>
        </w:rPr>
        <w:t xml:space="preserve">j</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I</w:t>
      </w:r>
      <w:r>
        <w:rPr>
          <w:rFonts w:ascii="Times New Roman" w:cs="Times New Roman" w:eastAsia="Times New Roman" w:hAnsi="Times New Roman"/>
          <w:b w:val="false"/>
          <w:bCs w:val="false"/>
          <w:i/>
          <w:iCs/>
          <w:sz w:val="20"/>
          <w:szCs w:val="20"/>
          <w:vertAlign w:val="subscript"/>
        </w:rPr>
        <w:t xml:space="preserve">D</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DS</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iCs/>
          <w:sz w:val="20"/>
          <w:szCs w:val="20"/>
          <w:vertAlign w:val="subscript"/>
        </w:rPr>
        <w:t xml:space="preserve">j</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iCs/>
          <w:sz w:val="20"/>
          <w:szCs w:val="20"/>
          <w:vertAlign w:val="subscript"/>
        </w:rPr>
        <w:t xml:space="preserve">th</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iCs/>
          <w:sz w:val="20"/>
          <w:szCs w:val="20"/>
          <w:vertAlign w:val="subscript"/>
        </w:rPr>
        <w:t xml:space="preserve">th</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iCs/>
          <w:sz w:val="20"/>
          <w:szCs w:val="20"/>
          <w:vertAlign w:val="subscript"/>
        </w:rPr>
        <w:t xml:space="preserve">j</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iCs/>
          <w:sz w:val="20"/>
          <w:szCs w:val="20"/>
          <w:vertAlign w:val="subscript"/>
        </w:rPr>
        <w:t xml:space="preserve">dev</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iCs/>
          <w:sz w:val="20"/>
          <w:szCs w:val="20"/>
          <w:vertAlign w:val="subscript"/>
        </w:rPr>
        <w:t xml:space="preserve">amb</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iCs/>
          <w:sz w:val="20"/>
          <w:szCs w:val="20"/>
          <w:vertAlign w:val="subscript"/>
        </w:rPr>
        <w:t xml:space="preserve">j</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i.e. the quasi-static self-heating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iCs/>
          <w:sz w:val="20"/>
          <w:szCs w:val="20"/>
          <w:vertAlign w:val="subscript"/>
        </w:rPr>
        <w:t xml:space="preserve">dev</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iCs/>
          <w:sz w:val="20"/>
          <w:szCs w:val="20"/>
          <w:vertAlign w:val="subscript"/>
        </w:rPr>
        <w:t xml:space="preserve">amb</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iCs/>
          <w:sz w:val="20"/>
          <w:szCs w:val="20"/>
          <w:vertAlign w:val="subscript"/>
        </w:rPr>
        <w:t xml:space="preserve">th</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iCs/>
          <w:sz w:val="20"/>
          <w:szCs w:val="20"/>
          <w:vertAlign w:val="subscript"/>
        </w:rPr>
        <w:t xml:space="preserve">diss</w:t>
      </w:r>
      <w:r>
        <w:rPr>
          <w:rFonts w:ascii="Times New Roman" w:cs="Times New Roman" w:eastAsia="Times New Roman" w:hAnsi="Times New Roman"/>
          <w:b w:val="false"/>
          <w:bCs w:val="false"/>
          <w:i w:val="false"/>
          <w:iCs w:val="false"/>
          <w:sz w:val="20"/>
          <w:szCs w:val="20"/>
        </w:rPr>
        <w:t xml:space="preserve"> with a thermal time constant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iCs/>
          <w:sz w:val="20"/>
          <w:szCs w:val="20"/>
          <w:vertAlign w:val="subscript"/>
        </w:rPr>
        <w:t xml:space="preserve">th</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iCs/>
          <w:sz w:val="20"/>
          <w:szCs w:val="20"/>
          <w:vertAlign w:val="subscript"/>
        </w:rPr>
        <w:t xml:space="preserve">th</w:t>
      </w:r>
      <w:r>
        <w:rPr>
          <w:rFonts w:ascii="Times New Roman" w:cs="Times New Roman" w:eastAsia="Times New Roman" w:hAnsi="Times New Roman"/>
          <w:b w:val="false"/>
          <w:bCs w:val="false"/>
          <w:i w:val="false"/>
          <w:iCs w:val="false"/>
          <w:sz w:val="20"/>
          <w:szCs w:val="20"/>
        </w:rPr>
        <w:t xml:space="preserve">.</w:t>
      </w:r>
    </w:p>
    <w:p>
      <w:pPr>
        <w:pStyle w:val="Heading2"/>
        <w:keepNext/>
        <w:spacing w:after="80" w:before="160"/>
      </w:pPr>
      <w:r>
        <w:rPr>
          <w:rFonts w:ascii="Times New Roman" w:cs="Times New Roman" w:eastAsia="Times New Roman" w:hAnsi="Times New Roman"/>
          <w:i/>
          <w:iCs/>
          <w:sz w:val="20"/>
          <w:szCs w:val="20"/>
        </w:rPr>
        <w:t xml:space="preserve">D. </w:t>
      </w:r>
      <w:r>
        <w:rPr>
          <w:rFonts w:ascii="Times New Roman" w:cs="Times New Roman" w:eastAsia="Times New Roman" w:hAnsi="Times New Roman"/>
          <w:b w:val="false"/>
          <w:bCs w:val="false"/>
          <w:i/>
          <w:iCs/>
          <w:sz w:val="20"/>
          <w:szCs w:val="20"/>
        </w:rPr>
        <w:t xml:space="preserve">Implementation and equivalence</w:t>
      </w: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The nine Verilog-A modules (</w:t>
      </w:r>
      <w:r>
        <w:rPr>
          <w:rFonts w:ascii="Courier New" w:cs="Courier New" w:eastAsia="Courier New" w:hAnsi="Courier New"/>
          <w:b w:val="false"/>
          <w:bCs w:val="false"/>
          <w:i w:val="false"/>
          <w:iCs w:val="false"/>
          <w:sz w:val="20"/>
          <w:szCs w:val="20"/>
        </w:rPr>
        <w:t xml:space="preserve">gaa_n</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20"/>
          <w:szCs w:val="20"/>
        </w:rPr>
        <w:t xml:space="preserve">gaa_p</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20"/>
          <w:szCs w:val="20"/>
        </w:rPr>
        <w:t xml:space="preserve">sige_p</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20"/>
          <w:szCs w:val="20"/>
        </w:rPr>
        <w:t xml:space="preserve">mos2_n</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20"/>
          <w:szCs w:val="20"/>
        </w:rPr>
        <w:t xml:space="preserve">wse2_p</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20"/>
          <w:szCs w:val="20"/>
        </w:rPr>
        <w:t xml:space="preserve">cnt_n</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20"/>
          <w:szCs w:val="20"/>
        </w:rPr>
        <w:t xml:space="preserve">cnt_p</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20"/>
          <w:szCs w:val="20"/>
        </w:rPr>
        <w:t xml:space="preserve">gan_n</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20"/>
          <w:szCs w:val="20"/>
        </w:rPr>
        <w:t xml:space="preserve">gan_p</w:t>
      </w:r>
      <w:r>
        <w:rPr>
          <w:rFonts w:ascii="Times New Roman" w:cs="Times New Roman" w:eastAsia="Times New Roman" w:hAnsi="Times New Roman"/>
          <w:b w:val="false"/>
          <w:bCs w:val="false"/>
          <w:i w:val="false"/>
          <w:iCs w:val="false"/>
          <w:sz w:val="20"/>
          <w:szCs w:val="20"/>
        </w:rPr>
        <w:t xml:space="preserve">) are generated from one parameter table, as is an ngspice behavioural library in which the same equations are evaluated by B-sources, </w:t>
      </w:r>
      <w:r>
        <w:rPr>
          <w:rFonts w:ascii="Courier New" w:cs="Courier New" w:eastAsia="Courier New" w:hAnsi="Courier New"/>
          <w:b w:val="false"/>
          <w:bCs w:val="false"/>
          <w:i w:val="false"/>
          <w:iCs w:val="false"/>
          <w:sz w:val="20"/>
          <w:szCs w:val="20"/>
        </w:rPr>
        <w:t xml:space="preserve">.func</w:t>
      </w:r>
      <w:r>
        <w:rPr>
          <w:rFonts w:ascii="Times New Roman" w:cs="Times New Roman" w:eastAsia="Times New Roman" w:hAnsi="Times New Roman"/>
          <w:b w:val="false"/>
          <w:bCs w:val="false"/>
          <w:i w:val="false"/>
          <w:iCs w:val="false"/>
          <w:sz w:val="20"/>
          <w:szCs w:val="20"/>
        </w:rPr>
        <w:t xml:space="preserve"> macros and charge-based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capacitors; intermediate quantities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ov</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dsat</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eta</w:t>
      </w:r>
      <w:r>
        <w:rPr>
          <w:rFonts w:ascii="Times New Roman" w:cs="Times New Roman" w:eastAsia="Times New Roman" w:hAnsi="Times New Roman"/>
          <w:b w:val="false"/>
          <w:bCs w:val="false"/>
          <w:i/>
          <w:iCs/>
          <w:sz w:val="20"/>
          <w:szCs w:val="20"/>
          <w:vertAlign w:val="subscript"/>
        </w:rPr>
        <w:t xml:space="preserve">s</w:t>
      </w:r>
      <w:r>
        <w:rPr>
          <w:rFonts w:ascii="Times New Roman" w:cs="Times New Roman" w:eastAsia="Times New Roman" w:hAnsi="Times New Roman"/>
          <w:b w:val="false"/>
          <w:bCs w:val="false"/>
          <w:i w:val="false"/>
          <w:iCs w:val="false"/>
          <w:sz w:val="20"/>
          <w:szCs w:val="20"/>
        </w:rPr>
        <w:t xml:space="preserve">) are solved on auxiliary nodes, which speeds the transient analysis by </w:t>
      </w:r>
      <w:r>
        <w:rPr>
          <w:rFonts w:ascii="Times New Roman" w:cs="Times New Roman" w:eastAsia="Times New Roman" w:hAnsi="Times New Roman"/>
          <w:b w:val="false"/>
          <w:bCs w:val="false"/>
          <w:i w:val="false"/>
          <w:iCs w:val="false"/>
          <w:sz w:val="20"/>
          <w:szCs w:val="20"/>
        </w:rPr>
        <w:t xml:space="preserve">7×</w:t>
      </w:r>
      <w:r>
        <w:rPr>
          <w:rFonts w:ascii="Times New Roman" w:cs="Times New Roman" w:eastAsia="Times New Roman" w:hAnsi="Times New Roman"/>
          <w:b w:val="false"/>
          <w:bCs w:val="false"/>
          <w:i w:val="false"/>
          <w:iCs w:val="false"/>
          <w:sz w:val="20"/>
          <w:szCs w:val="20"/>
        </w:rPr>
        <w:t xml:space="preserve"> without changing the result. A NumPy reference implementation is used for calibration. DC sweeps of all nine devices agree between ngspice and the reference implementation to within 0.1% (the residual is the tolerance of the bisection used for the series-resistance loop). Spectre was not available in the computing environment used for this paper; the Cadence SKILL/OCEAN/ADE scripts that build the library, symbols, schematics and analyses are provided and documented step by step, and all manuscript results were generated with the ngspice mirror.</w:t>
      </w:r>
    </w:p>
    <w:p>
      <w:pPr>
        <w:pStyle w:val="Heading1"/>
        <w:keepNext/>
        <w:spacing w:after="120" w:before="240"/>
        <w:jc w:val="center"/>
      </w:pPr>
      <w:r>
        <w:rPr>
          <w:rFonts w:ascii="Times New Roman" w:cs="Times New Roman" w:eastAsia="Times New Roman" w:hAnsi="Times New Roman"/>
          <w:b w:val="false"/>
          <w:bCs w:val="false"/>
          <w:sz w:val="20"/>
          <w:szCs w:val="20"/>
        </w:rPr>
        <w:t xml:space="preserve">III. CALIBRATION</w:t>
      </w:r>
    </w:p>
    <w:p>
      <w:pPr>
        <w:sectPr>
          <w:type w:val="continuous"/>
          <w:pgSz w:w="11906" w:h="16838" w:orient="portrait"/>
          <w:pgMar w:top="1080" w:right="900" w:bottom="1080" w:left="900" w:header="708" w:footer="708" w:gutter="0"/>
          <w:pgNumType/>
          <w:cols w:space="360" w:num="2" w:equalWidth="true"/>
          <w:docGrid w:linePitch="360"/>
        </w:sectPr>
      </w:pPr>
    </w:p>
    <w:p>
      <w:pPr>
        <w:spacing w:after="60" w:before="60"/>
        <w:jc w:val="center"/>
      </w:pPr>
      <w:r>
        <w:drawing>
          <wp:inline distT="0" distB="0" distL="0" distR="0">
            <wp:extent cx="51435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44481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b w:val="false"/>
          <w:bCs w:val="false"/>
          <w:i/>
          <w:iCs/>
          <w:sz w:val="16"/>
          <w:szCs w:val="16"/>
        </w:rPr>
        <w:t xml:space="preserve">I</w:t>
      </w:r>
      <w:r>
        <w:rPr>
          <w:rFonts w:ascii="Times New Roman" w:cs="Times New Roman" w:eastAsia="Times New Roman" w:hAnsi="Times New Roman"/>
          <w:b w:val="false"/>
          <w:bCs w:val="false"/>
          <w:i/>
          <w:iCs/>
          <w:sz w:val="16"/>
          <w:szCs w:val="16"/>
          <w:vertAlign w:val="subscript"/>
        </w:rPr>
        <w:t xml:space="preserve">D</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G</w:t>
      </w:r>
      <w:r>
        <w:rPr>
          <w:rFonts w:ascii="Times New Roman" w:cs="Times New Roman" w:eastAsia="Times New Roman" w:hAnsi="Times New Roman"/>
          <w:b w:val="false"/>
          <w:bCs w:val="false"/>
          <w:i w:val="false"/>
          <w:iCs w:val="false"/>
          <w:sz w:val="16"/>
          <w:szCs w:val="16"/>
        </w:rPr>
        <w:t xml:space="preserve"> calibration of the nine device models (lines) against the literature-anchored reference curves (symbols) at </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DS</w:t>
      </w:r>
      <w:r>
        <w:rPr>
          <w:rFonts w:ascii="Times New Roman" w:cs="Times New Roman" w:eastAsia="Times New Roman" w:hAnsi="Times New Roman"/>
          <w:b w:val="false"/>
          <w:bCs w:val="false"/>
          <w:i w:val="false"/>
          <w:iCs w:val="false"/>
          <w:sz w:val="16"/>
          <w:szCs w:val="16"/>
        </w:rPr>
        <w:t xml:space="preserve">|=0.05</w:t>
      </w:r>
      <w:r>
        <w:rPr>
          <w:rFonts w:ascii="Times New Roman" w:cs="Times New Roman" w:eastAsia="Times New Roman" w:hAnsi="Times New Roman"/>
          <w:b w:val="false"/>
          <w:bCs w:val="false"/>
          <w:i w:val="false"/>
          <w:iCs w:val="false"/>
          <w:sz w:val="16"/>
          <w:szCs w:val="16"/>
        </w:rPr>
        <w:t xml:space="preserve"> V and </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DS</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DD</w:t>
      </w:r>
      <w:r>
        <w:rPr>
          <w:rFonts w:ascii="Times New Roman" w:cs="Times New Roman" w:eastAsia="Times New Roman" w:hAnsi="Times New Roman"/>
          <w:b w:val="false"/>
          <w:bCs w:val="false"/>
          <w:i w:val="false"/>
          <w:iCs w:val="false"/>
          <w:sz w:val="16"/>
          <w:szCs w:val="16"/>
        </w:rPr>
        <w:t xml:space="preserve">, on logarithmic (left axes) and linear (right axes) scales.</w:t>
      </w:r>
    </w:p>
    <w:p>
      <w:pPr>
        <w:sectPr>
          <w:type w:val="continuous"/>
          <w:pgSz w:w="11906" w:h="16838" w:orient="portrait"/>
          <w:pgMar w:top="1080" w:right="900" w:bottom="1080" w:left="900" w:header="708" w:footer="708" w:gutter="0"/>
          <w:pgNumType/>
          <w:cols w:num="1"/>
          <w:docGrid w:linePitch="360"/>
        </w:sectPr>
      </w:pPr>
    </w:p>
    <w:p>
      <w:pPr>
        <w:spacing w:after="60" w:before="60"/>
        <w:jc w:val="center"/>
      </w:pPr>
      <w:r>
        <w:drawing>
          <wp:inline distT="0" distB="0" distL="0" distR="0">
            <wp:extent cx="5514975"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14975" cy="44481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b w:val="false"/>
          <w:bCs w:val="false"/>
          <w:i/>
          <w:iCs/>
          <w:sz w:val="16"/>
          <w:szCs w:val="16"/>
        </w:rPr>
        <w:t xml:space="preserve">I</w:t>
      </w:r>
      <w:r>
        <w:rPr>
          <w:rFonts w:ascii="Times New Roman" w:cs="Times New Roman" w:eastAsia="Times New Roman" w:hAnsi="Times New Roman"/>
          <w:b w:val="false"/>
          <w:bCs w:val="false"/>
          <w:i/>
          <w:iCs/>
          <w:sz w:val="16"/>
          <w:szCs w:val="16"/>
          <w:vertAlign w:val="subscript"/>
        </w:rPr>
        <w:t xml:space="preserve">D</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D</w:t>
      </w:r>
      <w:r>
        <w:rPr>
          <w:rFonts w:ascii="Times New Roman" w:cs="Times New Roman" w:eastAsia="Times New Roman" w:hAnsi="Times New Roman"/>
          <w:b w:val="false"/>
          <w:bCs w:val="false"/>
          <w:i w:val="false"/>
          <w:iCs w:val="false"/>
          <w:sz w:val="16"/>
          <w:szCs w:val="16"/>
        </w:rPr>
        <w:t xml:space="preserve"> families (six gate biases from </w:t>
      </w:r>
      <w:r>
        <w:rPr>
          <w:rFonts w:ascii="Times New Roman" w:cs="Times New Roman" w:eastAsia="Times New Roman" w:hAnsi="Times New Roman"/>
          <w:b w:val="false"/>
          <w:bCs w:val="false"/>
          <w:i w:val="false"/>
          <w:iCs w:val="false"/>
          <w:sz w:val="16"/>
          <w:szCs w:val="16"/>
        </w:rPr>
        <w:t xml:space="preserve">0.3</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DD</w:t>
      </w:r>
      <w:r>
        <w:rPr>
          <w:rFonts w:ascii="Times New Roman" w:cs="Times New Roman" w:eastAsia="Times New Roman" w:hAnsi="Times New Roman"/>
          <w:b w:val="false"/>
          <w:bCs w:val="false"/>
          <w:i w:val="false"/>
          <w:iCs w:val="false"/>
          <w:sz w:val="16"/>
          <w:szCs w:val="16"/>
        </w:rPr>
        <w:t xml:space="preserve"> to </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DD</w:t>
      </w:r>
      <w:r>
        <w:rPr>
          <w:rFonts w:ascii="Times New Roman" w:cs="Times New Roman" w:eastAsia="Times New Roman" w:hAnsi="Times New Roman"/>
          <w:b w:val="false"/>
          <w:bCs w:val="false"/>
          <w:i w:val="false"/>
          <w:iCs w:val="false"/>
          <w:sz w:val="16"/>
          <w:szCs w:val="16"/>
        </w:rPr>
        <w:t xml:space="preserve">) of the calibrated models (lines) and reference (symbols).</w:t>
      </w:r>
    </w:p>
    <w:p>
      <w:pPr>
        <w:sectPr>
          <w:type w:val="continuous"/>
          <w:pgSz w:w="11906" w:h="16838" w:orient="portrait"/>
          <w:pgMar w:top="1080" w:right="900" w:bottom="1080" w:left="900" w:header="708" w:footer="708" w:gutter="0"/>
          <w:pgNumType/>
          <w:cols w:num="1"/>
          <w:docGrid w:linePitch="360"/>
        </w:sectPr>
      </w:pPr>
    </w:p>
    <w:p>
      <w:pPr>
        <w:spacing w:after="60" w:before="60"/>
        <w:jc w:val="center"/>
      </w:pPr>
      <w:r>
        <w:drawing>
          <wp:inline distT="0" distB="0" distL="0" distR="0">
            <wp:extent cx="66294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629400" cy="20859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b w:val="false"/>
          <w:bCs w:val="false"/>
          <w:i w:val="false"/>
          <w:iCs w:val="false"/>
          <w:sz w:val="16"/>
          <w:szCs w:val="16"/>
        </w:rPr>
        <w:t xml:space="preserve">Gate capacitance per effective width, </w:t>
      </w:r>
      <w:r>
        <w:rPr>
          <w:rFonts w:ascii="Times New Roman" w:cs="Times New Roman" w:eastAsia="Times New Roman" w:hAnsi="Times New Roman"/>
          <w:b w:val="false"/>
          <w:bCs w:val="false"/>
          <w:i/>
          <w:iCs/>
          <w:sz w:val="16"/>
          <w:szCs w:val="16"/>
        </w:rPr>
        <w:t xml:space="preserve">C</w:t>
      </w:r>
      <w:r>
        <w:rPr>
          <w:rFonts w:ascii="Times New Roman" w:cs="Times New Roman" w:eastAsia="Times New Roman" w:hAnsi="Times New Roman"/>
          <w:b w:val="false"/>
          <w:bCs w:val="false"/>
          <w:i/>
          <w:iCs/>
          <w:sz w:val="16"/>
          <w:szCs w:val="16"/>
          <w:vertAlign w:val="subscript"/>
        </w:rPr>
        <w:t xml:space="preserve">gg</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iCs/>
          <w:sz w:val="16"/>
          <w:szCs w:val="16"/>
        </w:rPr>
        <w:t xml:space="preserve">Q</w:t>
      </w:r>
      <w:r>
        <w:rPr>
          <w:rFonts w:ascii="Times New Roman" w:cs="Times New Roman" w:eastAsia="Times New Roman" w:hAnsi="Times New Roman"/>
          <w:b w:val="false"/>
          <w:bCs w:val="false"/>
          <w:i/>
          <w:iCs/>
          <w:sz w:val="16"/>
          <w:szCs w:val="16"/>
          <w:vertAlign w:val="subscript"/>
        </w:rPr>
        <w:t xml:space="preserve">g</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GS</w:t>
      </w:r>
      <w:r>
        <w:rPr>
          <w:rFonts w:ascii="Times New Roman" w:cs="Times New Roman" w:eastAsia="Times New Roman" w:hAnsi="Times New Roman"/>
          <w:b w:val="false"/>
          <w:bCs w:val="false"/>
          <w:i w:val="false"/>
          <w:iCs w:val="false"/>
          <w:sz w:val="16"/>
          <w:szCs w:val="16"/>
        </w:rPr>
        <w:t xml:space="preserve">, of the nine calibrated models from the charge model at </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DS</w:t>
      </w:r>
      <w:r>
        <w:rPr>
          <w:rFonts w:ascii="Times New Roman" w:cs="Times New Roman" w:eastAsia="Times New Roman" w:hAnsi="Times New Roman"/>
          <w:b w:val="false"/>
          <w:bCs w:val="false"/>
          <w:i w:val="false"/>
          <w:iCs w:val="false"/>
          <w:sz w:val="16"/>
          <w:szCs w:val="16"/>
        </w:rPr>
        <w:t xml:space="preserve">=0</w:t>
      </w:r>
      <w:r>
        <w:rPr>
          <w:rFonts w:ascii="Times New Roman" w:cs="Times New Roman" w:eastAsia="Times New Roman" w:hAnsi="Times New Roman"/>
          <w:b w:val="false"/>
          <w:bCs w:val="false"/>
          <w:i w:val="false"/>
          <w:iCs w:val="false"/>
          <w:sz w:val="16"/>
          <w:szCs w:val="16"/>
        </w:rPr>
        <w:t xml:space="preserve"> (full lines) and </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DS</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DD</w:t>
      </w:r>
      <w:r>
        <w:rPr>
          <w:rFonts w:ascii="Times New Roman" w:cs="Times New Roman" w:eastAsia="Times New Roman" w:hAnsi="Times New Roman"/>
          <w:b w:val="false"/>
          <w:bCs w:val="false"/>
          <w:i w:val="false"/>
          <w:iCs w:val="false"/>
          <w:sz w:val="16"/>
          <w:szCs w:val="16"/>
        </w:rPr>
        <w:t xml:space="preserve"> (faded): (a) Si/SiGe nanosheets, (b) 2D and CNT channels, (c) GaN.</w:t>
      </w:r>
    </w:p>
    <w:p>
      <w:pPr>
        <w:sectPr>
          <w:type w:val="continuous"/>
          <w:pgSz w:w="11906" w:h="16838" w:orient="portrait"/>
          <w:pgMar w:top="1080" w:right="900" w:bottom="1080" w:left="900" w:header="708" w:footer="708" w:gutter="0"/>
          <w:pgNumType/>
          <w:cols w:num="1"/>
          <w:docGrid w:linePitch="360"/>
        </w:sectPr>
      </w:pP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No measured or TCAD data were available, so the calibration targets are literature-anchored synthetic reference curves: for each device the on-current, off-current, subthreshold slope and DIBL at the platform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val="false"/>
          <w:iCs w:val="false"/>
          <w:sz w:val="20"/>
          <w:szCs w:val="20"/>
        </w:rPr>
        <w:t xml:space="preserve"> (Table II, sources in the companion </w:t>
      </w:r>
      <w:r>
        <w:rPr>
          <w:rFonts w:ascii="Courier New" w:cs="Courier New" w:eastAsia="Courier New" w:hAnsi="Courier New"/>
          <w:b w:val="false"/>
          <w:bCs w:val="false"/>
          <w:i w:val="false"/>
          <w:iCs w:val="false"/>
          <w:sz w:val="20"/>
          <w:szCs w:val="20"/>
        </w:rPr>
        <w:t xml:space="preserve">doc/calibration_targets.md</w:t>
      </w:r>
      <w:r>
        <w:rPr>
          <w:rFonts w:ascii="Times New Roman" w:cs="Times New Roman" w:eastAsia="Times New Roman" w:hAnsi="Times New Roman"/>
          <w:b w:val="false"/>
          <w:bCs w:val="false"/>
          <w:i w:val="false"/>
          <w:iCs w:val="false"/>
          <w:sz w:val="20"/>
          <w:szCs w:val="20"/>
        </w:rPr>
        <w:t xml:space="preserve">) are imposed on an </w:t>
      </w:r>
      <w:r>
        <w:rPr>
          <w:rFonts w:ascii="Times New Roman" w:cs="Times New Roman" w:eastAsia="Times New Roman" w:hAnsi="Times New Roman"/>
          <w:b w:val="false"/>
          <w:bCs w:val="false"/>
          <w:i/>
          <w:iCs/>
          <w:sz w:val="20"/>
          <w:szCs w:val="20"/>
        </w:rPr>
        <w:t xml:space="preserve">independent</w:t>
      </w:r>
      <w:r>
        <w:rPr>
          <w:rFonts w:ascii="Times New Roman" w:cs="Times New Roman" w:eastAsia="Times New Roman" w:hAnsi="Times New Roman"/>
          <w:b w:val="false"/>
          <w:bCs w:val="false"/>
          <w:i w:val="false"/>
          <w:iCs w:val="false"/>
          <w:sz w:val="20"/>
          <w:szCs w:val="20"/>
        </w:rPr>
        <w:t xml:space="preserve"> EKV-type formulation with a fourth-order power-law drain-voltage smoothing and explicit series resistance; the UCM is then fitted to those curves. This makes the fit a real test of the model's functional form (the two formulations differ in their saturation behaviour and charge interpolation), while keeping the targets traceable to published ranges [27, 28, 4, 5, 8, 9, 10, 11, 17, 14]. The flow accepts measured or TCAD CSV files with the same column layout as drop-in replacements.</w:t>
      </w: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Seven parameters are fitted per device by bounded non-linear least squares on </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log</w:t>
      </w:r>
      <w:r>
        <w:rPr>
          <w:rFonts w:ascii="Times New Roman" w:cs="Times New Roman" w:eastAsia="Times New Roman" w:hAnsi="Times New Roman"/>
          <w:b w:val="false"/>
          <w:bCs w:val="false"/>
          <w:i w:val="false"/>
          <w:iCs w:val="false"/>
          <w:sz w:val="20"/>
          <w:szCs w:val="20"/>
          <w:vertAlign w:val="subscript"/>
        </w:rPr>
        <w:t xml:space="preserve">10</w:t>
      </w:r>
      <w:r>
        <w:rPr>
          <w:rFonts w:ascii="Times New Roman" w:cs="Times New Roman" w:eastAsia="Times New Roman" w:hAnsi="Times New Roman"/>
          <w:b w:val="false"/>
          <w:bCs w:val="false"/>
          <w:i/>
          <w:iCs/>
          <w:sz w:val="20"/>
          <w:szCs w:val="20"/>
        </w:rPr>
        <w:t xml:space="preserve">I</w:t>
      </w:r>
      <w:r>
        <w:rPr>
          <w:rFonts w:ascii="Times New Roman" w:cs="Times New Roman" w:eastAsia="Times New Roman" w:hAnsi="Times New Roman"/>
          <w:b w:val="false"/>
          <w:bCs w:val="false"/>
          <w:i/>
          <w:iCs/>
          <w:sz w:val="20"/>
          <w:szCs w:val="20"/>
          <w:vertAlign w:val="subscript"/>
        </w:rPr>
        <w:t xml:space="preserve">D</w:t>
      </w:r>
      <w:r>
        <w:rPr>
          <w:rFonts w:ascii="Times New Roman" w:cs="Times New Roman" w:eastAsia="Times New Roman" w:hAnsi="Times New Roman"/>
          <w:b w:val="false"/>
          <w:bCs w:val="false"/>
          <w:i w:val="false"/>
          <w:iCs w:val="false"/>
          <w:sz w:val="20"/>
          <w:szCs w:val="20"/>
        </w:rPr>
        <w:t xml:space="preserve"> of the linear and saturation </w:t>
      </w:r>
      <w:r>
        <w:rPr>
          <w:rFonts w:ascii="Times New Roman" w:cs="Times New Roman" w:eastAsia="Times New Roman" w:hAnsi="Times New Roman"/>
          <w:b w:val="false"/>
          <w:bCs w:val="false"/>
          <w:i/>
          <w:iCs/>
          <w:sz w:val="20"/>
          <w:szCs w:val="20"/>
        </w:rPr>
        <w:t xml:space="preserve">I</w:t>
      </w:r>
      <w:r>
        <w:rPr>
          <w:rFonts w:ascii="Times New Roman" w:cs="Times New Roman" w:eastAsia="Times New Roman" w:hAnsi="Times New Roman"/>
          <w:b w:val="false"/>
          <w:bCs w:val="false"/>
          <w:i/>
          <w:iCs/>
          <w:sz w:val="20"/>
          <w:szCs w:val="20"/>
          <w:vertAlign w:val="subscript"/>
        </w:rPr>
        <w:t xml:space="preserve">D</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G</w:t>
      </w:r>
      <w:r>
        <w:rPr>
          <w:rFonts w:ascii="Times New Roman" w:cs="Times New Roman" w:eastAsia="Times New Roman" w:hAnsi="Times New Roman"/>
          <w:b w:val="false"/>
          <w:bCs w:val="false"/>
          <w:i w:val="false"/>
          <w:iCs w:val="false"/>
          <w:sz w:val="20"/>
          <w:szCs w:val="20"/>
        </w:rPr>
        <w:t xml:space="preserve"> curves and on the relative error of the </w:t>
      </w:r>
      <w:r>
        <w:rPr>
          <w:rFonts w:ascii="Times New Roman" w:cs="Times New Roman" w:eastAsia="Times New Roman" w:hAnsi="Times New Roman"/>
          <w:b w:val="false"/>
          <w:bCs w:val="false"/>
          <w:i/>
          <w:iCs/>
          <w:sz w:val="20"/>
          <w:szCs w:val="20"/>
        </w:rPr>
        <w:t xml:space="preserve">I</w:t>
      </w:r>
      <w:r>
        <w:rPr>
          <w:rFonts w:ascii="Times New Roman" w:cs="Times New Roman" w:eastAsia="Times New Roman" w:hAnsi="Times New Roman"/>
          <w:b w:val="false"/>
          <w:bCs w:val="false"/>
          <w:i/>
          <w:iCs/>
          <w:sz w:val="20"/>
          <w:szCs w:val="20"/>
          <w:vertAlign w:val="subscript"/>
        </w:rPr>
        <w:t xml:space="preserve">D</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w:t>
      </w:r>
      <w:r>
        <w:rPr>
          <w:rFonts w:ascii="Times New Roman" w:cs="Times New Roman" w:eastAsia="Times New Roman" w:hAnsi="Times New Roman"/>
          <w:b w:val="false"/>
          <w:bCs w:val="false"/>
          <w:i w:val="false"/>
          <w:iCs w:val="false"/>
          <w:sz w:val="20"/>
          <w:szCs w:val="20"/>
        </w:rPr>
        <w:t xml:space="preserve"> family: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TH0</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mu</w:t>
      </w:r>
      <w:r>
        <w:rPr>
          <w:rFonts w:ascii="Times New Roman" w:cs="Times New Roman" w:eastAsia="Times New Roman" w:hAnsi="Times New Roman"/>
          <w:b w:val="false"/>
          <w:bCs w:val="false"/>
          <w:i w:val="false"/>
          <w:iCs w:val="false"/>
          <w:sz w:val="20"/>
          <w:szCs w:val="20"/>
          <w:vertAlign w:val="subscript"/>
        </w:rPr>
        <w:t xml:space="preserve">0</w:t>
      </w:r>
      <w:r>
        <w:rPr>
          <w:rFonts w:ascii="Times New Roman" w:cs="Times New Roman" w:eastAsia="Times New Roman" w:hAnsi="Times New Roman"/>
          <w:b w:val="false"/>
          <w:bCs w:val="false"/>
          <w:i w:val="false"/>
          <w:iCs w:val="false"/>
          <w:sz w:val="20"/>
          <w:szCs w:val="20"/>
        </w:rPr>
        <w:t xml:space="preserve"> (transmission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and gate efficiency </w:t>
      </w:r>
      <w:r>
        <w:rPr>
          <w:rFonts w:ascii="Times New Roman" w:cs="Times New Roman" w:eastAsia="Times New Roman" w:hAnsi="Times New Roman"/>
          <w:b w:val="false"/>
          <w:bCs w:val="false"/>
          <w:i w:val="false"/>
          <w:iCs w:val="false"/>
          <w:sz w:val="20"/>
          <w:szCs w:val="20"/>
        </w:rPr>
        <w:t xml:space="preserve">α</w:t>
      </w:r>
      <w:r>
        <w:rPr>
          <w:rFonts w:ascii="Times New Roman" w:cs="Times New Roman" w:eastAsia="Times New Roman" w:hAnsi="Times New Roman"/>
          <w:b w:val="false"/>
          <w:bCs w:val="false"/>
          <w:i w:val="false"/>
          <w:iCs w:val="false"/>
          <w:sz w:val="20"/>
          <w:szCs w:val="20"/>
        </w:rPr>
        <w:t xml:space="preserve"> for CNT),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sat</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iCs/>
          <w:sz w:val="20"/>
          <w:szCs w:val="20"/>
          <w:vertAlign w:val="subscript"/>
        </w:rPr>
        <w:t xml:space="preserve">SW</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iCs/>
          <w:sz w:val="20"/>
          <w:szCs w:val="20"/>
          <w:vertAlign w:val="subscript"/>
        </w:rPr>
        <w:t xml:space="preserve">DW</w:t>
      </w:r>
      <w:r>
        <w:rPr>
          <w:rFonts w:ascii="Times New Roman" w:cs="Times New Roman" w:eastAsia="Times New Roman" w:hAnsi="Times New Roman"/>
          <w:b w:val="false"/>
          <w:bCs w:val="false"/>
          <w:i w:val="false"/>
          <w:iCs w:val="false"/>
          <w:sz w:val="20"/>
          <w:szCs w:val="20"/>
        </w:rPr>
        <w:t xml:space="preserve"> (Si, SiGe, GaN only), </w:t>
      </w:r>
      <w:r>
        <w:rPr>
          <w:rFonts w:ascii="Times New Roman" w:cs="Times New Roman" w:eastAsia="Times New Roman" w:hAnsi="Times New Roman"/>
          <w:b w:val="false"/>
          <w:bCs w:val="false"/>
          <w:i w:val="false"/>
          <w:iCs w:val="false"/>
          <w:sz w:val="20"/>
          <w:szCs w:val="20"/>
        </w:rPr>
        <w:t xml:space="preserve">λ</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η</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vertAlign w:val="subscript"/>
        </w:rPr>
        <w:t xml:space="preserve">0</w:t>
      </w:r>
      <w:r>
        <w:rPr>
          <w:rFonts w:ascii="Times New Roman" w:cs="Times New Roman" w:eastAsia="Times New Roman" w:hAnsi="Times New Roman"/>
          <w:b w:val="false"/>
          <w:bCs w:val="false"/>
          <w:i w:val="false"/>
          <w:iCs w:val="false"/>
          <w:sz w:val="20"/>
          <w:szCs w:val="20"/>
        </w:rPr>
        <w:t xml:space="preserve">. The 2D and CNT contact resistances are held at their physical nominal values because they are measured quantities in practice and are the subject of the sensitivity study. Figs. 2–5 and Table III summarise the result: the mean absolute percentage error (MAPE) is 1.3–12.1% on </w:t>
      </w:r>
      <w:r>
        <w:rPr>
          <w:rFonts w:ascii="Times New Roman" w:cs="Times New Roman" w:eastAsia="Times New Roman" w:hAnsi="Times New Roman"/>
          <w:b w:val="false"/>
          <w:bCs w:val="false"/>
          <w:i/>
          <w:iCs/>
          <w:sz w:val="20"/>
          <w:szCs w:val="20"/>
        </w:rPr>
        <w:t xml:space="preserve">I</w:t>
      </w:r>
      <w:r>
        <w:rPr>
          <w:rFonts w:ascii="Times New Roman" w:cs="Times New Roman" w:eastAsia="Times New Roman" w:hAnsi="Times New Roman"/>
          <w:b w:val="false"/>
          <w:bCs w:val="false"/>
          <w:i/>
          <w:iCs/>
          <w:sz w:val="20"/>
          <w:szCs w:val="20"/>
          <w:vertAlign w:val="subscript"/>
        </w:rPr>
        <w:t xml:space="preserve">D</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G</w:t>
      </w:r>
      <w:r>
        <w:rPr>
          <w:rFonts w:ascii="Times New Roman" w:cs="Times New Roman" w:eastAsia="Times New Roman" w:hAnsi="Times New Roman"/>
          <w:b w:val="false"/>
          <w:bCs w:val="false"/>
          <w:i w:val="false"/>
          <w:iCs w:val="false"/>
          <w:sz w:val="20"/>
          <w:szCs w:val="20"/>
        </w:rPr>
        <w:t xml:space="preserve"> and 3.7–12.6% on the </w:t>
      </w:r>
      <w:r>
        <w:rPr>
          <w:rFonts w:ascii="Times New Roman" w:cs="Times New Roman" w:eastAsia="Times New Roman" w:hAnsi="Times New Roman"/>
          <w:b w:val="false"/>
          <w:bCs w:val="false"/>
          <w:i/>
          <w:iCs/>
          <w:sz w:val="20"/>
          <w:szCs w:val="20"/>
        </w:rPr>
        <w:t xml:space="preserve">I</w:t>
      </w:r>
      <w:r>
        <w:rPr>
          <w:rFonts w:ascii="Times New Roman" w:cs="Times New Roman" w:eastAsia="Times New Roman" w:hAnsi="Times New Roman"/>
          <w:b w:val="false"/>
          <w:bCs w:val="false"/>
          <w:i/>
          <w:iCs/>
          <w:sz w:val="20"/>
          <w:szCs w:val="20"/>
          <w:vertAlign w:val="subscript"/>
        </w:rPr>
        <w:t xml:space="preserve">D</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w:t>
      </w:r>
      <w:r>
        <w:rPr>
          <w:rFonts w:ascii="Times New Roman" w:cs="Times New Roman" w:eastAsia="Times New Roman" w:hAnsi="Times New Roman"/>
          <w:b w:val="false"/>
          <w:bCs w:val="false"/>
          <w:i w:val="false"/>
          <w:iCs w:val="false"/>
          <w:sz w:val="20"/>
          <w:szCs w:val="20"/>
        </w:rPr>
        <w:t xml:space="preserve"> families, with the on/off currents within 20% and the subthreshold slopes within 3 mV/dec of their targets. Fig. 4 compares the gate capacitance that the charge model assigns to each device: the nanosheet stacks reach 1.3–1.5 fF/</w:t>
      </w:r>
      <w:r>
        <w:rPr>
          <w:rFonts w:ascii="Times New Roman" w:cs="Times New Roman" w:eastAsia="Times New Roman" w:hAnsi="Times New Roman"/>
          <w:b w:val="false"/>
          <w:bCs w:val="false"/>
          <w:i w:val="false"/>
          <w:iCs w:val="false"/>
          <w:sz w:val="20"/>
          <w:szCs w:val="20"/>
        </w:rPr>
        <w:t xml:space="preserve">µ</w:t>
      </w:r>
      <w:r>
        <w:rPr>
          <w:rFonts w:ascii="Times New Roman" w:cs="Times New Roman" w:eastAsia="Times New Roman" w:hAnsi="Times New Roman"/>
          <w:b w:val="false"/>
          <w:bCs w:val="false"/>
          <w:i w:val="false"/>
          <w:iCs w:val="false"/>
          <w:sz w:val="20"/>
          <w:szCs w:val="20"/>
        </w:rPr>
        <w:t xml:space="preserve">m of gate charge (three sheets of 16-nm gate length plus 0.3 fF/</w:t>
      </w:r>
      <w:r>
        <w:rPr>
          <w:rFonts w:ascii="Times New Roman" w:cs="Times New Roman" w:eastAsia="Times New Roman" w:hAnsi="Times New Roman"/>
          <w:b w:val="false"/>
          <w:bCs w:val="false"/>
          <w:i w:val="false"/>
          <w:iCs w:val="false"/>
          <w:sz w:val="20"/>
          <w:szCs w:val="20"/>
        </w:rPr>
        <w:t xml:space="preserve">µ</w:t>
      </w:r>
      <w:r>
        <w:rPr>
          <w:rFonts w:ascii="Times New Roman" w:cs="Times New Roman" w:eastAsia="Times New Roman" w:hAnsi="Times New Roman"/>
          <w:b w:val="false"/>
          <w:bCs w:val="false"/>
          <w:i w:val="false"/>
          <w:iCs w:val="false"/>
          <w:sz w:val="20"/>
          <w:szCs w:val="20"/>
        </w:rPr>
        <w:t xml:space="preserve">m fringing per side), the 2D and CNT channels 0.45–1.0 fF/</w:t>
      </w:r>
      <w:r>
        <w:rPr>
          <w:rFonts w:ascii="Times New Roman" w:cs="Times New Roman" w:eastAsia="Times New Roman" w:hAnsi="Times New Roman"/>
          <w:b w:val="false"/>
          <w:bCs w:val="false"/>
          <w:i w:val="false"/>
          <w:iCs w:val="false"/>
          <w:sz w:val="20"/>
          <w:szCs w:val="20"/>
        </w:rPr>
        <w:t xml:space="preserve">µ</w:t>
      </w:r>
      <w:r>
        <w:rPr>
          <w:rFonts w:ascii="Times New Roman" w:cs="Times New Roman" w:eastAsia="Times New Roman" w:hAnsi="Times New Roman"/>
          <w:b w:val="false"/>
          <w:bCs w:val="false"/>
          <w:i w:val="false"/>
          <w:iCs w:val="false"/>
          <w:sz w:val="20"/>
          <w:szCs w:val="20"/>
        </w:rPr>
        <w:t xml:space="preserve">m, and the GaN devices, with a 10-nm barrier and a 100-nm gate, 1.4–1.8 fF/</w:t>
      </w:r>
      <w:r>
        <w:rPr>
          <w:rFonts w:ascii="Times New Roman" w:cs="Times New Roman" w:eastAsia="Times New Roman" w:hAnsi="Times New Roman"/>
          <w:b w:val="false"/>
          <w:bCs w:val="false"/>
          <w:i w:val="false"/>
          <w:iCs w:val="false"/>
          <w:sz w:val="20"/>
          <w:szCs w:val="20"/>
        </w:rPr>
        <w:t xml:space="preserve">µ</w:t>
      </w:r>
      <w:r>
        <w:rPr>
          <w:rFonts w:ascii="Times New Roman" w:cs="Times New Roman" w:eastAsia="Times New Roman" w:hAnsi="Times New Roman"/>
          <w:b w:val="false"/>
          <w:bCs w:val="false"/>
          <w:i w:val="false"/>
          <w:iCs w:val="false"/>
          <w:sz w:val="20"/>
          <w:szCs w:val="20"/>
        </w:rPr>
        <w:t xml:space="preserve">m; the saturation curves show the drain decoupling of the symmetric partition. No capacitance targets were imposed in the calibration, so these are predictions of the calibrated DC parameters and the geometry. The largest residuals are in the SiGe/Si output conductance (the </w:t>
      </w:r>
      <w:r>
        <w:rPr>
          <w:rFonts w:ascii="Times New Roman" w:cs="Times New Roman" w:eastAsia="Times New Roman" w:hAnsi="Times New Roman"/>
          <w:b w:val="false"/>
          <w:bCs w:val="false"/>
          <w:i w:val="false"/>
          <w:iCs w:val="false"/>
          <w:sz w:val="20"/>
          <w:szCs w:val="20"/>
        </w:rPr>
        <w:t xml:space="preserve">tanh</w:t>
      </w:r>
      <w:r>
        <w:rPr>
          <w:rFonts w:ascii="Times New Roman" w:cs="Times New Roman" w:eastAsia="Times New Roman" w:hAnsi="Times New Roman"/>
          <w:b w:val="false"/>
          <w:bCs w:val="false"/>
          <w:i w:val="false"/>
          <w:iCs w:val="false"/>
          <w:sz w:val="20"/>
          <w:szCs w:val="20"/>
        </w:rPr>
        <w:t xml:space="preserve"> interpolation saturates harder than the reference, which the fit compensates with </w:t>
      </w:r>
      <w:r>
        <w:rPr>
          <w:rFonts w:ascii="Times New Roman" w:cs="Times New Roman" w:eastAsia="Times New Roman" w:hAnsi="Times New Roman"/>
          <w:b w:val="false"/>
          <w:bCs w:val="false"/>
          <w:i w:val="false"/>
          <w:iCs w:val="false"/>
          <w:sz w:val="20"/>
          <w:szCs w:val="20"/>
        </w:rPr>
        <w:t xml:space="preserve">λ</w:t>
      </w:r>
      <w:r>
        <w:rPr>
          <w:rFonts w:ascii="Times New Roman" w:cs="Times New Roman" w:eastAsia="Times New Roman" w:hAnsi="Times New Roman"/>
          <w:b w:val="false"/>
          <w:bCs w:val="false"/>
          <w:i w:val="false"/>
          <w:iCs w:val="false"/>
          <w:sz w:val="20"/>
          <w:szCs w:val="20"/>
        </w:rPr>
        <w:t xml:space="preserve"> at its 0.3 V</w:t>
      </w:r>
      <w:r>
        <w:rPr>
          <w:rFonts w:ascii="Times New Roman" w:cs="Times New Roman" w:eastAsia="Times New Roman" w:hAnsi="Times New Roman"/>
          <w:b w:val="false"/>
          <w:bCs w:val="false"/>
          <w:i/>
          <w:iCs/>
          <w:sz w:val="20"/>
          <w:szCs w:val="20"/>
          <w:vertAlign w:val="superscript"/>
        </w:rPr>
        <w:t xml:space="preserve">-1</w:t>
      </w:r>
      <w:r>
        <w:rPr>
          <w:rFonts w:ascii="Times New Roman" w:cs="Times New Roman" w:eastAsia="Times New Roman" w:hAnsi="Times New Roman"/>
          <w:b w:val="false"/>
          <w:bCs w:val="false"/>
          <w:i w:val="false"/>
          <w:iCs w:val="false"/>
          <w:sz w:val="20"/>
          <w:szCs w:val="20"/>
        </w:rPr>
        <w:t xml:space="preserve"> bound) and in the CNT subthreshold region, where the single-ideality Landauer branch cannot reproduce the reference's 75 mV/dec slope together with its DIBL.</w:t>
      </w:r>
    </w:p>
    <w:p>
      <w:pPr>
        <w:sectPr>
          <w:type w:val="continuous"/>
          <w:pgSz w:w="11906" w:h="16838" w:orient="portrait"/>
          <w:pgMar w:top="1080" w:right="900" w:bottom="1080" w:left="900" w:header="708" w:footer="708" w:gutter="0"/>
          <w:pgNumType/>
          <w:cols w:space="360" w:num="2" w:equalWidth="true"/>
          <w:docGrid w:linePitch="360"/>
        </w:sectPr>
      </w:pPr>
    </w:p>
    <w:p>
      <w:pPr>
        <w:keepNext/>
        <w:spacing w:after="40" w:before="12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b w:val="false"/>
          <w:bCs w:val="false"/>
          <w:i w:val="false"/>
          <w:iCs w:val="false"/>
          <w:sz w:val="16"/>
          <w:szCs w:val="16"/>
        </w:rPr>
        <w:t xml:space="preserve">Calibrated UCM-CFET parameters (SI values converted to the units shown).</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1044"/>
        <w:gridCol w:w="1044"/>
        <w:gridCol w:w="1044"/>
        <w:gridCol w:w="1044"/>
        <w:gridCol w:w="1044"/>
        <w:gridCol w:w="1044"/>
        <w:gridCol w:w="1044"/>
        <w:gridCol w:w="1044"/>
        <w:gridCol w:w="1044"/>
        <w:gridCol w:w="1044"/>
      </w:tblGrid>
      <w:tr>
        <w:tc>
          <w:tcPr>
            <w:tcW w:type="dxa" w:w="1044"/>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Parameter</w:t>
            </w:r>
          </w:p>
        </w:tc>
        <w:tc>
          <w:tcPr>
            <w:tcW w:type="dxa" w:w="1044"/>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Si GAA n</w:t>
            </w:r>
          </w:p>
        </w:tc>
        <w:tc>
          <w:tcPr>
            <w:tcW w:type="dxa" w:w="1044"/>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Si GAA p</w:t>
            </w:r>
          </w:p>
        </w:tc>
        <w:tc>
          <w:tcPr>
            <w:tcW w:type="dxa" w:w="1044"/>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SiGe GAA p</w:t>
            </w:r>
          </w:p>
        </w:tc>
        <w:tc>
          <w:tcPr>
            <w:tcW w:type="dxa" w:w="1044"/>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MoS</w:t>
            </w:r>
            <w:r>
              <w:rPr>
                <w:rFonts w:ascii="Times New Roman" w:cs="Times New Roman" w:eastAsia="Times New Roman" w:hAnsi="Times New Roman"/>
                <w:b w:val="false"/>
                <w:bCs w:val="false"/>
                <w:i w:val="false"/>
                <w:iCs w:val="false"/>
                <w:sz w:val="14"/>
                <w:szCs w:val="14"/>
                <w:vertAlign w:val="subscript"/>
              </w:rPr>
              <w:t xml:space="preserve">2</w:t>
            </w:r>
            <w:r>
              <w:rPr>
                <w:rFonts w:ascii="Times New Roman" w:cs="Times New Roman" w:eastAsia="Times New Roman" w:hAnsi="Times New Roman"/>
                <w:b w:val="false"/>
                <w:bCs w:val="false"/>
                <w:i w:val="false"/>
                <w:iCs w:val="false"/>
                <w:sz w:val="14"/>
                <w:szCs w:val="14"/>
              </w:rPr>
              <w:t xml:space="preserve"> n</w:t>
            </w:r>
          </w:p>
        </w:tc>
        <w:tc>
          <w:tcPr>
            <w:tcW w:type="dxa" w:w="1044"/>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WSe</w:t>
            </w:r>
            <w:r>
              <w:rPr>
                <w:rFonts w:ascii="Times New Roman" w:cs="Times New Roman" w:eastAsia="Times New Roman" w:hAnsi="Times New Roman"/>
                <w:b w:val="false"/>
                <w:bCs w:val="false"/>
                <w:i w:val="false"/>
                <w:iCs w:val="false"/>
                <w:sz w:val="14"/>
                <w:szCs w:val="14"/>
                <w:vertAlign w:val="subscript"/>
              </w:rPr>
              <w:t xml:space="preserve">2</w:t>
            </w:r>
            <w:r>
              <w:rPr>
                <w:rFonts w:ascii="Times New Roman" w:cs="Times New Roman" w:eastAsia="Times New Roman" w:hAnsi="Times New Roman"/>
                <w:b w:val="false"/>
                <w:bCs w:val="false"/>
                <w:i w:val="false"/>
                <w:iCs w:val="false"/>
                <w:sz w:val="14"/>
                <w:szCs w:val="14"/>
              </w:rPr>
              <w:t xml:space="preserve"> p</w:t>
            </w:r>
          </w:p>
        </w:tc>
        <w:tc>
          <w:tcPr>
            <w:tcW w:type="dxa" w:w="1044"/>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CNT n</w:t>
            </w:r>
          </w:p>
        </w:tc>
        <w:tc>
          <w:tcPr>
            <w:tcW w:type="dxa" w:w="1044"/>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CNT p</w:t>
            </w:r>
          </w:p>
        </w:tc>
        <w:tc>
          <w:tcPr>
            <w:tcW w:type="dxa" w:w="1044"/>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GaN n</w:t>
            </w:r>
          </w:p>
        </w:tc>
        <w:tc>
          <w:tcPr>
            <w:tcW w:type="dxa" w:w="1044"/>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p-GaN (proj.)</w:t>
            </w:r>
          </w:p>
        </w:tc>
      </w:tr>
      <w:tr>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iCs/>
                <w:sz w:val="14"/>
                <w:szCs w:val="14"/>
              </w:rPr>
              <w:t xml:space="preserve">L</w:t>
            </w:r>
            <w:r>
              <w:rPr>
                <w:rFonts w:ascii="Times New Roman" w:cs="Times New Roman" w:eastAsia="Times New Roman" w:hAnsi="Times New Roman"/>
                <w:b w:val="false"/>
                <w:bCs w:val="false"/>
                <w:i/>
                <w:iCs/>
                <w:sz w:val="14"/>
                <w:szCs w:val="14"/>
                <w:vertAlign w:val="subscript"/>
              </w:rPr>
              <w:t xml:space="preserve">g</w:t>
            </w:r>
            <w:r>
              <w:rPr>
                <w:rFonts w:ascii="Times New Roman" w:cs="Times New Roman" w:eastAsia="Times New Roman" w:hAnsi="Times New Roman"/>
                <w:b w:val="false"/>
                <w:bCs w:val="false"/>
                <w:i w:val="false"/>
                <w:iCs w:val="false"/>
                <w:sz w:val="14"/>
                <w:szCs w:val="14"/>
              </w:rPr>
              <w:t xml:space="preserve"> (nm)</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16</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16</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16</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100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100</w:t>
            </w:r>
          </w:p>
        </w:tc>
      </w:tr>
      <w:tr>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iCs/>
                <w:sz w:val="14"/>
                <w:szCs w:val="14"/>
              </w:rPr>
              <w:t xml:space="preserve">V</w:t>
            </w:r>
            <w:r>
              <w:rPr>
                <w:rFonts w:ascii="Times New Roman" w:cs="Times New Roman" w:eastAsia="Times New Roman" w:hAnsi="Times New Roman"/>
                <w:b w:val="false"/>
                <w:bCs w:val="false"/>
                <w:i/>
                <w:iCs/>
                <w:sz w:val="14"/>
                <w:szCs w:val="14"/>
                <w:vertAlign w:val="subscript"/>
              </w:rPr>
              <w:t xml:space="preserve">TH0</w:t>
            </w:r>
            <w:r>
              <w:rPr>
                <w:rFonts w:ascii="Times New Roman" w:cs="Times New Roman" w:eastAsia="Times New Roman" w:hAnsi="Times New Roman"/>
                <w:b w:val="false"/>
                <w:bCs w:val="false"/>
                <w:i w:val="false"/>
                <w:iCs w:val="false"/>
                <w:sz w:val="14"/>
                <w:szCs w:val="14"/>
              </w:rPr>
              <w:t xml:space="preserve"> (mV)</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346</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350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362</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343</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380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377</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375</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357</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355</w:t>
            </w:r>
          </w:p>
        </w:tc>
      </w:tr>
      <w:tr>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i w:val="false"/>
                <w:iCs w:val="false"/>
                <w:sz w:val="14"/>
                <w:szCs w:val="14"/>
                <w:vertAlign w:val="subscript"/>
              </w:rPr>
              <w:t xml:space="preserve">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1.14</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1.17</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1.20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1.18</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1.24</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1.16</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1.15</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1.39</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1.43</w:t>
            </w:r>
          </w:p>
        </w:tc>
      </w:tr>
      <w:tr>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η</w:t>
            </w:r>
            <w:r>
              <w:rPr>
                <w:rFonts w:ascii="Times New Roman" w:cs="Times New Roman" w:eastAsia="Times New Roman" w:hAnsi="Times New Roman"/>
                <w:b w:val="false"/>
                <w:bCs w:val="false"/>
                <w:i w:val="false"/>
                <w:iCs w:val="false"/>
                <w:sz w:val="14"/>
                <w:szCs w:val="14"/>
              </w:rPr>
              <w:t xml:space="preserve"> (mV/V)</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46</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51</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57</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70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77</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46</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46</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33</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37</w:t>
            </w:r>
          </w:p>
        </w:tc>
      </w:tr>
      <w:tr>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w:t>
            </w:r>
            <w:r>
              <w:rPr>
                <w:rFonts w:ascii="Times New Roman" w:cs="Times New Roman" w:eastAsia="Times New Roman" w:hAnsi="Times New Roman"/>
                <w:b w:val="false"/>
                <w:bCs w:val="false"/>
                <w:i/>
                <w:iCs/>
                <w:sz w:val="14"/>
                <w:szCs w:val="14"/>
              </w:rPr>
              <w:t xml:space="preserve">mu</w:t>
            </w:r>
            <w:r>
              <w:rPr>
                <w:rFonts w:ascii="Times New Roman" w:cs="Times New Roman" w:eastAsia="Times New Roman" w:hAnsi="Times New Roman"/>
                <w:b w:val="false"/>
                <w:bCs w:val="false"/>
                <w:i w:val="false"/>
                <w:iCs w:val="false"/>
                <w:sz w:val="14"/>
                <w:szCs w:val="14"/>
                <w:vertAlign w:val="subscript"/>
              </w:rPr>
              <w:t xml:space="preserve">0</w:t>
            </w:r>
            <w:r>
              <w:rPr>
                <w:rFonts w:ascii="Times New Roman" w:cs="Times New Roman" w:eastAsia="Times New Roman" w:hAnsi="Times New Roman"/>
                <w:b w:val="false"/>
                <w:bCs w:val="false"/>
                <w:i w:val="false"/>
                <w:iCs w:val="false"/>
                <w:sz w:val="14"/>
                <w:szCs w:val="14"/>
              </w:rPr>
              <w:t xml:space="preserve"> (cm</w:t>
            </w:r>
            <w:r>
              <w:rPr>
                <w:rFonts w:ascii="Times New Roman" w:cs="Times New Roman" w:eastAsia="Times New Roman" w:hAnsi="Times New Roman"/>
                <w:b w:val="false"/>
                <w:bCs w:val="false"/>
                <w:i w:val="false"/>
                <w:iCs w:val="false"/>
                <w:sz w:val="14"/>
                <w:szCs w:val="14"/>
                <w:vertAlign w:val="superscript"/>
              </w:rPr>
              <w:t xml:space="preserve">2</w:t>
            </w:r>
            <w:r>
              <w:rPr>
                <w:rFonts w:ascii="Times New Roman" w:cs="Times New Roman" w:eastAsia="Times New Roman" w:hAnsi="Times New Roman"/>
                <w:b w:val="false"/>
                <w:bCs w:val="false"/>
                <w:i w:val="false"/>
                <w:iCs w:val="false"/>
                <w:sz w:val="14"/>
                <w:szCs w:val="14"/>
              </w:rPr>
              <w:t xml:space="preserve">/Vs)</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75</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55</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76</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56</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63</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300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19</w:t>
            </w:r>
          </w:p>
        </w:tc>
      </w:tr>
      <w:tr>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iCs/>
                <w:sz w:val="14"/>
                <w:szCs w:val="14"/>
              </w:rPr>
              <w:t xml:space="preserve">v</w:t>
            </w:r>
            <w:r>
              <w:rPr>
                <w:rFonts w:ascii="Times New Roman" w:cs="Times New Roman" w:eastAsia="Times New Roman" w:hAnsi="Times New Roman"/>
                <w:b w:val="false"/>
                <w:bCs w:val="false"/>
                <w:i/>
                <w:iCs/>
                <w:sz w:val="14"/>
                <w:szCs w:val="14"/>
                <w:vertAlign w:val="subscript"/>
              </w:rPr>
              <w:t xml:space="preserve">sat</w:t>
            </w:r>
            <w:r>
              <w:rPr>
                <w:rFonts w:ascii="Times New Roman" w:cs="Times New Roman" w:eastAsia="Times New Roman" w:hAnsi="Times New Roman"/>
                <w:b w:val="false"/>
                <w:bCs w:val="false"/>
                <w:i w:val="false"/>
                <w:iCs w:val="false"/>
                <w:sz w:val="14"/>
                <w:szCs w:val="14"/>
              </w:rPr>
              <w:t xml:space="preserve"> (</w:t>
            </w:r>
            <w:r>
              <w:rPr>
                <w:rFonts w:ascii="Times New Roman" w:cs="Times New Roman" w:eastAsia="Times New Roman" w:hAnsi="Times New Roman"/>
                <w:b w:val="false"/>
                <w:bCs w:val="false"/>
                <w:i w:val="false"/>
                <w:iCs w:val="false"/>
                <w:sz w:val="14"/>
                <w:szCs w:val="14"/>
              </w:rPr>
              <w:t xml:space="preserve">10</w:t>
            </w:r>
            <w:r>
              <w:rPr>
                <w:rFonts w:ascii="Times New Roman" w:cs="Times New Roman" w:eastAsia="Times New Roman" w:hAnsi="Times New Roman"/>
                <w:b w:val="false"/>
                <w:bCs w:val="false"/>
                <w:i w:val="false"/>
                <w:iCs w:val="false"/>
                <w:sz w:val="14"/>
                <w:szCs w:val="14"/>
                <w:vertAlign w:val="superscript"/>
              </w:rPr>
              <w:t xml:space="preserve">7</w:t>
            </w:r>
            <w:r>
              <w:rPr>
                <w:rFonts w:ascii="Times New Roman" w:cs="Times New Roman" w:eastAsia="Times New Roman" w:hAnsi="Times New Roman"/>
                <w:b w:val="false"/>
                <w:bCs w:val="false"/>
                <w:i w:val="false"/>
                <w:iCs w:val="false"/>
                <w:sz w:val="14"/>
                <w:szCs w:val="14"/>
              </w:rPr>
              <w:t xml:space="preserve"> cm/s)</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2.50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2.25</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1.50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1.20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3.75</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1.25</w:t>
            </w:r>
          </w:p>
        </w:tc>
      </w:tr>
      <w:tr>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λ</w:t>
            </w:r>
            <w:r>
              <w:rPr>
                <w:rFonts w:ascii="Times New Roman" w:cs="Times New Roman" w:eastAsia="Times New Roman" w:hAnsi="Times New Roman"/>
                <w:b w:val="false"/>
                <w:bCs w:val="false"/>
                <w:i w:val="false"/>
                <w:iCs w:val="false"/>
                <w:sz w:val="14"/>
                <w:szCs w:val="14"/>
              </w:rPr>
              <w:t xml:space="preserve"> (V</w:t>
            </w:r>
            <w:r>
              <w:rPr>
                <w:rFonts w:ascii="Times New Roman" w:cs="Times New Roman" w:eastAsia="Times New Roman" w:hAnsi="Times New Roman"/>
                <w:b w:val="false"/>
                <w:bCs w:val="false"/>
                <w:i/>
                <w:iCs/>
                <w:sz w:val="14"/>
                <w:szCs w:val="14"/>
                <w:vertAlign w:val="superscript"/>
              </w:rPr>
              <w:t xml:space="preserve">-1</w:t>
            </w:r>
            <w:r>
              <w:rPr>
                <w:rFonts w:ascii="Times New Roman" w:cs="Times New Roman" w:eastAsia="Times New Roman" w:hAnsi="Times New Roman"/>
                <w:b w:val="false"/>
                <w:bCs w:val="false"/>
                <w:i w:val="false"/>
                <w:iCs w:val="false"/>
                <w:sz w:val="14"/>
                <w:szCs w:val="14"/>
              </w:rPr>
              <w:t xml:space="preserve">)</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0.30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0.30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0.30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0.30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0.30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0.00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0.00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0.19</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0.08</w:t>
            </w:r>
          </w:p>
        </w:tc>
      </w:tr>
      <w:tr>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iCs/>
                <w:sz w:val="14"/>
                <w:szCs w:val="14"/>
              </w:rPr>
              <w:t xml:space="preserve">R</w:t>
            </w:r>
            <w:r>
              <w:rPr>
                <w:rFonts w:ascii="Times New Roman" w:cs="Times New Roman" w:eastAsia="Times New Roman" w:hAnsi="Times New Roman"/>
                <w:b w:val="false"/>
                <w:bCs w:val="false"/>
                <w:i/>
                <w:iCs/>
                <w:sz w:val="14"/>
                <w:szCs w:val="14"/>
                <w:vertAlign w:val="subscript"/>
              </w:rPr>
              <w:t xml:space="preserve">S</w:t>
            </w:r>
            <w:r>
              <w:rPr>
                <w:rFonts w:ascii="Times New Roman" w:cs="Times New Roman" w:eastAsia="Times New Roman" w:hAnsi="Times New Roman"/>
                <w:b w:val="false"/>
                <w:bCs w:val="false"/>
                <w:i/>
                <w:iCs/>
                <w:sz w:val="14"/>
                <w:szCs w:val="14"/>
              </w:rPr>
              <w:t xml:space="preserve">W</w:t>
            </w:r>
            <w:r>
              <w:rPr>
                <w:rFonts w:ascii="Times New Roman" w:cs="Times New Roman" w:eastAsia="Times New Roman" w:hAnsi="Times New Roman"/>
                <w:b w:val="false"/>
                <w:bCs w:val="false"/>
                <w:i w:val="false"/>
                <w:iCs w:val="false"/>
                <w:sz w:val="14"/>
                <w:szCs w:val="14"/>
              </w:rPr>
              <w:t xml:space="preserve"> (</w:t>
            </w:r>
            <w:r>
              <w:rPr>
                <w:rFonts w:ascii="Times New Roman" w:cs="Times New Roman" w:eastAsia="Times New Roman" w:hAnsi="Times New Roman"/>
                <w:b w:val="false"/>
                <w:bCs w:val="false"/>
                <w:i w:val="false"/>
                <w:iCs w:val="false"/>
                <w:sz w:val="14"/>
                <w:szCs w:val="14"/>
              </w:rPr>
              <w:t xml:space="preserve">Ω·µ</w:t>
            </w:r>
            <w:r>
              <w:rPr>
                <w:rFonts w:ascii="Times New Roman" w:cs="Times New Roman" w:eastAsia="Times New Roman" w:hAnsi="Times New Roman"/>
                <w:b w:val="false"/>
                <w:bCs w:val="false"/>
                <w:i w:val="false"/>
                <w:iCs w:val="false"/>
                <w:sz w:val="14"/>
                <w:szCs w:val="14"/>
              </w:rPr>
              <w:t xml:space="preserve">m)</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53</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65</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55</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500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800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50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374</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1213</w:t>
            </w:r>
          </w:p>
        </w:tc>
      </w:tr>
      <w:tr>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iCs/>
                <w:sz w:val="14"/>
                <w:szCs w:val="14"/>
              </w:rPr>
              <w:t xml:space="preserve">C</w:t>
            </w:r>
            <w:r>
              <w:rPr>
                <w:rFonts w:ascii="Times New Roman" w:cs="Times New Roman" w:eastAsia="Times New Roman" w:hAnsi="Times New Roman"/>
                <w:b w:val="false"/>
                <w:bCs w:val="false"/>
                <w:i/>
                <w:iCs/>
                <w:sz w:val="14"/>
                <w:szCs w:val="14"/>
                <w:vertAlign w:val="subscript"/>
              </w:rPr>
              <w:t xml:space="preserve">ox</w:t>
            </w:r>
            <w:r>
              <w:rPr>
                <w:rFonts w:ascii="Times New Roman" w:cs="Times New Roman" w:eastAsia="Times New Roman" w:hAnsi="Times New Roman"/>
                <w:b w:val="false"/>
                <w:bCs w:val="false"/>
                <w:i w:val="false"/>
                <w:iCs w:val="false"/>
                <w:sz w:val="14"/>
                <w:szCs w:val="14"/>
              </w:rPr>
              <w:t xml:space="preserve"> (fF/</w:t>
            </w:r>
            <w:r>
              <w:rPr>
                <w:rFonts w:ascii="Times New Roman" w:cs="Times New Roman" w:eastAsia="Times New Roman" w:hAnsi="Times New Roman"/>
                <w:b w:val="false"/>
                <w:bCs w:val="false"/>
                <w:i w:val="false"/>
                <w:iCs w:val="false"/>
                <w:sz w:val="14"/>
                <w:szCs w:val="14"/>
              </w:rPr>
              <w:t xml:space="preserve">µ</w:t>
            </w:r>
            <w:r>
              <w:rPr>
                <w:rFonts w:ascii="Times New Roman" w:cs="Times New Roman" w:eastAsia="Times New Roman" w:hAnsi="Times New Roman"/>
                <w:b w:val="false"/>
                <w:bCs w:val="false"/>
                <w:i w:val="false"/>
                <w:iCs w:val="false"/>
                <w:sz w:val="14"/>
                <w:szCs w:val="14"/>
              </w:rPr>
              <w:t xml:space="preserve">m</w:t>
            </w:r>
            <w:r>
              <w:rPr>
                <w:rFonts w:ascii="Times New Roman" w:cs="Times New Roman" w:eastAsia="Times New Roman" w:hAnsi="Times New Roman"/>
                <w:b w:val="false"/>
                <w:bCs w:val="false"/>
                <w:i w:val="false"/>
                <w:iCs w:val="false"/>
                <w:sz w:val="14"/>
                <w:szCs w:val="14"/>
                <w:vertAlign w:val="superscript"/>
              </w:rPr>
              <w:t xml:space="preserve">2</w:t>
            </w:r>
            <w:r>
              <w:rPr>
                <w:rFonts w:ascii="Times New Roman" w:cs="Times New Roman" w:eastAsia="Times New Roman" w:hAnsi="Times New Roman"/>
                <w:b w:val="false"/>
                <w:bCs w:val="false"/>
                <w:i w:val="false"/>
                <w:iCs w:val="false"/>
                <w:sz w:val="14"/>
                <w:szCs w:val="14"/>
              </w:rPr>
              <w:t xml:space="preserve">)</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43.0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43.0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43.0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34.5</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34.5</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8.0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8.0</w:t>
            </w:r>
          </w:p>
        </w:tc>
      </w:tr>
      <w:tr>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iCs/>
                <w:sz w:val="14"/>
                <w:szCs w:val="14"/>
              </w:rPr>
              <w:t xml:space="preserve">C</w:t>
            </w:r>
            <w:r>
              <w:rPr>
                <w:rFonts w:ascii="Times New Roman" w:cs="Times New Roman" w:eastAsia="Times New Roman" w:hAnsi="Times New Roman"/>
                <w:b w:val="false"/>
                <w:bCs w:val="false"/>
                <w:i/>
                <w:iCs/>
                <w:sz w:val="14"/>
                <w:szCs w:val="14"/>
                <w:vertAlign w:val="subscript"/>
              </w:rPr>
              <w:t xml:space="preserve">gso</w:t>
            </w:r>
            <w:r>
              <w:rPr>
                <w:rFonts w:ascii="Times New Roman" w:cs="Times New Roman" w:eastAsia="Times New Roman" w:hAnsi="Times New Roman"/>
                <w:b w:val="false"/>
                <w:bCs w:val="false"/>
                <w:i w:val="false"/>
                <w:iCs w:val="false"/>
                <w:sz w:val="14"/>
                <w:szCs w:val="14"/>
              </w:rPr>
              <w:t xml:space="preserve"> (fF/</w:t>
            </w:r>
            <w:r>
              <w:rPr>
                <w:rFonts w:ascii="Times New Roman" w:cs="Times New Roman" w:eastAsia="Times New Roman" w:hAnsi="Times New Roman"/>
                <w:b w:val="false"/>
                <w:bCs w:val="false"/>
                <w:i w:val="false"/>
                <w:iCs w:val="false"/>
                <w:sz w:val="14"/>
                <w:szCs w:val="14"/>
              </w:rPr>
              <w:t xml:space="preserve">µ</w:t>
            </w:r>
            <w:r>
              <w:rPr>
                <w:rFonts w:ascii="Times New Roman" w:cs="Times New Roman" w:eastAsia="Times New Roman" w:hAnsi="Times New Roman"/>
                <w:b w:val="false"/>
                <w:bCs w:val="false"/>
                <w:i w:val="false"/>
                <w:iCs w:val="false"/>
                <w:sz w:val="14"/>
                <w:szCs w:val="14"/>
              </w:rPr>
              <w:t xml:space="preserve">m)</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0.30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0.30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0.32</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0.20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0.20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0.15</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0.15</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0.50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0.50</w:t>
            </w:r>
          </w:p>
        </w:tc>
      </w:tr>
      <w:tr>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iCs/>
                <w:sz w:val="14"/>
                <w:szCs w:val="14"/>
              </w:rPr>
              <w:t xml:space="preserve">W</w:t>
            </w:r>
            <w:r>
              <w:rPr>
                <w:rFonts w:ascii="Times New Roman" w:cs="Times New Roman" w:eastAsia="Times New Roman" w:hAnsi="Times New Roman"/>
                <w:b w:val="false"/>
                <w:bCs w:val="false"/>
                <w:i/>
                <w:iCs/>
                <w:sz w:val="14"/>
                <w:szCs w:val="14"/>
                <w:vertAlign w:val="subscript"/>
              </w:rPr>
              <w:t xml:space="preserve">eff</w:t>
            </w:r>
            <w:r>
              <w:rPr>
                <w:rFonts w:ascii="Times New Roman" w:cs="Times New Roman" w:eastAsia="Times New Roman" w:hAnsi="Times New Roman"/>
                <w:b w:val="false"/>
                <w:bCs w:val="false"/>
                <w:i w:val="false"/>
                <w:iCs w:val="false"/>
                <w:sz w:val="14"/>
                <w:szCs w:val="14"/>
              </w:rPr>
              <w:t xml:space="preserve"> (nm)</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150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150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150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100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100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100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100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1000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3000</w:t>
            </w:r>
          </w:p>
        </w:tc>
      </w:tr>
      <w:tr>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material block</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C</w:t>
            </w:r>
            <w:r>
              <w:rPr>
                <w:rFonts w:ascii="Times New Roman" w:cs="Times New Roman" w:eastAsia="Times New Roman" w:hAnsi="Times New Roman"/>
                <w:b w:val="false"/>
                <w:bCs w:val="false"/>
                <w:i/>
                <w:iCs/>
                <w:sz w:val="14"/>
                <w:szCs w:val="14"/>
                <w:vertAlign w:val="subscript"/>
              </w:rPr>
              <w:t xml:space="preserve">q</w:t>
            </w:r>
            <w:r>
              <w:rPr>
                <w:rFonts w:ascii="Times New Roman" w:cs="Times New Roman" w:eastAsia="Times New Roman" w:hAnsi="Times New Roman"/>
                <w:b w:val="false"/>
                <w:bCs w:val="false"/>
                <w:i w:val="false"/>
                <w:iCs w:val="false"/>
                <w:sz w:val="14"/>
                <w:szCs w:val="14"/>
              </w:rPr>
              <w:t xml:space="preserve">=1.2, </w:t>
            </w:r>
            <w:r>
              <w:rPr>
                <w:rFonts w:ascii="Times New Roman" w:cs="Times New Roman" w:eastAsia="Times New Roman" w:hAnsi="Times New Roman"/>
                <w:b w:val="false"/>
                <w:bCs w:val="false"/>
                <w:i/>
                <w:iCs/>
                <w:sz w:val="14"/>
                <w:szCs w:val="14"/>
              </w:rPr>
              <w:t xml:space="preserve">D</w:t>
            </w:r>
            <w:r>
              <w:rPr>
                <w:rFonts w:ascii="Times New Roman" w:cs="Times New Roman" w:eastAsia="Times New Roman" w:hAnsi="Times New Roman"/>
                <w:b w:val="false"/>
                <w:bCs w:val="false"/>
                <w:i/>
                <w:iCs/>
                <w:sz w:val="14"/>
                <w:szCs w:val="14"/>
                <w:vertAlign w:val="subscript"/>
              </w:rPr>
              <w:t xml:space="preserve">it</w:t>
            </w:r>
            <w:r>
              <w:rPr>
                <w:rFonts w:ascii="Times New Roman" w:cs="Times New Roman" w:eastAsia="Times New Roman" w:hAnsi="Times New Roman"/>
                <w:b w:val="false"/>
                <w:bCs w:val="false"/>
                <w:i w:val="false"/>
                <w:iCs w:val="false"/>
                <w:sz w:val="14"/>
                <w:szCs w:val="14"/>
              </w:rPr>
              <w:t xml:space="preserve">=5e+11</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C</w:t>
            </w:r>
            <w:r>
              <w:rPr>
                <w:rFonts w:ascii="Times New Roman" w:cs="Times New Roman" w:eastAsia="Times New Roman" w:hAnsi="Times New Roman"/>
                <w:b w:val="false"/>
                <w:bCs w:val="false"/>
                <w:i/>
                <w:iCs/>
                <w:sz w:val="14"/>
                <w:szCs w:val="14"/>
                <w:vertAlign w:val="subscript"/>
              </w:rPr>
              <w:t xml:space="preserve">q</w:t>
            </w:r>
            <w:r>
              <w:rPr>
                <w:rFonts w:ascii="Times New Roman" w:cs="Times New Roman" w:eastAsia="Times New Roman" w:hAnsi="Times New Roman"/>
                <w:b w:val="false"/>
                <w:bCs w:val="false"/>
                <w:i w:val="false"/>
                <w:iCs w:val="false"/>
                <w:sz w:val="14"/>
                <w:szCs w:val="14"/>
              </w:rPr>
              <w:t xml:space="preserve">=1.1, </w:t>
            </w:r>
            <w:r>
              <w:rPr>
                <w:rFonts w:ascii="Times New Roman" w:cs="Times New Roman" w:eastAsia="Times New Roman" w:hAnsi="Times New Roman"/>
                <w:b w:val="false"/>
                <w:bCs w:val="false"/>
                <w:i/>
                <w:iCs/>
                <w:sz w:val="14"/>
                <w:szCs w:val="14"/>
              </w:rPr>
              <w:t xml:space="preserve">D</w:t>
            </w:r>
            <w:r>
              <w:rPr>
                <w:rFonts w:ascii="Times New Roman" w:cs="Times New Roman" w:eastAsia="Times New Roman" w:hAnsi="Times New Roman"/>
                <w:b w:val="false"/>
                <w:bCs w:val="false"/>
                <w:i/>
                <w:iCs/>
                <w:sz w:val="14"/>
                <w:szCs w:val="14"/>
                <w:vertAlign w:val="subscript"/>
              </w:rPr>
              <w:t xml:space="preserve">it</w:t>
            </w:r>
            <w:r>
              <w:rPr>
                <w:rFonts w:ascii="Times New Roman" w:cs="Times New Roman" w:eastAsia="Times New Roman" w:hAnsi="Times New Roman"/>
                <w:b w:val="false"/>
                <w:bCs w:val="false"/>
                <w:i w:val="false"/>
                <w:iCs w:val="false"/>
                <w:sz w:val="14"/>
                <w:szCs w:val="14"/>
              </w:rPr>
              <w:t xml:space="preserve">=1e+12</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T</w:t>
            </w:r>
            <w:r>
              <w:rPr>
                <w:rFonts w:ascii="Times New Roman" w:cs="Times New Roman" w:eastAsia="Times New Roman" w:hAnsi="Times New Roman"/>
                <w:b w:val="false"/>
                <w:bCs w:val="false"/>
                <w:i w:val="false"/>
                <w:iCs w:val="false"/>
                <w:sz w:val="14"/>
                <w:szCs w:val="14"/>
              </w:rPr>
              <w:t xml:space="preserve">=0.22, </w:t>
            </w:r>
            <w:r>
              <w:rPr>
                <w:rFonts w:ascii="Times New Roman" w:cs="Times New Roman" w:eastAsia="Times New Roman" w:hAnsi="Times New Roman"/>
                <w:b w:val="false"/>
                <w:bCs w:val="false"/>
                <w:i w:val="false"/>
                <w:iCs w:val="false"/>
                <w:sz w:val="14"/>
                <w:szCs w:val="14"/>
              </w:rPr>
              <w:t xml:space="preserve">α</w:t>
            </w:r>
            <w:r>
              <w:rPr>
                <w:rFonts w:ascii="Times New Roman" w:cs="Times New Roman" w:eastAsia="Times New Roman" w:hAnsi="Times New Roman"/>
                <w:b w:val="false"/>
                <w:bCs w:val="false"/>
                <w:i w:val="false"/>
                <w:iCs w:val="false"/>
                <w:sz w:val="14"/>
                <w:szCs w:val="14"/>
              </w:rPr>
              <w:t xml:space="preserve">=0.86</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T</w:t>
            </w:r>
            <w:r>
              <w:rPr>
                <w:rFonts w:ascii="Times New Roman" w:cs="Times New Roman" w:eastAsia="Times New Roman" w:hAnsi="Times New Roman"/>
                <w:b w:val="false"/>
                <w:bCs w:val="false"/>
                <w:i w:val="false"/>
                <w:iCs w:val="false"/>
                <w:sz w:val="14"/>
                <w:szCs w:val="14"/>
              </w:rPr>
              <w:t xml:space="preserve">=0.21, </w:t>
            </w:r>
            <w:r>
              <w:rPr>
                <w:rFonts w:ascii="Times New Roman" w:cs="Times New Roman" w:eastAsia="Times New Roman" w:hAnsi="Times New Roman"/>
                <w:b w:val="false"/>
                <w:bCs w:val="false"/>
                <w:i w:val="false"/>
                <w:iCs w:val="false"/>
                <w:sz w:val="14"/>
                <w:szCs w:val="14"/>
              </w:rPr>
              <w:t xml:space="preserve">α</w:t>
            </w:r>
            <w:r>
              <w:rPr>
                <w:rFonts w:ascii="Times New Roman" w:cs="Times New Roman" w:eastAsia="Times New Roman" w:hAnsi="Times New Roman"/>
                <w:b w:val="false"/>
                <w:bCs w:val="false"/>
                <w:i w:val="false"/>
                <w:iCs w:val="false"/>
                <w:sz w:val="14"/>
                <w:szCs w:val="14"/>
              </w:rPr>
              <w:t xml:space="preserve">=0.86</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R</w:t>
            </w:r>
            <w:r>
              <w:rPr>
                <w:rFonts w:ascii="Times New Roman" w:cs="Times New Roman" w:eastAsia="Times New Roman" w:hAnsi="Times New Roman"/>
                <w:b w:val="false"/>
                <w:bCs w:val="false"/>
                <w:i/>
                <w:iCs/>
                <w:sz w:val="14"/>
                <w:szCs w:val="14"/>
                <w:vertAlign w:val="subscript"/>
              </w:rPr>
              <w:t xml:space="preserve">th</w:t>
            </w:r>
            <w:r>
              <w:rPr>
                <w:rFonts w:ascii="Times New Roman" w:cs="Times New Roman" w:eastAsia="Times New Roman" w:hAnsi="Times New Roman"/>
                <w:b w:val="false"/>
                <w:bCs w:val="false"/>
                <w:i w:val="false"/>
                <w:iCs w:val="false"/>
                <w:sz w:val="14"/>
                <w:szCs w:val="14"/>
              </w:rPr>
              <w:t xml:space="preserve">=1.5e5</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R</w:t>
            </w:r>
            <w:r>
              <w:rPr>
                <w:rFonts w:ascii="Times New Roman" w:cs="Times New Roman" w:eastAsia="Times New Roman" w:hAnsi="Times New Roman"/>
                <w:b w:val="false"/>
                <w:bCs w:val="false"/>
                <w:i/>
                <w:iCs/>
                <w:sz w:val="14"/>
                <w:szCs w:val="14"/>
                <w:vertAlign w:val="subscript"/>
              </w:rPr>
              <w:t xml:space="preserve">th</w:t>
            </w:r>
            <w:r>
              <w:rPr>
                <w:rFonts w:ascii="Times New Roman" w:cs="Times New Roman" w:eastAsia="Times New Roman" w:hAnsi="Times New Roman"/>
                <w:b w:val="false"/>
                <w:bCs w:val="false"/>
                <w:i w:val="false"/>
                <w:iCs w:val="false"/>
                <w:sz w:val="14"/>
                <w:szCs w:val="14"/>
              </w:rPr>
              <w:t xml:space="preserve">=1.0e5</w:t>
            </w:r>
          </w:p>
        </w:tc>
      </w:tr>
    </w:tbl>
    <w:p>
      <w:pPr>
        <w:spacing w:after="120"/>
      </w:pPr>
    </w:p>
    <w:p>
      <w:pPr>
        <w:sectPr>
          <w:type w:val="continuous"/>
          <w:pgSz w:w="11906" w:h="16838" w:orient="portrait"/>
          <w:pgMar w:top="1080" w:right="900" w:bottom="1080" w:left="900" w:header="708" w:footer="708" w:gutter="0"/>
          <w:pgNumType/>
          <w:cols w:num="1"/>
          <w:docGrid w:linePitch="360"/>
        </w:sectPr>
      </w:pPr>
    </w:p>
    <w:p>
      <w:pPr>
        <w:keepNext/>
        <w:spacing w:after="40" w:before="12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b w:val="false"/>
          <w:bCs w:val="false"/>
          <w:i w:val="false"/>
          <w:iCs w:val="false"/>
          <w:sz w:val="16"/>
          <w:szCs w:val="16"/>
        </w:rPr>
        <w:t xml:space="preserve">Calibration error and figures of merit (model vs. reference).</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1044"/>
        <w:gridCol w:w="1044"/>
        <w:gridCol w:w="1044"/>
        <w:gridCol w:w="1044"/>
        <w:gridCol w:w="1044"/>
        <w:gridCol w:w="1044"/>
        <w:gridCol w:w="1044"/>
        <w:gridCol w:w="1044"/>
        <w:gridCol w:w="1044"/>
        <w:gridCol w:w="1044"/>
      </w:tblGrid>
      <w:tr>
        <w:tc>
          <w:tcPr>
            <w:tcW w:type="dxa" w:w="1044"/>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Device</w:t>
            </w:r>
          </w:p>
        </w:tc>
        <w:tc>
          <w:tcPr>
            <w:tcW w:type="dxa" w:w="1044"/>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MAPE</w:t>
            </w:r>
            <w:r>
              <w:rPr>
                <w:rFonts w:ascii="Times New Roman" w:cs="Times New Roman" w:eastAsia="Times New Roman" w:hAnsi="Times New Roman"/>
                <w:b w:val="false"/>
                <w:bCs w:val="false"/>
                <w:i/>
                <w:iCs/>
                <w:sz w:val="14"/>
                <w:szCs w:val="14"/>
                <w:vertAlign w:val="subscript"/>
              </w:rPr>
              <w:t xml:space="preserve">lin</w:t>
            </w:r>
          </w:p>
        </w:tc>
        <w:tc>
          <w:tcPr>
            <w:tcW w:type="dxa" w:w="1044"/>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MAPE</w:t>
            </w:r>
            <w:r>
              <w:rPr>
                <w:rFonts w:ascii="Times New Roman" w:cs="Times New Roman" w:eastAsia="Times New Roman" w:hAnsi="Times New Roman"/>
                <w:b w:val="false"/>
                <w:bCs w:val="false"/>
                <w:i/>
                <w:iCs/>
                <w:sz w:val="14"/>
                <w:szCs w:val="14"/>
                <w:vertAlign w:val="subscript"/>
              </w:rPr>
              <w:t xml:space="preserve">sat</w:t>
            </w:r>
          </w:p>
        </w:tc>
        <w:tc>
          <w:tcPr>
            <w:tcW w:type="dxa" w:w="1044"/>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MAPE</w:t>
            </w:r>
            <w:r>
              <w:rPr>
                <w:rFonts w:ascii="Times New Roman" w:cs="Times New Roman" w:eastAsia="Times New Roman" w:hAnsi="Times New Roman"/>
                <w:b w:val="false"/>
                <w:bCs w:val="false"/>
                <w:i/>
                <w:iCs/>
                <w:sz w:val="14"/>
                <w:szCs w:val="14"/>
                <w:vertAlign w:val="subscript"/>
              </w:rPr>
              <w:t xml:space="preserve">I_D-V_D</w:t>
            </w:r>
          </w:p>
        </w:tc>
        <w:tc>
          <w:tcPr>
            <w:tcW w:type="dxa" w:w="1044"/>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I</w:t>
            </w:r>
            <w:r>
              <w:rPr>
                <w:rFonts w:ascii="Times New Roman" w:cs="Times New Roman" w:eastAsia="Times New Roman" w:hAnsi="Times New Roman"/>
                <w:b w:val="false"/>
                <w:bCs w:val="false"/>
                <w:i/>
                <w:iCs/>
                <w:sz w:val="14"/>
                <w:szCs w:val="14"/>
                <w:vertAlign w:val="subscript"/>
              </w:rPr>
              <w:t xml:space="preserve">ON</w:t>
            </w:r>
          </w:p>
        </w:tc>
        <w:tc>
          <w:tcPr>
            <w:tcW w:type="dxa" w:w="1044"/>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I</w:t>
            </w:r>
            <w:r>
              <w:rPr>
                <w:rFonts w:ascii="Times New Roman" w:cs="Times New Roman" w:eastAsia="Times New Roman" w:hAnsi="Times New Roman"/>
                <w:b w:val="false"/>
                <w:bCs w:val="false"/>
                <w:i/>
                <w:iCs/>
                <w:sz w:val="14"/>
                <w:szCs w:val="14"/>
                <w:vertAlign w:val="subscript"/>
              </w:rPr>
              <w:t xml:space="preserve">ON</w:t>
            </w:r>
            <w:r>
              <w:rPr>
                <w:rFonts w:ascii="Times New Roman" w:cs="Times New Roman" w:eastAsia="Times New Roman" w:hAnsi="Times New Roman"/>
                <w:b w:val="false"/>
                <w:bCs w:val="false"/>
                <w:i/>
                <w:iCs/>
                <w:sz w:val="14"/>
                <w:szCs w:val="14"/>
                <w:vertAlign w:val="superscript"/>
              </w:rPr>
              <w:t xml:space="preserve">ref</w:t>
            </w:r>
          </w:p>
        </w:tc>
        <w:tc>
          <w:tcPr>
            <w:tcW w:type="dxa" w:w="1044"/>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I</w:t>
            </w:r>
            <w:r>
              <w:rPr>
                <w:rFonts w:ascii="Times New Roman" w:cs="Times New Roman" w:eastAsia="Times New Roman" w:hAnsi="Times New Roman"/>
                <w:b w:val="false"/>
                <w:bCs w:val="false"/>
                <w:i/>
                <w:iCs/>
                <w:sz w:val="14"/>
                <w:szCs w:val="14"/>
                <w:vertAlign w:val="subscript"/>
              </w:rPr>
              <w:t xml:space="preserve">OFF</w:t>
            </w:r>
          </w:p>
        </w:tc>
        <w:tc>
          <w:tcPr>
            <w:tcW w:type="dxa" w:w="1044"/>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SS</w:t>
            </w:r>
          </w:p>
        </w:tc>
        <w:tc>
          <w:tcPr>
            <w:tcW w:type="dxa" w:w="1044"/>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SS</w:t>
            </w:r>
            <w:r>
              <w:rPr>
                <w:rFonts w:ascii="Times New Roman" w:cs="Times New Roman" w:eastAsia="Times New Roman" w:hAnsi="Times New Roman"/>
                <w:b w:val="false"/>
                <w:bCs w:val="false"/>
                <w:i/>
                <w:iCs/>
                <w:sz w:val="14"/>
                <w:szCs w:val="14"/>
                <w:vertAlign w:val="superscript"/>
              </w:rPr>
              <w:t xml:space="preserve">ref</w:t>
            </w:r>
          </w:p>
        </w:tc>
        <w:tc>
          <w:tcPr>
            <w:tcW w:type="dxa" w:w="1044"/>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DIBL</w:t>
            </w:r>
          </w:p>
        </w:tc>
      </w:tr>
      <w:tr>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left"/>
            </w:pP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(mA/</w:t>
            </w:r>
            <w:r>
              <w:rPr>
                <w:rFonts w:ascii="Times New Roman" w:cs="Times New Roman" w:eastAsia="Times New Roman" w:hAnsi="Times New Roman"/>
                <w:b w:val="false"/>
                <w:bCs w:val="false"/>
                <w:i w:val="false"/>
                <w:iCs w:val="false"/>
                <w:sz w:val="14"/>
                <w:szCs w:val="14"/>
              </w:rPr>
              <w:t xml:space="preserve">µ</w:t>
            </w:r>
            <w:r>
              <w:rPr>
                <w:rFonts w:ascii="Times New Roman" w:cs="Times New Roman" w:eastAsia="Times New Roman" w:hAnsi="Times New Roman"/>
                <w:b w:val="false"/>
                <w:bCs w:val="false"/>
                <w:i w:val="false"/>
                <w:iCs w:val="false"/>
                <w:sz w:val="14"/>
                <w:szCs w:val="14"/>
              </w:rPr>
              <w:t xml:space="preserve">m)</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(mA/</w:t>
            </w:r>
            <w:r>
              <w:rPr>
                <w:rFonts w:ascii="Times New Roman" w:cs="Times New Roman" w:eastAsia="Times New Roman" w:hAnsi="Times New Roman"/>
                <w:b w:val="false"/>
                <w:bCs w:val="false"/>
                <w:i w:val="false"/>
                <w:iCs w:val="false"/>
                <w:sz w:val="14"/>
                <w:szCs w:val="14"/>
              </w:rPr>
              <w:t xml:space="preserve">µ</w:t>
            </w:r>
            <w:r>
              <w:rPr>
                <w:rFonts w:ascii="Times New Roman" w:cs="Times New Roman" w:eastAsia="Times New Roman" w:hAnsi="Times New Roman"/>
                <w:b w:val="false"/>
                <w:bCs w:val="false"/>
                <w:i w:val="false"/>
                <w:iCs w:val="false"/>
                <w:sz w:val="14"/>
                <w:szCs w:val="14"/>
              </w:rPr>
              <w:t xml:space="preserve">m)</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(nA/</w:t>
            </w:r>
            <w:r>
              <w:rPr>
                <w:rFonts w:ascii="Times New Roman" w:cs="Times New Roman" w:eastAsia="Times New Roman" w:hAnsi="Times New Roman"/>
                <w:b w:val="false"/>
                <w:bCs w:val="false"/>
                <w:i w:val="false"/>
                <w:iCs w:val="false"/>
                <w:sz w:val="14"/>
                <w:szCs w:val="14"/>
              </w:rPr>
              <w:t xml:space="preserve">µ</w:t>
            </w:r>
            <w:r>
              <w:rPr>
                <w:rFonts w:ascii="Times New Roman" w:cs="Times New Roman" w:eastAsia="Times New Roman" w:hAnsi="Times New Roman"/>
                <w:b w:val="false"/>
                <w:bCs w:val="false"/>
                <w:i w:val="false"/>
                <w:iCs w:val="false"/>
                <w:sz w:val="14"/>
                <w:szCs w:val="14"/>
              </w:rPr>
              <w:t xml:space="preserve">m)</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(mV/dec)</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(mV/dec)</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(mV/V)</w:t>
            </w:r>
          </w:p>
        </w:tc>
      </w:tr>
      <w:tr>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Si GAA n</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8.1</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10.8</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0.84</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1.00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1.05</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68</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68</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54</w:t>
            </w:r>
          </w:p>
        </w:tc>
      </w:tr>
      <w:tr>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Si GAA p</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7.9</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5.8</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10.7</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0.64</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0.75</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1.05</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70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70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60</w:t>
            </w:r>
          </w:p>
        </w:tc>
      </w:tr>
      <w:tr>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SiGe GAA p</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8.7</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7.0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11.9</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0.78</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0.95</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1.56</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72</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72</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66</w:t>
            </w:r>
          </w:p>
        </w:tc>
      </w:tr>
      <w:tr>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MoS</w:t>
            </w:r>
            <w:r>
              <w:rPr>
                <w:rFonts w:ascii="Times New Roman" w:cs="Times New Roman" w:eastAsia="Times New Roman" w:hAnsi="Times New Roman"/>
                <w:b w:val="false"/>
                <w:bCs w:val="false"/>
                <w:i w:val="false"/>
                <w:iCs w:val="false"/>
                <w:sz w:val="14"/>
                <w:szCs w:val="14"/>
                <w:vertAlign w:val="subscript"/>
              </w:rPr>
              <w:t xml:space="preserve">2</w:t>
            </w:r>
            <w:r>
              <w:rPr>
                <w:rFonts w:ascii="Times New Roman" w:cs="Times New Roman" w:eastAsia="Times New Roman" w:hAnsi="Times New Roman"/>
                <w:b w:val="false"/>
                <w:bCs w:val="false"/>
                <w:i w:val="false"/>
                <w:iCs w:val="false"/>
                <w:sz w:val="14"/>
                <w:szCs w:val="14"/>
              </w:rPr>
              <w:t xml:space="preserve"> n</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6.7</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5.1</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11.2</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0.09</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0.10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1.05</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72</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72</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79</w:t>
            </w:r>
          </w:p>
        </w:tc>
      </w:tr>
      <w:tr>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WSe</w:t>
            </w:r>
            <w:r>
              <w:rPr>
                <w:rFonts w:ascii="Times New Roman" w:cs="Times New Roman" w:eastAsia="Times New Roman" w:hAnsi="Times New Roman"/>
                <w:b w:val="false"/>
                <w:bCs w:val="false"/>
                <w:i w:val="false"/>
                <w:iCs w:val="false"/>
                <w:sz w:val="14"/>
                <w:szCs w:val="14"/>
                <w:vertAlign w:val="subscript"/>
              </w:rPr>
              <w:t xml:space="preserve">2</w:t>
            </w:r>
            <w:r>
              <w:rPr>
                <w:rFonts w:ascii="Times New Roman" w:cs="Times New Roman" w:eastAsia="Times New Roman" w:hAnsi="Times New Roman"/>
                <w:b w:val="false"/>
                <w:bCs w:val="false"/>
                <w:i w:val="false"/>
                <w:iCs w:val="false"/>
                <w:sz w:val="14"/>
                <w:szCs w:val="14"/>
              </w:rPr>
              <w:t xml:space="preserve"> p</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6.9</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6.1</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12.6</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0.06</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0.07</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1.03</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77</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78</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87</w:t>
            </w:r>
          </w:p>
        </w:tc>
      </w:tr>
      <w:tr>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CNT n</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12.1</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10.2</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9.9</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1.30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1.50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16.52</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86</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75</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62</w:t>
            </w:r>
          </w:p>
        </w:tc>
      </w:tr>
      <w:tr>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CNT p</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11.6</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9.7</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9.4</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1.23</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1.40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16.34</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85</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75</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62</w:t>
            </w:r>
          </w:p>
        </w:tc>
      </w:tr>
      <w:tr>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GaN n</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5.1</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5.2</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5.7</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0.45</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0.50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1.10</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83</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81</w:t>
            </w:r>
          </w:p>
        </w:tc>
        <w:tc>
          <w:tcPr>
            <w:tcW w:type="dxa" w:w="104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39</w:t>
            </w:r>
          </w:p>
        </w:tc>
      </w:tr>
      <w:tr>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p-GaN (proj.)</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3.0</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1.3</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3.7</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0.05</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0.05</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0.10</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86</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86</w:t>
            </w:r>
          </w:p>
        </w:tc>
        <w:tc>
          <w:tcPr>
            <w:tcW w:type="dxa" w:w="1044"/>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41</w:t>
            </w:r>
          </w:p>
        </w:tc>
      </w:tr>
    </w:tbl>
    <w:p>
      <w:pPr>
        <w:spacing w:after="120"/>
      </w:pPr>
    </w:p>
    <w:p>
      <w:pPr>
        <w:sectPr>
          <w:type w:val="continuous"/>
          <w:pgSz w:w="11906" w:h="16838" w:orient="portrait"/>
          <w:pgMar w:top="1080" w:right="900" w:bottom="1080" w:left="900" w:header="708" w:footer="708" w:gutter="0"/>
          <w:pgNumType/>
          <w:cols w:num="1"/>
          <w:docGrid w:linePitch="360"/>
        </w:sectPr>
      </w:pPr>
    </w:p>
    <w:p>
      <w:pPr>
        <w:spacing w:after="60" w:before="60"/>
        <w:jc w:val="center"/>
      </w:pPr>
      <w:r>
        <w:drawing>
          <wp:inline distT="0" distB="0" distL="0" distR="0">
            <wp:extent cx="32004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00400" cy="10191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5. </w:t>
      </w:r>
      <w:r>
        <w:rPr>
          <w:rFonts w:ascii="Times New Roman" w:cs="Times New Roman" w:eastAsia="Times New Roman" w:hAnsi="Times New Roman"/>
          <w:b w:val="false"/>
          <w:bCs w:val="false"/>
          <w:i w:val="false"/>
          <w:iCs w:val="false"/>
          <w:sz w:val="16"/>
          <w:szCs w:val="16"/>
        </w:rPr>
        <w:t xml:space="preserve">(a) MAPE per device and data set; (b) parity of model vs. reference figures of merit.</w:t>
      </w:r>
    </w:p>
    <w:p>
      <w:pPr>
        <w:pStyle w:val="Heading1"/>
        <w:keepNext/>
        <w:spacing w:after="120" w:before="240"/>
        <w:jc w:val="center"/>
      </w:pPr>
      <w:r>
        <w:rPr>
          <w:rFonts w:ascii="Times New Roman" w:cs="Times New Roman" w:eastAsia="Times New Roman" w:hAnsi="Times New Roman"/>
          <w:b w:val="false"/>
          <w:bCs w:val="false"/>
          <w:sz w:val="20"/>
          <w:szCs w:val="20"/>
        </w:rPr>
        <w:t xml:space="preserve">IV. CIRCUIT-VALIDATION FLOW</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none" w:color="FFFFFF" w:sz="0"/>
              <w:left w:val="none" w:color="FFFFFF" w:sz="0"/>
              <w:bottom w:val="none" w:color="FFFFFF" w:sz="0"/>
              <w:right w:val="none" w:color="FFFFFF" w:sz="0"/>
            </w:tcBorders>
          </w:tcPr>
          <w:p>
            <w:pPr>
              <w:spacing w:after="60" w:before="60"/>
              <w:jc w:val="center"/>
            </w:pPr>
            <w:r>
              <w:drawing>
                <wp:inline distT="0" distB="0" distL="0" distR="0">
                  <wp:extent cx="153352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33525" cy="1571625"/>
                          </a:xfrm>
                          <a:prstGeom prst="rect">
                            <a:avLst/>
                          </a:prstGeom>
                        </pic:spPr>
                      </pic:pic>
                    </a:graphicData>
                  </a:graphic>
                </wp:inline>
              </w:drawing>
            </w:r>
          </w:p>
          <w:p>
            <w:pPr>
              <w:jc w:val="center"/>
            </w:pPr>
            <w:r>
              <w:rPr>
                <w:rFonts w:ascii="Times New Roman" w:cs="Times New Roman" w:eastAsia="Times New Roman" w:hAnsi="Times New Roman"/>
                <w:sz w:val="16"/>
                <w:szCs w:val="16"/>
              </w:rPr>
              <w:t xml:space="preserve">(a)</w:t>
            </w:r>
          </w:p>
        </w:tc>
        <w:tc>
          <w:tcPr>
            <w:tcW w:type="dxa" w:w="2520"/>
            <w:tcBorders>
              <w:top w:val="none" w:color="FFFFFF" w:sz="0"/>
              <w:left w:val="none" w:color="FFFFFF" w:sz="0"/>
              <w:bottom w:val="none" w:color="FFFFFF" w:sz="0"/>
              <w:right w:val="none" w:color="FFFFFF" w:sz="0"/>
            </w:tcBorders>
          </w:tcPr>
          <w:p>
            <w:pPr>
              <w:spacing w:after="60" w:before="60"/>
              <w:jc w:val="center"/>
            </w:pPr>
            <w:r>
              <w:drawing>
                <wp:inline distT="0" distB="0" distL="0" distR="0">
                  <wp:extent cx="153352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33525" cy="619125"/>
                          </a:xfrm>
                          <a:prstGeom prst="rect">
                            <a:avLst/>
                          </a:prstGeom>
                        </pic:spPr>
                      </pic:pic>
                    </a:graphicData>
                  </a:graphic>
                </wp:inline>
              </w:drawing>
            </w:r>
          </w:p>
          <w:p>
            <w:pPr>
              <w:jc w:val="center"/>
            </w:pPr>
            <w:r>
              <w:rPr>
                <w:rFonts w:ascii="Times New Roman" w:cs="Times New Roman" w:eastAsia="Times New Roman" w:hAnsi="Times New Roman"/>
                <w:sz w:val="16"/>
                <w:szCs w:val="16"/>
              </w:rPr>
              <w:t xml:space="preserve">(b)</w:t>
            </w:r>
          </w:p>
        </w:tc>
      </w:tr>
    </w:tbl>
    <w:p>
      <w:pPr>
        <w:spacing w:after="120"/>
        <w:jc w:val="both"/>
      </w:pPr>
      <w:r>
        <w:rPr>
          <w:rFonts w:ascii="Times New Roman" w:cs="Times New Roman" w:eastAsia="Times New Roman" w:hAnsi="Times New Roman"/>
          <w:sz w:val="16"/>
          <w:szCs w:val="16"/>
        </w:rPr>
        <w:t xml:space="preserve">Fig. 6. </w:t>
      </w:r>
      <w:r>
        <w:rPr>
          <w:rFonts w:ascii="Times New Roman" w:cs="Times New Roman" w:eastAsia="Times New Roman" w:hAnsi="Times New Roman"/>
          <w:b w:val="false"/>
          <w:bCs w:val="false"/>
          <w:i w:val="false"/>
          <w:iCs w:val="false"/>
          <w:sz w:val="16"/>
          <w:szCs w:val="16"/>
        </w:rPr>
        <w:t xml:space="preserve">(a) CFET inverter cell with the explicit inter-tier coupling capacitance </w:t>
      </w:r>
      <w:r>
        <w:rPr>
          <w:rFonts w:ascii="Times New Roman" w:cs="Times New Roman" w:eastAsia="Times New Roman" w:hAnsi="Times New Roman"/>
          <w:b w:val="false"/>
          <w:bCs w:val="false"/>
          <w:i/>
          <w:iCs/>
          <w:sz w:val="16"/>
          <w:szCs w:val="16"/>
        </w:rPr>
        <w:t xml:space="preserve">C</w:t>
      </w:r>
      <w:r>
        <w:rPr>
          <w:rFonts w:ascii="Times New Roman" w:cs="Times New Roman" w:eastAsia="Times New Roman" w:hAnsi="Times New Roman"/>
          <w:b w:val="false"/>
          <w:bCs w:val="false"/>
          <w:i/>
          <w:iCs/>
          <w:sz w:val="16"/>
          <w:szCs w:val="16"/>
          <w:vertAlign w:val="subscript"/>
        </w:rPr>
        <w:t xml:space="preserve">stack</w:t>
      </w:r>
      <w:r>
        <w:rPr>
          <w:rFonts w:ascii="Times New Roman" w:cs="Times New Roman" w:eastAsia="Times New Roman" w:hAnsi="Times New Roman"/>
          <w:b w:val="false"/>
          <w:bCs w:val="false"/>
          <w:i w:val="false"/>
          <w:iCs w:val="false"/>
          <w:sz w:val="16"/>
          <w:szCs w:val="16"/>
        </w:rPr>
        <w:t xml:space="preserve">, output parasitic </w:t>
      </w:r>
      <w:r>
        <w:rPr>
          <w:rFonts w:ascii="Times New Roman" w:cs="Times New Roman" w:eastAsia="Times New Roman" w:hAnsi="Times New Roman"/>
          <w:b w:val="false"/>
          <w:bCs w:val="false"/>
          <w:i/>
          <w:iCs/>
          <w:sz w:val="16"/>
          <w:szCs w:val="16"/>
        </w:rPr>
        <w:t xml:space="preserve">C</w:t>
      </w:r>
      <w:r>
        <w:rPr>
          <w:rFonts w:ascii="Times New Roman" w:cs="Times New Roman" w:eastAsia="Times New Roman" w:hAnsi="Times New Roman"/>
          <w:b w:val="false"/>
          <w:bCs w:val="false"/>
          <w:i/>
          <w:iCs/>
          <w:sz w:val="16"/>
          <w:szCs w:val="16"/>
          <w:vertAlign w:val="subscript"/>
        </w:rPr>
        <w:t xml:space="preserve">out</w:t>
      </w:r>
      <w:r>
        <w:rPr>
          <w:rFonts w:ascii="Times New Roman" w:cs="Times New Roman" w:eastAsia="Times New Roman" w:hAnsi="Times New Roman"/>
          <w:b w:val="false"/>
          <w:bCs w:val="false"/>
          <w:i w:val="false"/>
          <w:iCs w:val="false"/>
          <w:sz w:val="16"/>
          <w:szCs w:val="16"/>
        </w:rPr>
        <w:t xml:space="preserve"> and local-interconnect resistances </w:t>
      </w:r>
      <w:r>
        <w:rPr>
          <w:rFonts w:ascii="Times New Roman" w:cs="Times New Roman" w:eastAsia="Times New Roman" w:hAnsi="Times New Roman"/>
          <w:b w:val="false"/>
          <w:bCs w:val="false"/>
          <w:i/>
          <w:iCs/>
          <w:sz w:val="16"/>
          <w:szCs w:val="16"/>
        </w:rPr>
        <w:t xml:space="preserve">R</w:t>
      </w:r>
      <w:r>
        <w:rPr>
          <w:rFonts w:ascii="Times New Roman" w:cs="Times New Roman" w:eastAsia="Times New Roman" w:hAnsi="Times New Roman"/>
          <w:b w:val="false"/>
          <w:bCs w:val="false"/>
          <w:i/>
          <w:iCs/>
          <w:sz w:val="16"/>
          <w:szCs w:val="16"/>
          <w:vertAlign w:val="subscript"/>
        </w:rPr>
        <w:t xml:space="preserve">local,n/p</w:t>
      </w:r>
      <w:r>
        <w:rPr>
          <w:rFonts w:ascii="Times New Roman" w:cs="Times New Roman" w:eastAsia="Times New Roman" w:hAnsi="Times New Roman"/>
          <w:b w:val="false"/>
          <w:bCs w:val="false"/>
          <w:i w:val="false"/>
          <w:iCs w:val="false"/>
          <w:sz w:val="16"/>
          <w:szCs w:val="16"/>
        </w:rPr>
        <w:t xml:space="preserve">; (b) 5-stage ring oscillator testbench with the </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i w:val="false"/>
          <w:iCs w:val="false"/>
          <w:sz w:val="16"/>
          <w:szCs w:val="16"/>
          <w:vertAlign w:val="subscript"/>
        </w:rPr>
        <w:t xml:space="preserve">3</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val="false"/>
          <w:iCs w:val="false"/>
          <w:sz w:val="16"/>
          <w:szCs w:val="16"/>
        </w:rPr>
        <w:t xml:space="preserve"> probe and the </w:t>
      </w:r>
      <w:r>
        <w:rPr>
          <w:rFonts w:ascii="Times New Roman" w:cs="Times New Roman" w:eastAsia="Times New Roman" w:hAnsi="Times New Roman"/>
          <w:b w:val="false"/>
          <w:bCs w:val="false"/>
          <w:i/>
          <w:iCs/>
          <w:sz w:val="16"/>
          <w:szCs w:val="16"/>
        </w:rPr>
        <w:t xml:space="preserve">I</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DD</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val="false"/>
          <w:iCs w:val="false"/>
          <w:sz w:val="16"/>
          <w:szCs w:val="16"/>
        </w:rPr>
        <w:t xml:space="preserve"> meter.</w:t>
      </w:r>
    </w:p>
    <w:p>
      <w:pPr>
        <w:pStyle w:val="Heading2"/>
        <w:keepNext/>
        <w:spacing w:after="80" w:before="160"/>
      </w:pPr>
      <w:r>
        <w:rPr>
          <w:rFonts w:ascii="Times New Roman" w:cs="Times New Roman" w:eastAsia="Times New Roman" w:hAnsi="Times New Roman"/>
          <w:i/>
          <w:iCs/>
          <w:sz w:val="20"/>
          <w:szCs w:val="20"/>
        </w:rPr>
        <w:t xml:space="preserve">E. </w:t>
      </w:r>
      <w:r>
        <w:rPr>
          <w:rFonts w:ascii="Times New Roman" w:cs="Times New Roman" w:eastAsia="Times New Roman" w:hAnsi="Times New Roman"/>
          <w:b w:val="false"/>
          <w:bCs w:val="false"/>
          <w:i/>
          <w:iCs/>
          <w:sz w:val="20"/>
          <w:szCs w:val="20"/>
        </w:rPr>
        <w:t xml:space="preserve">Testbenches</w:t>
      </w: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The electrical inverter (Fig. 6a) is a conventional CMOS inverter; its CFET interpretation is carried by the parasitic network: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iCs/>
          <w:sz w:val="20"/>
          <w:szCs w:val="20"/>
          <w:vertAlign w:val="subscript"/>
        </w:rPr>
        <w:t xml:space="preserve">stack</w:t>
      </w:r>
      <w:r>
        <w:rPr>
          <w:rFonts w:ascii="Times New Roman" w:cs="Times New Roman" w:eastAsia="Times New Roman" w:hAnsi="Times New Roman"/>
          <w:b w:val="false"/>
          <w:bCs w:val="false"/>
          <w:i w:val="false"/>
          <w:iCs w:val="false"/>
          <w:sz w:val="20"/>
          <w:szCs w:val="20"/>
        </w:rPr>
        <w:t xml:space="preserve"> between the n- and p-tier drain nodes,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iCs/>
          <w:sz w:val="20"/>
          <w:szCs w:val="20"/>
          <w:vertAlign w:val="subscript"/>
        </w:rPr>
        <w:t xml:space="preserve">out</w:t>
      </w:r>
      <w:r>
        <w:rPr>
          <w:rFonts w:ascii="Times New Roman" w:cs="Times New Roman" w:eastAsia="Times New Roman" w:hAnsi="Times New Roman"/>
          <w:b w:val="false"/>
          <w:bCs w:val="false"/>
          <w:i w:val="false"/>
          <w:iCs w:val="false"/>
          <w:sz w:val="20"/>
          <w:szCs w:val="20"/>
        </w:rPr>
        <w:t xml:space="preserve"> from the output to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SS</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iCs/>
          <w:sz w:val="20"/>
          <w:szCs w:val="20"/>
          <w:vertAlign w:val="subscript"/>
        </w:rPr>
        <w:t xml:space="preserve">local,n/p</w:t>
      </w:r>
      <w:r>
        <w:rPr>
          <w:rFonts w:ascii="Times New Roman" w:cs="Times New Roman" w:eastAsia="Times New Roman" w:hAnsi="Times New Roman"/>
          <w:b w:val="false"/>
          <w:bCs w:val="false"/>
          <w:i w:val="false"/>
          <w:iCs w:val="false"/>
          <w:sz w:val="20"/>
          <w:szCs w:val="20"/>
        </w:rPr>
        <w:t xml:space="preserve"> in the two drain legs. These are design variables (0.05/0.3 fF/10 </w:t>
      </w:r>
      <w:r>
        <w:rPr>
          <w:rFonts w:ascii="Times New Roman" w:cs="Times New Roman" w:eastAsia="Times New Roman" w:hAnsi="Times New Roman"/>
          <w:b w:val="false"/>
          <w:bCs w:val="false"/>
          <w:i w:val="false"/>
          <w:iCs w:val="false"/>
          <w:sz w:val="20"/>
          <w:szCs w:val="20"/>
        </w:rPr>
        <w:t xml:space="preserve">Ω</w:t>
      </w:r>
      <w:r>
        <w:rPr>
          <w:rFonts w:ascii="Times New Roman" w:cs="Times New Roman" w:eastAsia="Times New Roman" w:hAnsi="Times New Roman"/>
          <w:b w:val="false"/>
          <w:bCs w:val="false"/>
          <w:i w:val="false"/>
          <w:iCs w:val="false"/>
          <w:sz w:val="20"/>
          <w:szCs w:val="20"/>
        </w:rPr>
        <w:t xml:space="preserve"> for Si and SiGe, 0.03/0.3 fF/50 </w:t>
      </w:r>
      <w:r>
        <w:rPr>
          <w:rFonts w:ascii="Times New Roman" w:cs="Times New Roman" w:eastAsia="Times New Roman" w:hAnsi="Times New Roman"/>
          <w:b w:val="false"/>
          <w:bCs w:val="false"/>
          <w:i w:val="false"/>
          <w:iCs w:val="false"/>
          <w:sz w:val="20"/>
          <w:szCs w:val="20"/>
        </w:rPr>
        <w:t xml:space="preserve">Ω</w:t>
      </w:r>
      <w:r>
        <w:rPr>
          <w:rFonts w:ascii="Times New Roman" w:cs="Times New Roman" w:eastAsia="Times New Roman" w:hAnsi="Times New Roman"/>
          <w:b w:val="false"/>
          <w:bCs w:val="false"/>
          <w:i w:val="false"/>
          <w:iCs w:val="false"/>
          <w:sz w:val="20"/>
          <w:szCs w:val="20"/>
        </w:rPr>
        <w:t xml:space="preserve"> for TMD and CNT, 0.1/1 fF/20 </w:t>
      </w:r>
      <w:r>
        <w:rPr>
          <w:rFonts w:ascii="Times New Roman" w:cs="Times New Roman" w:eastAsia="Times New Roman" w:hAnsi="Times New Roman"/>
          <w:b w:val="false"/>
          <w:bCs w:val="false"/>
          <w:i w:val="false"/>
          <w:iCs w:val="false"/>
          <w:sz w:val="20"/>
          <w:szCs w:val="20"/>
        </w:rPr>
        <w:t xml:space="preserve">Ω</w:t>
      </w:r>
      <w:r>
        <w:rPr>
          <w:rFonts w:ascii="Times New Roman" w:cs="Times New Roman" w:eastAsia="Times New Roman" w:hAnsi="Times New Roman"/>
          <w:b w:val="false"/>
          <w:bCs w:val="false"/>
          <w:i w:val="false"/>
          <w:iCs w:val="false"/>
          <w:sz w:val="20"/>
          <w:szCs w:val="20"/>
        </w:rPr>
        <w:t xml:space="preserve"> for GaN, each the mid-value of the ranges in Section II of the flow definition). The same five inverter cells are used for the VTC (DC sweep of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in</w:t>
      </w:r>
      <w:r>
        <w:rPr>
          <w:rFonts w:ascii="Times New Roman" w:cs="Times New Roman" w:eastAsia="Times New Roman" w:hAnsi="Times New Roman"/>
          <w:b w:val="false"/>
          <w:bCs w:val="false"/>
          <w:i w:val="false"/>
          <w:iCs w:val="false"/>
          <w:sz w:val="20"/>
          <w:szCs w:val="20"/>
        </w:rPr>
        <w:t xml:space="preserve"> from 0 to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val="false"/>
          <w:iCs w:val="false"/>
          <w:sz w:val="20"/>
          <w:szCs w:val="20"/>
        </w:rPr>
        <w:t xml:space="preserve">: switching voltage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M</w:t>
      </w:r>
      <w:r>
        <w:rPr>
          <w:rFonts w:ascii="Times New Roman" w:cs="Times New Roman" w:eastAsia="Times New Roman" w:hAnsi="Times New Roman"/>
          <w:b w:val="false"/>
          <w:bCs w:val="false"/>
          <w:i w:val="false"/>
          <w:iCs w:val="false"/>
          <w:sz w:val="20"/>
          <w:szCs w:val="20"/>
        </w:rPr>
        <w:t xml:space="preserve">, maximum gain </w:t>
      </w:r>
      <w:r>
        <w:rPr>
          <w:rFonts w:ascii="Times New Roman" w:cs="Times New Roman" w:eastAsia="Times New Roman" w:hAnsi="Times New Roman"/>
          <w:b w:val="false"/>
          <w:bCs w:val="false"/>
          <w:i/>
          <w:iCs/>
          <w:sz w:val="20"/>
          <w:szCs w:val="20"/>
        </w:rPr>
        <w:t xml:space="preserve">A</w:t>
      </w:r>
      <w:r>
        <w:rPr>
          <w:rFonts w:ascii="Times New Roman" w:cs="Times New Roman" w:eastAsia="Times New Roman" w:hAnsi="Times New Roman"/>
          <w:b w:val="false"/>
          <w:bCs w:val="false"/>
          <w:i/>
          <w:iCs/>
          <w:sz w:val="20"/>
          <w:szCs w:val="20"/>
          <w:vertAlign w:val="subscript"/>
        </w:rPr>
        <w:t xml:space="preserve">V</w:t>
      </w:r>
      <w:r>
        <w:rPr>
          <w:rFonts w:ascii="Times New Roman" w:cs="Times New Roman" w:eastAsia="Times New Roman" w:hAnsi="Times New Roman"/>
          <w:b w:val="false"/>
          <w:bCs w:val="false"/>
          <w:i w:val="false"/>
          <w:iCs w:val="false"/>
          <w:sz w:val="20"/>
          <w:szCs w:val="20"/>
        </w:rPr>
        <w:t xml:space="preserve">, noise margins from the unity-gain points, static supply current), the transient delay (pulse 0</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val="false"/>
          <w:iCs w:val="false"/>
          <w:sz w:val="20"/>
          <w:szCs w:val="20"/>
        </w:rPr>
        <w:t xml:space="preserve">, 100 ps delay, 5 ps edges, 500 ps width, 1 ns period,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iCs/>
          <w:sz w:val="20"/>
          <w:szCs w:val="20"/>
          <w:vertAlign w:val="subscript"/>
        </w:rPr>
        <w:t xml:space="preserve">load</w:t>
      </w:r>
      <w:r>
        <w:rPr>
          <w:rFonts w:ascii="Times New Roman" w:cs="Times New Roman" w:eastAsia="Times New Roman" w:hAnsi="Times New Roman"/>
          <w:b w:val="false"/>
          <w:bCs w:val="false"/>
          <w:i w:val="false"/>
          <w:iCs w:val="false"/>
          <w:sz w:val="20"/>
          <w:szCs w:val="20"/>
        </w:rPr>
        <w:t xml:space="preserve"> = 0.3 fF or 1 fF for GaN;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iCs/>
          <w:sz w:val="20"/>
          <w:szCs w:val="20"/>
          <w:vertAlign w:val="subscript"/>
        </w:rPr>
        <w:t xml:space="preserve">pHL</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iCs/>
          <w:sz w:val="20"/>
          <w:szCs w:val="20"/>
          <w:vertAlign w:val="subscript"/>
        </w:rPr>
        <w:t xml:space="preserve">pLH</w:t>
      </w:r>
      <w:r>
        <w:rPr>
          <w:rFonts w:ascii="Times New Roman" w:cs="Times New Roman" w:eastAsia="Times New Roman" w:hAnsi="Times New Roman"/>
          <w:b w:val="false"/>
          <w:bCs w:val="false"/>
          <w:i w:val="false"/>
          <w:iCs w:val="false"/>
          <w:sz w:val="20"/>
          <w:szCs w:val="20"/>
        </w:rPr>
        <w:t xml:space="preserve"> at the 50% crossings; switching energy </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int</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iCs/>
          <w:sz w:val="20"/>
          <w:szCs w:val="20"/>
        </w:rPr>
        <w:t xml:space="preserve">I</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over one period) and the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-stage ROs (Fig. 6b).</w:t>
      </w:r>
    </w:p>
    <w:p>
      <w:pPr>
        <w:pStyle w:val="Heading2"/>
        <w:keepNext/>
        <w:spacing w:after="80" w:before="160"/>
      </w:pPr>
      <w:r>
        <w:rPr>
          <w:rFonts w:ascii="Times New Roman" w:cs="Times New Roman" w:eastAsia="Times New Roman" w:hAnsi="Times New Roman"/>
          <w:i/>
          <w:iCs/>
          <w:sz w:val="20"/>
          <w:szCs w:val="20"/>
        </w:rPr>
        <w:t xml:space="preserve">F. </w:t>
      </w:r>
      <w:r>
        <w:rPr>
          <w:rFonts w:ascii="Times New Roman" w:cs="Times New Roman" w:eastAsia="Times New Roman" w:hAnsi="Times New Roman"/>
          <w:b w:val="false"/>
          <w:bCs w:val="false"/>
          <w:i/>
          <w:iCs/>
          <w:sz w:val="20"/>
          <w:szCs w:val="20"/>
        </w:rPr>
        <w:t xml:space="preserve">Ring-oscillator measurement</w:t>
      </w: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Oscillation is started identically for every platform by an initial condition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vertAlign w:val="subscript"/>
        </w:rPr>
        <w:t xml:space="preserve">1</w:t>
      </w:r>
      <w:r>
        <w:rPr>
          <w:rFonts w:ascii="Times New Roman" w:cs="Times New Roman" w:eastAsia="Times New Roman" w:hAnsi="Times New Roman"/>
          <w:b w:val="false"/>
          <w:bCs w:val="false"/>
          <w:i w:val="false"/>
          <w:iCs w:val="false"/>
          <w:sz w:val="20"/>
          <w:szCs w:val="20"/>
        </w:rPr>
        <w:t xml:space="preserve">)=0</w:t>
      </w:r>
      <w:r>
        <w:rPr>
          <w:rFonts w:ascii="Times New Roman" w:cs="Times New Roman" w:eastAsia="Times New Roman" w:hAnsi="Times New Roman"/>
          <w:b w:val="false"/>
          <w:bCs w:val="false"/>
          <w:i w:val="false"/>
          <w:iCs w:val="false"/>
          <w:sz w:val="20"/>
          <w:szCs w:val="20"/>
        </w:rPr>
        <w:t xml:space="preserve"> together with a stated 1% width increase of the stage-1 p-FET. A two-pass transient is used: a coarse pass, sized from the inverter delay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2</w:t>
      </w:r>
      <w:r>
        <w:rPr>
          <w:rFonts w:ascii="Times New Roman" w:cs="Times New Roman" w:eastAsia="Times New Roman" w:hAnsi="Times New Roman"/>
          <w:b w:val="false"/>
          <w:bCs w:val="false"/>
          <w:i/>
          <w:iCs/>
          <w:sz w:val="20"/>
          <w:szCs w:val="20"/>
        </w:rPr>
        <w:t xml:space="preserve">Nt</w:t>
      </w:r>
      <w:r>
        <w:rPr>
          <w:rFonts w:ascii="Times New Roman" w:cs="Times New Roman" w:eastAsia="Times New Roman" w:hAnsi="Times New Roman"/>
          <w:b w:val="false"/>
          <w:bCs w:val="false"/>
          <w:i/>
          <w:iCs/>
          <w:sz w:val="20"/>
          <w:szCs w:val="20"/>
          <w:vertAlign w:val="subscript"/>
        </w:rPr>
        <w:t xml:space="preserve">pd</w:t>
      </w:r>
      <w:r>
        <w:rPr>
          <w:rFonts w:ascii="Times New Roman" w:cs="Times New Roman" w:eastAsia="Times New Roman" w:hAnsi="Times New Roman"/>
          <w:b w:val="false"/>
          <w:bCs w:val="false"/>
          <w:i w:val="false"/>
          <w:iCs w:val="false"/>
          <w:sz w:val="20"/>
          <w:szCs w:val="20"/>
        </w:rPr>
        <w:t xml:space="preserve">), pins down the period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the fine pass then runs with a maximum step of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/300</w:t>
      </w:r>
      <w:r>
        <w:rPr>
          <w:rFonts w:ascii="Times New Roman" w:cs="Times New Roman" w:eastAsia="Times New Roman" w:hAnsi="Times New Roman"/>
          <w:b w:val="false"/>
          <w:bCs w:val="false"/>
          <w:i w:val="false"/>
          <w:iCs w:val="false"/>
          <w:sz w:val="20"/>
          <w:szCs w:val="20"/>
        </w:rPr>
        <w:t xml:space="preserve"> and the frequency is measured from the rising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val="false"/>
          <w:iCs w:val="false"/>
          <w:sz w:val="20"/>
          <w:szCs w:val="20"/>
        </w:rPr>
        <w:t xml:space="preserve">/2</w:t>
      </w:r>
      <w:r>
        <w:rPr>
          <w:rFonts w:ascii="Times New Roman" w:cs="Times New Roman" w:eastAsia="Times New Roman" w:hAnsi="Times New Roman"/>
          <w:b w:val="false"/>
          <w:bCs w:val="false"/>
          <w:i w:val="false"/>
          <w:iCs w:val="false"/>
          <w:sz w:val="20"/>
          <w:szCs w:val="20"/>
        </w:rPr>
        <w:t xml:space="preserve"> crossings of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vertAlign w:val="subscript"/>
        </w:rPr>
        <w:t xml:space="preserve">3</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between cycles 10 and 30 (the cycle 10–11 value is also recorded and differs by </w:t>
      </w:r>
      <w:r>
        <w:rPr>
          <w:rFonts w:ascii="Times New Roman" w:cs="Times New Roman" w:eastAsia="Times New Roman" w:hAnsi="Times New Roman"/>
          <w:b w:val="false"/>
          <w:bCs w:val="false"/>
          <w:i w:val="false"/>
          <w:iCs w:val="false"/>
          <w:sz w:val="20"/>
          <w:szCs w:val="20"/>
        </w:rPr>
        <w:t xml:space="preserve">&lt;0.01</w:t>
      </w:r>
      <w:r>
        <w:rPr>
          <w:rFonts w:ascii="Times New Roman" w:cs="Times New Roman" w:eastAsia="Times New Roman" w:hAnsi="Times New Roman"/>
          <w:b w:val="false"/>
          <w:bCs w:val="false"/>
          <w:i w:val="false"/>
          <w:iCs w:val="false"/>
          <w:sz w:val="20"/>
          <w:szCs w:val="20"/>
        </w:rPr>
        <w:t xml:space="preserve">%). For GaN the measurement window starts only after five thermal time constants, so that the steady-state self-heating is included. From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iCs/>
          <w:sz w:val="20"/>
          <w:szCs w:val="20"/>
          <w:vertAlign w:val="subscript"/>
        </w:rPr>
        <w:t xml:space="preserve">RO</w:t>
      </w:r>
      <w:r>
        <w:rPr>
          <w:rFonts w:ascii="Times New Roman" w:cs="Times New Roman" w:eastAsia="Times New Roman" w:hAnsi="Times New Roman"/>
          <w:b w:val="false"/>
          <w:bCs w:val="false"/>
          <w:i w:val="false"/>
          <w:iCs w:val="false"/>
          <w:sz w:val="20"/>
          <w:szCs w:val="20"/>
        </w:rPr>
        <w:t xml:space="preserve"> the stage delay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iCs/>
          <w:sz w:val="20"/>
          <w:szCs w:val="20"/>
          <w:vertAlign w:val="subscript"/>
        </w:rPr>
        <w:t xml:space="preserve">pd</w:t>
      </w:r>
      <w:r>
        <w:rPr>
          <w:rFonts w:ascii="Times New Roman" w:cs="Times New Roman" w:eastAsia="Times New Roman" w:hAnsi="Times New Roman"/>
          <w:b w:val="false"/>
          <w:bCs w:val="false"/>
          <w:i w:val="false"/>
          <w:iCs w:val="false"/>
          <w:sz w:val="20"/>
          <w:szCs w:val="20"/>
        </w:rPr>
        <w:t xml:space="preserve">=1/(2</w:t>
      </w:r>
      <w:r>
        <w:rPr>
          <w:rFonts w:ascii="Times New Roman" w:cs="Times New Roman" w:eastAsia="Times New Roman" w:hAnsi="Times New Roman"/>
          <w:b w:val="false"/>
          <w:bCs w:val="false"/>
          <w:i/>
          <w:iCs/>
          <w:sz w:val="20"/>
          <w:szCs w:val="20"/>
        </w:rPr>
        <w:t xml:space="preserve">Nf</w:t>
      </w:r>
      <w:r>
        <w:rPr>
          <w:rFonts w:ascii="Times New Roman" w:cs="Times New Roman" w:eastAsia="Times New Roman" w:hAnsi="Times New Roman"/>
          <w:b w:val="false"/>
          <w:bCs w:val="false"/>
          <w:i/>
          <w:iCs/>
          <w:sz w:val="20"/>
          <w:szCs w:val="20"/>
          <w:vertAlign w:val="subscript"/>
        </w:rPr>
        <w:t xml:space="preserve">RO</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the average power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iCs/>
          <w:sz w:val="20"/>
          <w:szCs w:val="20"/>
          <w:vertAlign w:val="subscript"/>
        </w:rPr>
        <w:t xml:space="preserve">avg</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frac</w:t>
      </w:r>
      <w:r>
        <w:rPr>
          <w:rFonts w:ascii="Times New Roman" w:cs="Times New Roman" w:eastAsia="Times New Roman" w:hAnsi="Times New Roman"/>
          <w:b w:val="false"/>
          <w:bCs w:val="false"/>
          <w:i w:val="false"/>
          <w:iCs w:val="false"/>
          <w:sz w:val="20"/>
          <w:szCs w:val="20"/>
        </w:rPr>
        <w:t xml:space="preserve">1</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vertAlign w:val="subscript"/>
        </w:rPr>
        <w:t xml:space="preserve">2</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vertAlign w:val="subscript"/>
        </w:rPr>
        <w:t xml:space="preserve">1</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int</w:t>
      </w:r>
      <w:r>
        <w:rPr>
          <w:rFonts w:ascii="Times New Roman" w:cs="Times New Roman" w:eastAsia="Times New Roman" w:hAnsi="Times New Roman"/>
          <w:b w:val="false"/>
          <w:bCs w:val="false"/>
          <w:i/>
          <w:iCs/>
          <w:sz w:val="20"/>
          <w:szCs w:val="20"/>
          <w:vertAlign w:val="subscript"/>
        </w:rPr>
        <w:t xml:space="preserve">t_1</w:t>
      </w:r>
      <w:r>
        <w:rPr>
          <w:rFonts w:ascii="Times New Roman" w:cs="Times New Roman" w:eastAsia="Times New Roman" w:hAnsi="Times New Roman"/>
          <w:b w:val="false"/>
          <w:bCs w:val="false"/>
          <w:i/>
          <w:iCs/>
          <w:sz w:val="20"/>
          <w:szCs w:val="20"/>
          <w:vertAlign w:val="superscript"/>
        </w:rPr>
        <w:t xml:space="preserve">t_2</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iCs/>
          <w:sz w:val="20"/>
          <w:szCs w:val="20"/>
        </w:rPr>
        <w:t xml:space="preserve">I</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over the same window, </w:t>
      </w:r>
      <w:r>
        <w:rPr>
          <w:rFonts w:ascii="Times New Roman" w:cs="Times New Roman" w:eastAsia="Times New Roman" w:hAnsi="Times New Roman"/>
          <w:b w:val="false"/>
          <w:bCs w:val="false"/>
          <w:i/>
          <w:iCs/>
          <w:sz w:val="20"/>
          <w:szCs w:val="20"/>
        </w:rPr>
        <w:t xml:space="preserve">E</w:t>
      </w:r>
      <w:r>
        <w:rPr>
          <w:rFonts w:ascii="Times New Roman" w:cs="Times New Roman" w:eastAsia="Times New Roman" w:hAnsi="Times New Roman"/>
          <w:b w:val="false"/>
          <w:bCs w:val="false"/>
          <w:i/>
          <w:iCs/>
          <w:sz w:val="20"/>
          <w:szCs w:val="20"/>
          <w:vertAlign w:val="subscript"/>
        </w:rPr>
        <w:t xml:space="preserve">cycle</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iCs/>
          <w:sz w:val="20"/>
          <w:szCs w:val="20"/>
          <w:vertAlign w:val="subscript"/>
        </w:rPr>
        <w:t xml:space="preserve">avg</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iCs/>
          <w:sz w:val="20"/>
          <w:szCs w:val="20"/>
          <w:vertAlign w:val="subscript"/>
        </w:rPr>
        <w:t xml:space="preserve">RO</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PDP</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iCs/>
          <w:sz w:val="20"/>
          <w:szCs w:val="20"/>
          <w:vertAlign w:val="subscript"/>
        </w:rPr>
        <w:t xml:space="preserve">avg</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iCs/>
          <w:sz w:val="20"/>
          <w:szCs w:val="20"/>
          <w:vertAlign w:val="subscript"/>
        </w:rPr>
        <w:t xml:space="preserve">pd</w:t>
      </w:r>
      <w:r>
        <w:rPr>
          <w:rFonts w:ascii="Times New Roman" w:cs="Times New Roman" w:eastAsia="Times New Roman" w:hAnsi="Times New Roman"/>
          <w:b w:val="false"/>
          <w:bCs w:val="false"/>
          <w:i w:val="false"/>
          <w:iCs w:val="false"/>
          <w:sz w:val="20"/>
          <w:szCs w:val="20"/>
        </w:rPr>
        <w:t xml:space="preserve"> follow. Identical window definitions are used for all materials. The ADE Explorer/Assembler equivalents (OCEAN scripts with </w:t>
      </w:r>
      <w:r>
        <w:rPr>
          <w:rFonts w:ascii="Courier New" w:cs="Courier New" w:eastAsia="Courier New" w:hAnsi="Courier New"/>
          <w:b w:val="false"/>
          <w:bCs w:val="false"/>
          <w:i w:val="false"/>
          <w:iCs w:val="false"/>
          <w:sz w:val="20"/>
          <w:szCs w:val="20"/>
        </w:rPr>
        <w:t xml:space="preserve">cross</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20"/>
          <w:szCs w:val="20"/>
        </w:rPr>
        <w:t xml:space="preserve">delay</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20"/>
          <w:szCs w:val="20"/>
        </w:rPr>
        <w:t xml:space="preserve">integ</w:t>
      </w:r>
      <w:r>
        <w:rPr>
          <w:rFonts w:ascii="Times New Roman" w:cs="Times New Roman" w:eastAsia="Times New Roman" w:hAnsi="Times New Roman"/>
          <w:b w:val="false"/>
          <w:bCs w:val="false"/>
          <w:i w:val="false"/>
          <w:iCs w:val="false"/>
          <w:sz w:val="20"/>
          <w:szCs w:val="20"/>
        </w:rPr>
        <w:t xml:space="preserve"> and </w:t>
      </w:r>
      <w:r>
        <w:rPr>
          <w:rFonts w:ascii="Courier New" w:cs="Courier New" w:eastAsia="Courier New" w:hAnsi="Courier New"/>
          <w:b w:val="false"/>
          <w:bCs w:val="false"/>
          <w:i w:val="false"/>
          <w:iCs w:val="false"/>
          <w:sz w:val="20"/>
          <w:szCs w:val="20"/>
        </w:rPr>
        <w:t xml:space="preserve">average</w:t>
      </w:r>
      <w:r>
        <w:rPr>
          <w:rFonts w:ascii="Times New Roman" w:cs="Times New Roman" w:eastAsia="Times New Roman" w:hAnsi="Times New Roman"/>
          <w:b w:val="false"/>
          <w:bCs w:val="false"/>
          <w:i w:val="false"/>
          <w:iCs w:val="false"/>
          <w:sz w:val="20"/>
          <w:szCs w:val="20"/>
        </w:rPr>
        <w:t xml:space="preserve"> calculator functions, parametric sweeps, corners and Monte Carlo sampling) are provided in the companion </w:t>
      </w:r>
      <w:r>
        <w:rPr>
          <w:rFonts w:ascii="Courier New" w:cs="Courier New" w:eastAsia="Courier New" w:hAnsi="Courier New"/>
          <w:b w:val="false"/>
          <w:bCs w:val="false"/>
          <w:i w:val="false"/>
          <w:iCs w:val="false"/>
          <w:sz w:val="20"/>
          <w:szCs w:val="20"/>
        </w:rPr>
        <w:t xml:space="preserve">cadence/</w:t>
      </w:r>
      <w:r>
        <w:rPr>
          <w:rFonts w:ascii="Times New Roman" w:cs="Times New Roman" w:eastAsia="Times New Roman" w:hAnsi="Times New Roman"/>
          <w:b w:val="false"/>
          <w:bCs w:val="false"/>
          <w:i w:val="false"/>
          <w:iCs w:val="false"/>
          <w:sz w:val="20"/>
          <w:szCs w:val="20"/>
        </w:rPr>
        <w:t xml:space="preserve"> directory.</w:t>
      </w:r>
    </w:p>
    <w:p>
      <w:pPr>
        <w:pStyle w:val="Heading1"/>
        <w:keepNext/>
        <w:spacing w:after="120" w:before="240"/>
        <w:jc w:val="center"/>
      </w:pPr>
      <w:r>
        <w:rPr>
          <w:rFonts w:ascii="Times New Roman" w:cs="Times New Roman" w:eastAsia="Times New Roman" w:hAnsi="Times New Roman"/>
          <w:b w:val="false"/>
          <w:bCs w:val="false"/>
          <w:sz w:val="20"/>
          <w:szCs w:val="20"/>
        </w:rPr>
        <w:t xml:space="preserve">V. RESULTS</w:t>
      </w:r>
    </w:p>
    <w:p>
      <w:pPr>
        <w:pStyle w:val="Heading2"/>
        <w:keepNext/>
        <w:spacing w:after="80" w:before="160"/>
      </w:pPr>
      <w:r>
        <w:rPr>
          <w:rFonts w:ascii="Times New Roman" w:cs="Times New Roman" w:eastAsia="Times New Roman" w:hAnsi="Times New Roman"/>
          <w:i/>
          <w:iCs/>
          <w:sz w:val="20"/>
          <w:szCs w:val="20"/>
        </w:rPr>
        <w:t xml:space="preserve">G. </w:t>
      </w:r>
      <w:r>
        <w:rPr>
          <w:rFonts w:ascii="Times New Roman" w:cs="Times New Roman" w:eastAsia="Times New Roman" w:hAnsi="Times New Roman"/>
          <w:b w:val="false"/>
          <w:bCs w:val="false"/>
          <w:i/>
          <w:iCs/>
          <w:sz w:val="20"/>
          <w:szCs w:val="20"/>
        </w:rPr>
        <w:t xml:space="preserve">Nominal inverters and ring oscillators</w:t>
      </w:r>
    </w:p>
    <w:p>
      <w:pPr>
        <w:spacing w:after="60" w:before="60"/>
        <w:jc w:val="center"/>
      </w:pPr>
      <w:r>
        <w:drawing>
          <wp:inline distT="0" distB="0" distL="0" distR="0">
            <wp:extent cx="32004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00400" cy="10572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7. </w:t>
      </w:r>
      <w:r>
        <w:rPr>
          <w:rFonts w:ascii="Times New Roman" w:cs="Times New Roman" w:eastAsia="Times New Roman" w:hAnsi="Times New Roman"/>
          <w:b w:val="false"/>
          <w:bCs w:val="false"/>
          <w:i w:val="false"/>
          <w:iCs w:val="false"/>
          <w:sz w:val="16"/>
          <w:szCs w:val="16"/>
        </w:rPr>
        <w:t xml:space="preserve">(a) Normalised voltage-transfer characteristics of the five CFET inverters at their nominal </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DD</w:t>
      </w:r>
      <w:r>
        <w:rPr>
          <w:rFonts w:ascii="Times New Roman" w:cs="Times New Roman" w:eastAsia="Times New Roman" w:hAnsi="Times New Roman"/>
          <w:b w:val="false"/>
          <w:bCs w:val="false"/>
          <w:i w:val="false"/>
          <w:iCs w:val="false"/>
          <w:sz w:val="16"/>
          <w:szCs w:val="16"/>
        </w:rPr>
        <w:t xml:space="preserve">; (b) small-signal gain.</w:t>
      </w:r>
    </w:p>
    <w:p>
      <w:pPr>
        <w:spacing w:after="60" w:before="60"/>
        <w:jc w:val="center"/>
      </w:pPr>
      <w:r>
        <w:drawing>
          <wp:inline distT="0" distB="0" distL="0" distR="0">
            <wp:extent cx="32004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00400" cy="1714500"/>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8. </w:t>
      </w:r>
      <w:r>
        <w:rPr>
          <w:rFonts w:ascii="Times New Roman" w:cs="Times New Roman" w:eastAsia="Times New Roman" w:hAnsi="Times New Roman"/>
          <w:b w:val="false"/>
          <w:bCs w:val="false"/>
          <w:i w:val="false"/>
          <w:iCs w:val="false"/>
          <w:sz w:val="16"/>
          <w:szCs w:val="16"/>
        </w:rPr>
        <w:t xml:space="preserve">Nominal figures of merit: (a) </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M</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DD</w:t>
      </w:r>
      <w:r>
        <w:rPr>
          <w:rFonts w:ascii="Times New Roman" w:cs="Times New Roman" w:eastAsia="Times New Roman" w:hAnsi="Times New Roman"/>
          <w:b w:val="false"/>
          <w:bCs w:val="false"/>
          <w:i w:val="false"/>
          <w:iCs w:val="false"/>
          <w:sz w:val="16"/>
          <w:szCs w:val="16"/>
        </w:rPr>
        <w:t xml:space="preserve">, (b) noise margins, (c) maximum gain, (d) inverter delay, (e) 5-stage RO frequency, (f) energy per RO cycle.</w:t>
      </w:r>
    </w:p>
    <w:p>
      <w:pPr>
        <w:spacing w:after="60" w:before="60"/>
        <w:jc w:val="center"/>
      </w:pPr>
      <w:r>
        <w:drawing>
          <wp:inline distT="0" distB="0" distL="0" distR="0">
            <wp:extent cx="21336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133600" cy="33051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9. </w:t>
      </w:r>
      <w:r>
        <w:rPr>
          <w:rFonts w:ascii="Times New Roman" w:cs="Times New Roman" w:eastAsia="Times New Roman" w:hAnsi="Times New Roman"/>
          <w:b w:val="false"/>
          <w:bCs w:val="false"/>
          <w:i w:val="false"/>
          <w:iCs w:val="false"/>
          <w:sz w:val="16"/>
          <w:szCs w:val="16"/>
        </w:rPr>
        <w:t xml:space="preserve">5-stage RO waveforms </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n</w:t>
      </w:r>
      <w:r>
        <w:rPr>
          <w:rFonts w:ascii="Times New Roman" w:cs="Times New Roman" w:eastAsia="Times New Roman" w:hAnsi="Times New Roman"/>
          <w:b w:val="false"/>
          <w:bCs w:val="false"/>
          <w:i w:val="false"/>
          <w:iCs w:val="false"/>
          <w:sz w:val="16"/>
          <w:szCs w:val="16"/>
          <w:vertAlign w:val="subscript"/>
        </w:rPr>
        <w:t xml:space="preserve">3</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val="false"/>
          <w:iCs w:val="false"/>
          <w:sz w:val="16"/>
          <w:szCs w:val="16"/>
        </w:rPr>
        <w:t xml:space="preserve"> for the five platforms, four cycles after cycle 10 (the measurement window).</w:t>
      </w:r>
    </w:p>
    <w:p>
      <w:pPr>
        <w:sectPr>
          <w:type w:val="continuous"/>
          <w:pgSz w:w="11906" w:h="16838" w:orient="portrait"/>
          <w:pgMar w:top="1080" w:right="900" w:bottom="1080" w:left="900" w:header="708" w:footer="708" w:gutter="0"/>
          <w:pgNumType/>
          <w:cols w:space="360" w:num="2" w:equalWidth="true"/>
          <w:docGrid w:linePitch="360"/>
        </w:sectPr>
      </w:pPr>
    </w:p>
    <w:p>
      <w:pPr>
        <w:keepNext/>
        <w:spacing w:after="40" w:before="12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b w:val="false"/>
          <w:bCs w:val="false"/>
          <w:i w:val="false"/>
          <w:iCs w:val="false"/>
          <w:sz w:val="16"/>
          <w:szCs w:val="16"/>
        </w:rPr>
        <w:t xml:space="preserve">Nominal inverter and 5-stage RO figures of merit (27</w:t>
      </w:r>
      <w:r>
        <w:rPr>
          <w:rFonts w:ascii="Times New Roman" w:cs="Times New Roman" w:eastAsia="Times New Roman" w:hAnsi="Times New Roman"/>
          <w:b w:val="false"/>
          <w:bCs w:val="false"/>
          <w:i/>
          <w:iCs/>
          <w:sz w:val="16"/>
          <w:szCs w:val="16"/>
          <w:vertAlign w:val="superscript"/>
        </w:rPr>
        <w:t xml:space="preserve">°</w:t>
      </w:r>
      <w:r>
        <w:rPr>
          <w:rFonts w:ascii="Times New Roman" w:cs="Times New Roman" w:eastAsia="Times New Roman" w:hAnsi="Times New Roman"/>
          <w:b w:val="false"/>
          <w:bCs w:val="false"/>
          <w:i w:val="false"/>
          <w:iCs w:val="false"/>
          <w:sz w:val="16"/>
          <w:szCs w:val="16"/>
        </w:rPr>
        <w:t xml:space="preserve">C).</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950"/>
        <w:gridCol w:w="949"/>
        <w:gridCol w:w="949"/>
        <w:gridCol w:w="949"/>
        <w:gridCol w:w="949"/>
        <w:gridCol w:w="949"/>
        <w:gridCol w:w="949"/>
        <w:gridCol w:w="949"/>
        <w:gridCol w:w="949"/>
        <w:gridCol w:w="949"/>
        <w:gridCol w:w="949"/>
      </w:tblGrid>
      <w:tr>
        <w:tc>
          <w:tcPr>
            <w:tcW w:type="dxa" w:w="95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Platform</w:t>
            </w:r>
          </w:p>
        </w:tc>
        <w:tc>
          <w:tcPr>
            <w:tcW w:type="dxa" w:w="949"/>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V</w:t>
            </w:r>
            <w:r>
              <w:rPr>
                <w:rFonts w:ascii="Times New Roman" w:cs="Times New Roman" w:eastAsia="Times New Roman" w:hAnsi="Times New Roman"/>
                <w:b w:val="false"/>
                <w:bCs w:val="false"/>
                <w:i/>
                <w:iCs/>
                <w:sz w:val="14"/>
                <w:szCs w:val="14"/>
                <w:vertAlign w:val="subscript"/>
              </w:rPr>
              <w:t xml:space="preserve">DD</w:t>
            </w:r>
          </w:p>
        </w:tc>
        <w:tc>
          <w:tcPr>
            <w:tcW w:type="dxa" w:w="949"/>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V</w:t>
            </w:r>
            <w:r>
              <w:rPr>
                <w:rFonts w:ascii="Times New Roman" w:cs="Times New Roman" w:eastAsia="Times New Roman" w:hAnsi="Times New Roman"/>
                <w:b w:val="false"/>
                <w:bCs w:val="false"/>
                <w:i/>
                <w:iCs/>
                <w:sz w:val="14"/>
                <w:szCs w:val="14"/>
                <w:vertAlign w:val="subscript"/>
              </w:rPr>
              <w:t xml:space="preserve">M</w:t>
            </w:r>
            <w:r>
              <w:rPr>
                <w:rFonts w:ascii="Times New Roman" w:cs="Times New Roman" w:eastAsia="Times New Roman" w:hAnsi="Times New Roman"/>
                <w:b w:val="false"/>
                <w:bCs w:val="false"/>
                <w:i w:val="false"/>
                <w:iCs w:val="false"/>
                <w:sz w:val="14"/>
                <w:szCs w:val="14"/>
              </w:rPr>
              <w:t xml:space="preserve">/</w:t>
            </w:r>
            <w:r>
              <w:rPr>
                <w:rFonts w:ascii="Times New Roman" w:cs="Times New Roman" w:eastAsia="Times New Roman" w:hAnsi="Times New Roman"/>
                <w:b w:val="false"/>
                <w:bCs w:val="false"/>
                <w:i/>
                <w:iCs/>
                <w:sz w:val="14"/>
                <w:szCs w:val="14"/>
              </w:rPr>
              <w:t xml:space="preserve">V</w:t>
            </w:r>
            <w:r>
              <w:rPr>
                <w:rFonts w:ascii="Times New Roman" w:cs="Times New Roman" w:eastAsia="Times New Roman" w:hAnsi="Times New Roman"/>
                <w:b w:val="false"/>
                <w:bCs w:val="false"/>
                <w:i/>
                <w:iCs/>
                <w:sz w:val="14"/>
                <w:szCs w:val="14"/>
                <w:vertAlign w:val="subscript"/>
              </w:rPr>
              <w:t xml:space="preserve">DD</w:t>
            </w:r>
          </w:p>
        </w:tc>
        <w:tc>
          <w:tcPr>
            <w:tcW w:type="dxa" w:w="949"/>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A</w:t>
            </w:r>
            <w:r>
              <w:rPr>
                <w:rFonts w:ascii="Times New Roman" w:cs="Times New Roman" w:eastAsia="Times New Roman" w:hAnsi="Times New Roman"/>
                <w:b w:val="false"/>
                <w:bCs w:val="false"/>
                <w:i/>
                <w:iCs/>
                <w:sz w:val="14"/>
                <w:szCs w:val="14"/>
                <w:vertAlign w:val="subscript"/>
              </w:rPr>
              <w:t xml:space="preserve">V</w:t>
            </w:r>
          </w:p>
        </w:tc>
        <w:tc>
          <w:tcPr>
            <w:tcW w:type="dxa" w:w="949"/>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NM</w:t>
            </w:r>
            <w:r>
              <w:rPr>
                <w:rFonts w:ascii="Times New Roman" w:cs="Times New Roman" w:eastAsia="Times New Roman" w:hAnsi="Times New Roman"/>
                <w:b w:val="false"/>
                <w:bCs w:val="false"/>
                <w:i/>
                <w:iCs/>
                <w:sz w:val="14"/>
                <w:szCs w:val="14"/>
                <w:vertAlign w:val="subscript"/>
              </w:rPr>
              <w:t xml:space="preserve">L</w:t>
            </w:r>
            <w:r>
              <w:rPr>
                <w:rFonts w:ascii="Times New Roman" w:cs="Times New Roman" w:eastAsia="Times New Roman" w:hAnsi="Times New Roman"/>
                <w:b w:val="false"/>
                <w:bCs w:val="false"/>
                <w:i w:val="false"/>
                <w:iCs w:val="false"/>
                <w:sz w:val="14"/>
                <w:szCs w:val="14"/>
              </w:rPr>
              <w:t xml:space="preserve">/</w:t>
            </w:r>
            <w:r>
              <w:rPr>
                <w:rFonts w:ascii="Times New Roman" w:cs="Times New Roman" w:eastAsia="Times New Roman" w:hAnsi="Times New Roman"/>
                <w:b w:val="false"/>
                <w:bCs w:val="false"/>
                <w:i/>
                <w:iCs/>
                <w:sz w:val="14"/>
                <w:szCs w:val="14"/>
              </w:rPr>
              <w:t xml:space="preserve">V</w:t>
            </w:r>
            <w:r>
              <w:rPr>
                <w:rFonts w:ascii="Times New Roman" w:cs="Times New Roman" w:eastAsia="Times New Roman" w:hAnsi="Times New Roman"/>
                <w:b w:val="false"/>
                <w:bCs w:val="false"/>
                <w:i/>
                <w:iCs/>
                <w:sz w:val="14"/>
                <w:szCs w:val="14"/>
                <w:vertAlign w:val="subscript"/>
              </w:rPr>
              <w:t xml:space="preserve">DD</w:t>
            </w:r>
          </w:p>
        </w:tc>
        <w:tc>
          <w:tcPr>
            <w:tcW w:type="dxa" w:w="949"/>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NM</w:t>
            </w:r>
            <w:r>
              <w:rPr>
                <w:rFonts w:ascii="Times New Roman" w:cs="Times New Roman" w:eastAsia="Times New Roman" w:hAnsi="Times New Roman"/>
                <w:b w:val="false"/>
                <w:bCs w:val="false"/>
                <w:i/>
                <w:iCs/>
                <w:sz w:val="14"/>
                <w:szCs w:val="14"/>
                <w:vertAlign w:val="subscript"/>
              </w:rPr>
              <w:t xml:space="preserve">H</w:t>
            </w:r>
            <w:r>
              <w:rPr>
                <w:rFonts w:ascii="Times New Roman" w:cs="Times New Roman" w:eastAsia="Times New Roman" w:hAnsi="Times New Roman"/>
                <w:b w:val="false"/>
                <w:bCs w:val="false"/>
                <w:i w:val="false"/>
                <w:iCs w:val="false"/>
                <w:sz w:val="14"/>
                <w:szCs w:val="14"/>
              </w:rPr>
              <w:t xml:space="preserve">/</w:t>
            </w:r>
            <w:r>
              <w:rPr>
                <w:rFonts w:ascii="Times New Roman" w:cs="Times New Roman" w:eastAsia="Times New Roman" w:hAnsi="Times New Roman"/>
                <w:b w:val="false"/>
                <w:bCs w:val="false"/>
                <w:i/>
                <w:iCs/>
                <w:sz w:val="14"/>
                <w:szCs w:val="14"/>
              </w:rPr>
              <w:t xml:space="preserve">V</w:t>
            </w:r>
            <w:r>
              <w:rPr>
                <w:rFonts w:ascii="Times New Roman" w:cs="Times New Roman" w:eastAsia="Times New Roman" w:hAnsi="Times New Roman"/>
                <w:b w:val="false"/>
                <w:bCs w:val="false"/>
                <w:i/>
                <w:iCs/>
                <w:sz w:val="14"/>
                <w:szCs w:val="14"/>
                <w:vertAlign w:val="subscript"/>
              </w:rPr>
              <w:t xml:space="preserve">DD</w:t>
            </w:r>
          </w:p>
        </w:tc>
        <w:tc>
          <w:tcPr>
            <w:tcW w:type="dxa" w:w="949"/>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t</w:t>
            </w:r>
            <w:r>
              <w:rPr>
                <w:rFonts w:ascii="Times New Roman" w:cs="Times New Roman" w:eastAsia="Times New Roman" w:hAnsi="Times New Roman"/>
                <w:b w:val="false"/>
                <w:bCs w:val="false"/>
                <w:i/>
                <w:iCs/>
                <w:sz w:val="14"/>
                <w:szCs w:val="14"/>
                <w:vertAlign w:val="subscript"/>
              </w:rPr>
              <w:t xml:space="preserve">pd</w:t>
            </w:r>
            <w:r>
              <w:rPr>
                <w:rFonts w:ascii="Times New Roman" w:cs="Times New Roman" w:eastAsia="Times New Roman" w:hAnsi="Times New Roman"/>
                <w:b w:val="false"/>
                <w:bCs w:val="false"/>
                <w:i/>
                <w:iCs/>
                <w:sz w:val="14"/>
                <w:szCs w:val="14"/>
                <w:vertAlign w:val="superscript"/>
              </w:rPr>
              <w:t xml:space="preserve">inv</w:t>
            </w:r>
          </w:p>
        </w:tc>
        <w:tc>
          <w:tcPr>
            <w:tcW w:type="dxa" w:w="949"/>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f</w:t>
            </w:r>
            <w:r>
              <w:rPr>
                <w:rFonts w:ascii="Times New Roman" w:cs="Times New Roman" w:eastAsia="Times New Roman" w:hAnsi="Times New Roman"/>
                <w:b w:val="false"/>
                <w:bCs w:val="false"/>
                <w:i/>
                <w:iCs/>
                <w:sz w:val="14"/>
                <w:szCs w:val="14"/>
                <w:vertAlign w:val="subscript"/>
              </w:rPr>
              <w:t xml:space="preserve">RO5</w:t>
            </w:r>
          </w:p>
        </w:tc>
        <w:tc>
          <w:tcPr>
            <w:tcW w:type="dxa" w:w="949"/>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t</w:t>
            </w:r>
            <w:r>
              <w:rPr>
                <w:rFonts w:ascii="Times New Roman" w:cs="Times New Roman" w:eastAsia="Times New Roman" w:hAnsi="Times New Roman"/>
                <w:b w:val="false"/>
                <w:bCs w:val="false"/>
                <w:i/>
                <w:iCs/>
                <w:sz w:val="14"/>
                <w:szCs w:val="14"/>
                <w:vertAlign w:val="subscript"/>
              </w:rPr>
              <w:t xml:space="preserve">pd</w:t>
            </w:r>
            <w:r>
              <w:rPr>
                <w:rFonts w:ascii="Times New Roman" w:cs="Times New Roman" w:eastAsia="Times New Roman" w:hAnsi="Times New Roman"/>
                <w:b w:val="false"/>
                <w:bCs w:val="false"/>
                <w:i/>
                <w:iCs/>
                <w:sz w:val="14"/>
                <w:szCs w:val="14"/>
                <w:vertAlign w:val="superscript"/>
              </w:rPr>
              <w:t xml:space="preserve">RO</w:t>
            </w:r>
          </w:p>
        </w:tc>
        <w:tc>
          <w:tcPr>
            <w:tcW w:type="dxa" w:w="949"/>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P</w:t>
            </w:r>
            <w:r>
              <w:rPr>
                <w:rFonts w:ascii="Times New Roman" w:cs="Times New Roman" w:eastAsia="Times New Roman" w:hAnsi="Times New Roman"/>
                <w:b w:val="false"/>
                <w:bCs w:val="false"/>
                <w:i/>
                <w:iCs/>
                <w:sz w:val="14"/>
                <w:szCs w:val="14"/>
                <w:vertAlign w:val="subscript"/>
              </w:rPr>
              <w:t xml:space="preserve">avg</w:t>
            </w:r>
          </w:p>
        </w:tc>
        <w:tc>
          <w:tcPr>
            <w:tcW w:type="dxa" w:w="949"/>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E</w:t>
            </w:r>
            <w:r>
              <w:rPr>
                <w:rFonts w:ascii="Times New Roman" w:cs="Times New Roman" w:eastAsia="Times New Roman" w:hAnsi="Times New Roman"/>
                <w:b w:val="false"/>
                <w:bCs w:val="false"/>
                <w:i/>
                <w:iCs/>
                <w:sz w:val="14"/>
                <w:szCs w:val="14"/>
                <w:vertAlign w:val="subscript"/>
              </w:rPr>
              <w:t xml:space="preserve">cycle</w:t>
            </w:r>
          </w:p>
        </w:tc>
      </w:tr>
      <w:tr>
        <w:tc>
          <w:tcPr>
            <w:tcW w:type="dxa" w:w="95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left"/>
            </w:pPr>
          </w:p>
        </w:tc>
        <w:tc>
          <w:tcPr>
            <w:tcW w:type="dxa" w:w="949"/>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(V)</w:t>
            </w:r>
          </w:p>
        </w:tc>
        <w:tc>
          <w:tcPr>
            <w:tcW w:type="dxa" w:w="949"/>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p>
        </w:tc>
        <w:tc>
          <w:tcPr>
            <w:tcW w:type="dxa" w:w="949"/>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p>
        </w:tc>
        <w:tc>
          <w:tcPr>
            <w:tcW w:type="dxa" w:w="949"/>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p>
        </w:tc>
        <w:tc>
          <w:tcPr>
            <w:tcW w:type="dxa" w:w="949"/>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p>
        </w:tc>
        <w:tc>
          <w:tcPr>
            <w:tcW w:type="dxa" w:w="949"/>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(ps)</w:t>
            </w:r>
          </w:p>
        </w:tc>
        <w:tc>
          <w:tcPr>
            <w:tcW w:type="dxa" w:w="949"/>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(GHz)</w:t>
            </w:r>
          </w:p>
        </w:tc>
        <w:tc>
          <w:tcPr>
            <w:tcW w:type="dxa" w:w="949"/>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(ps)</w:t>
            </w:r>
          </w:p>
        </w:tc>
        <w:tc>
          <w:tcPr>
            <w:tcW w:type="dxa" w:w="949"/>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w:t>
            </w:r>
            <w:r>
              <w:rPr>
                <w:rFonts w:ascii="Times New Roman" w:cs="Times New Roman" w:eastAsia="Times New Roman" w:hAnsi="Times New Roman"/>
                <w:b w:val="false"/>
                <w:bCs w:val="false"/>
                <w:i w:val="false"/>
                <w:iCs w:val="false"/>
                <w:sz w:val="14"/>
                <w:szCs w:val="14"/>
              </w:rPr>
              <w:t xml:space="preserve">µ</w:t>
            </w:r>
            <w:r>
              <w:rPr>
                <w:rFonts w:ascii="Times New Roman" w:cs="Times New Roman" w:eastAsia="Times New Roman" w:hAnsi="Times New Roman"/>
                <w:b w:val="false"/>
                <w:bCs w:val="false"/>
                <w:i w:val="false"/>
                <w:iCs w:val="false"/>
                <w:sz w:val="14"/>
                <w:szCs w:val="14"/>
              </w:rPr>
              <w:t xml:space="preserve">W)</w:t>
            </w:r>
          </w:p>
        </w:tc>
        <w:tc>
          <w:tcPr>
            <w:tcW w:type="dxa" w:w="949"/>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(fJ)</w:t>
            </w:r>
          </w:p>
        </w:tc>
      </w:tr>
      <w:tr>
        <w:tc>
          <w:tcPr>
            <w:tcW w:type="dxa" w:w="9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CFET-Si</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0.490</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16.4</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0.41</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0.44</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4.45</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19.39</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5.16</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40.59</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2.09</w:t>
            </w:r>
          </w:p>
        </w:tc>
      </w:tr>
      <w:tr>
        <w:tc>
          <w:tcPr>
            <w:tcW w:type="dxa" w:w="9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CFET-SiGe</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0.7</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0.495</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15.6</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0.42</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0.43</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4.14</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21.39</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4.68</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45.40</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2.12</w:t>
            </w:r>
          </w:p>
        </w:tc>
      </w:tr>
      <w:tr>
        <w:tc>
          <w:tcPr>
            <w:tcW w:type="dxa" w:w="9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CFET-TMD</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0.5</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0.482</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12.0</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0.41</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0.45</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29.51</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2.59</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38.68</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1.74</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0.67</w:t>
            </w:r>
          </w:p>
        </w:tc>
      </w:tr>
      <w:tr>
        <w:tc>
          <w:tcPr>
            <w:tcW w:type="dxa" w:w="9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CFET-CNT</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0.6</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0.500</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21.8</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0.42</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0.41</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3.06</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45.39</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2.20</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38.01</w:t>
            </w:r>
          </w:p>
        </w:tc>
        <w:tc>
          <w:tcPr>
            <w:tcW w:type="dxa" w:w="94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0.84</w:t>
            </w:r>
          </w:p>
        </w:tc>
      </w:tr>
      <w:tr>
        <w:tc>
          <w:tcPr>
            <w:tcW w:type="dxa" w:w="95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CFET-GaN</w:t>
            </w:r>
          </w:p>
        </w:tc>
        <w:tc>
          <w:tcPr>
            <w:tcW w:type="dxa" w:w="949"/>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1.2</w:t>
            </w:r>
          </w:p>
        </w:tc>
        <w:tc>
          <w:tcPr>
            <w:tcW w:type="dxa" w:w="949"/>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0.418</w:t>
            </w:r>
          </w:p>
        </w:tc>
        <w:tc>
          <w:tcPr>
            <w:tcW w:type="dxa" w:w="949"/>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18.1</w:t>
            </w:r>
          </w:p>
        </w:tc>
        <w:tc>
          <w:tcPr>
            <w:tcW w:type="dxa" w:w="949"/>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0.25</w:t>
            </w:r>
          </w:p>
        </w:tc>
        <w:tc>
          <w:tcPr>
            <w:tcW w:type="dxa" w:w="949"/>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0.49</w:t>
            </w:r>
          </w:p>
        </w:tc>
        <w:tc>
          <w:tcPr>
            <w:tcW w:type="dxa" w:w="949"/>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26.43</w:t>
            </w:r>
          </w:p>
        </w:tc>
        <w:tc>
          <w:tcPr>
            <w:tcW w:type="dxa" w:w="949"/>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1.69</w:t>
            </w:r>
          </w:p>
        </w:tc>
        <w:tc>
          <w:tcPr>
            <w:tcW w:type="dxa" w:w="949"/>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59.06</w:t>
            </w:r>
          </w:p>
        </w:tc>
        <w:tc>
          <w:tcPr>
            <w:tcW w:type="dxa" w:w="949"/>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159.43</w:t>
            </w:r>
          </w:p>
        </w:tc>
        <w:tc>
          <w:tcPr>
            <w:tcW w:type="dxa" w:w="949"/>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94.17</w:t>
            </w:r>
          </w:p>
        </w:tc>
      </w:tr>
    </w:tbl>
    <w:p>
      <w:pPr>
        <w:spacing w:after="120"/>
      </w:pPr>
    </w:p>
    <w:p>
      <w:pPr>
        <w:sectPr>
          <w:type w:val="continuous"/>
          <w:pgSz w:w="11906" w:h="16838" w:orient="portrait"/>
          <w:pgMar w:top="1080" w:right="900" w:bottom="1080" w:left="900" w:header="708" w:footer="708" w:gutter="0"/>
          <w:pgNumType/>
          <w:cols w:num="1"/>
          <w:docGrid w:linePitch="360"/>
        </w:sectPr>
      </w:pP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Table IV and Figs. 7–9 give the nominal results. All five inverters are functional with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M</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val="false"/>
          <w:iCs w:val="false"/>
          <w:sz w:val="20"/>
          <w:szCs w:val="20"/>
        </w:rPr>
        <w:t xml:space="preserve"> between 0.42 and 0.49, gains between 12 and 22 and both noise margins above </w:t>
      </w:r>
      <w:r>
        <w:rPr>
          <w:rFonts w:ascii="Times New Roman" w:cs="Times New Roman" w:eastAsia="Times New Roman" w:hAnsi="Times New Roman"/>
          <w:b w:val="false"/>
          <w:bCs w:val="false"/>
          <w:i w:val="false"/>
          <w:iCs w:val="false"/>
          <w:sz w:val="20"/>
          <w:szCs w:val="20"/>
        </w:rPr>
        <w:t xml:space="preserve">0.28</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val="false"/>
          <w:iCs w:val="false"/>
          <w:sz w:val="20"/>
          <w:szCs w:val="20"/>
        </w:rPr>
        <w:t xml:space="preserve">; the SiGe p-FET moves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M</w:t>
      </w:r>
      <w:r>
        <w:rPr>
          <w:rFonts w:ascii="Times New Roman" w:cs="Times New Roman" w:eastAsia="Times New Roman" w:hAnsi="Times New Roman"/>
          <w:b w:val="false"/>
          <w:bCs w:val="false"/>
          <w:i w:val="false"/>
          <w:iCs w:val="false"/>
          <w:sz w:val="20"/>
          <w:szCs w:val="20"/>
        </w:rPr>
        <w:t xml:space="preserve"> of the SiGe cell closer to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val="false"/>
          <w:iCs w:val="false"/>
          <w:sz w:val="20"/>
          <w:szCs w:val="20"/>
        </w:rPr>
        <w:t xml:space="preserve">/2</w:t>
      </w:r>
      <w:r>
        <w:rPr>
          <w:rFonts w:ascii="Times New Roman" w:cs="Times New Roman" w:eastAsia="Times New Roman" w:hAnsi="Times New Roman"/>
          <w:b w:val="false"/>
          <w:bCs w:val="false"/>
          <w:i w:val="false"/>
          <w:iCs w:val="false"/>
          <w:sz w:val="20"/>
          <w:szCs w:val="20"/>
        </w:rPr>
        <w:t xml:space="preserve"> than the Si cell (0.49 vs. 0.49) and shortens the low-to-high transition. The 5-stage RO frequencies are 19.39, 21.39, 2.59, 45.39 and 1.69 GHz for Si, SiGe, TMD, CNT and GaN. Stage delays extracted from the 5-, 7- and 9-stage ROs agree within 1%, which confirms the </w:t>
      </w:r>
      <w:r>
        <w:rPr>
          <w:rFonts w:ascii="Times New Roman" w:cs="Times New Roman" w:eastAsia="Times New Roman" w:hAnsi="Times New Roman"/>
          <w:b w:val="false"/>
          <w:bCs w:val="false"/>
          <w:i w:val="false"/>
          <w:iCs w:val="false"/>
          <w:sz w:val="20"/>
          <w:szCs w:val="20"/>
        </w:rPr>
        <w:t xml:space="preserve">1/(2</w:t>
      </w:r>
      <w:r>
        <w:rPr>
          <w:rFonts w:ascii="Times New Roman" w:cs="Times New Roman" w:eastAsia="Times New Roman" w:hAnsi="Times New Roman"/>
          <w:b w:val="false"/>
          <w:bCs w:val="false"/>
          <w:i/>
          <w:iCs/>
          <w:sz w:val="20"/>
          <w:szCs w:val="20"/>
        </w:rPr>
        <w:t xml:space="preserve">Nf</w:t>
      </w:r>
      <w:r>
        <w:rPr>
          <w:rFonts w:ascii="Times New Roman" w:cs="Times New Roman" w:eastAsia="Times New Roman" w:hAnsi="Times New Roman"/>
          <w:b w:val="false"/>
          <w:bCs w:val="false"/>
          <w:i/>
          <w:iCs/>
          <w:sz w:val="20"/>
          <w:szCs w:val="20"/>
          <w:vertAlign w:val="subscript"/>
        </w:rPr>
        <w:t xml:space="preserve">RO</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extraction, while </w:t>
      </w:r>
      <w:r>
        <w:rPr>
          <w:rFonts w:ascii="Times New Roman" w:cs="Times New Roman" w:eastAsia="Times New Roman" w:hAnsi="Times New Roman"/>
          <w:b w:val="false"/>
          <w:bCs w:val="false"/>
          <w:i/>
          <w:iCs/>
          <w:sz w:val="20"/>
          <w:szCs w:val="20"/>
        </w:rPr>
        <w:t xml:space="preserve">E</w:t>
      </w:r>
      <w:r>
        <w:rPr>
          <w:rFonts w:ascii="Times New Roman" w:cs="Times New Roman" w:eastAsia="Times New Roman" w:hAnsi="Times New Roman"/>
          <w:b w:val="false"/>
          <w:bCs w:val="false"/>
          <w:i/>
          <w:iCs/>
          <w:sz w:val="20"/>
          <w:szCs w:val="20"/>
          <w:vertAlign w:val="subscript"/>
        </w:rPr>
        <w:t xml:space="preserve">cycle</w:t>
      </w:r>
      <w:r>
        <w:rPr>
          <w:rFonts w:ascii="Times New Roman" w:cs="Times New Roman" w:eastAsia="Times New Roman" w:hAnsi="Times New Roman"/>
          <w:b w:val="false"/>
          <w:bCs w:val="false"/>
          <w:i w:val="false"/>
          <w:iCs w:val="false"/>
          <w:sz w:val="20"/>
          <w:szCs w:val="20"/>
        </w:rPr>
        <w:t xml:space="preserve"> scales with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as expected. The CNT platform is the fastest (quasi-ballistic injection, small gate charge) and has the second-lowest energy per cycle (0.84 fJ); the TMD platform is </w:t>
      </w:r>
      <w:r>
        <w:rPr>
          <w:rFonts w:ascii="Times New Roman" w:cs="Times New Roman" w:eastAsia="Times New Roman" w:hAnsi="Times New Roman"/>
          <w:b w:val="false"/>
          <w:bCs w:val="false"/>
          <w:i w:val="false"/>
          <w:iCs w:val="false"/>
          <w:sz w:val="20"/>
          <w:szCs w:val="20"/>
        </w:rPr>
        <w:t xml:space="preserve">7×</w:t>
      </w:r>
      <w:r>
        <w:rPr>
          <w:rFonts w:ascii="Times New Roman" w:cs="Times New Roman" w:eastAsia="Times New Roman" w:hAnsi="Times New Roman"/>
          <w:b w:val="false"/>
          <w:bCs w:val="false"/>
          <w:i w:val="false"/>
          <w:iCs w:val="false"/>
          <w:sz w:val="20"/>
          <w:szCs w:val="20"/>
        </w:rPr>
        <w:t xml:space="preserve"> slower than Si at 0.5 V because of its 0.5–0.8 k</w:t>
      </w:r>
      <w:r>
        <w:rPr>
          <w:rFonts w:ascii="Times New Roman" w:cs="Times New Roman" w:eastAsia="Times New Roman" w:hAnsi="Times New Roman"/>
          <w:b w:val="false"/>
          <w:bCs w:val="false"/>
          <w:i w:val="false"/>
          <w:iCs w:val="false"/>
          <w:sz w:val="20"/>
          <w:szCs w:val="20"/>
        </w:rPr>
        <w:t xml:space="preserve">Ω·µ</w:t>
      </w:r>
      <w:r>
        <w:rPr>
          <w:rFonts w:ascii="Times New Roman" w:cs="Times New Roman" w:eastAsia="Times New Roman" w:hAnsi="Times New Roman"/>
          <w:b w:val="false"/>
          <w:bCs w:val="false"/>
          <w:i w:val="false"/>
          <w:iCs w:val="false"/>
          <w:sz w:val="20"/>
          <w:szCs w:val="20"/>
        </w:rPr>
        <w:t xml:space="preserve">m contacts but has the lowest energy per cycle (0.67 fJ); the GaN platform is limited by the projected p-GaN device (hole mobility 20 cm</w:t>
      </w:r>
      <w:r>
        <w:rPr>
          <w:rFonts w:ascii="Times New Roman" w:cs="Times New Roman" w:eastAsia="Times New Roman" w:hAnsi="Times New Roman"/>
          <w:b w:val="false"/>
          <w:bCs w:val="false"/>
          <w:i w:val="false"/>
          <w:iCs w:val="false"/>
          <w:sz w:val="20"/>
          <w:szCs w:val="20"/>
          <w:vertAlign w:val="superscript"/>
        </w:rPr>
        <w:t xml:space="preserve">2</w:t>
      </w:r>
      <w:r>
        <w:rPr>
          <w:rFonts w:ascii="Times New Roman" w:cs="Times New Roman" w:eastAsia="Times New Roman" w:hAnsi="Times New Roman"/>
          <w:b w:val="false"/>
          <w:bCs w:val="false"/>
          <w:i w:val="false"/>
          <w:iCs w:val="false"/>
          <w:sz w:val="20"/>
          <w:szCs w:val="20"/>
        </w:rPr>
        <w:t xml:space="preserve">/Vs, 3</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up-sized) to 1.69 GHz and 94.17 fJ at 1.2 V. In the nominal GaN RO the average dissipation per device is only tens of microwatts, so the steady-state self-heating is a few kelvin and changes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iCs/>
          <w:sz w:val="20"/>
          <w:szCs w:val="20"/>
          <w:vertAlign w:val="subscript"/>
        </w:rPr>
        <w:t xml:space="preserve">RO</w:t>
      </w:r>
      <w:r>
        <w:rPr>
          <w:rFonts w:ascii="Times New Roman" w:cs="Times New Roman" w:eastAsia="Times New Roman" w:hAnsi="Times New Roman"/>
          <w:b w:val="false"/>
          <w:bCs w:val="false"/>
          <w:i w:val="false"/>
          <w:iCs w:val="false"/>
          <w:sz w:val="20"/>
          <w:szCs w:val="20"/>
        </w:rPr>
        <w:t xml:space="preserve"> by </w:t>
      </w:r>
      <w:r>
        <w:rPr>
          <w:rFonts w:ascii="Times New Roman" w:cs="Times New Roman" w:eastAsia="Times New Roman" w:hAnsi="Times New Roman"/>
          <w:b w:val="false"/>
          <w:bCs w:val="false"/>
          <w:i w:val="false"/>
          <w:iCs w:val="false"/>
          <w:sz w:val="20"/>
          <w:szCs w:val="20"/>
        </w:rPr>
        <w:t xml:space="preserve">&lt;0.1</w:t>
      </w:r>
      <w:r>
        <w:rPr>
          <w:rFonts w:ascii="Times New Roman" w:cs="Times New Roman" w:eastAsia="Times New Roman" w:hAnsi="Times New Roman"/>
          <w:b w:val="false"/>
          <w:bCs w:val="false"/>
          <w:i w:val="false"/>
          <w:iCs w:val="false"/>
          <w:sz w:val="20"/>
          <w:szCs w:val="20"/>
        </w:rPr>
        <w:t xml:space="preserve">%; it becomes significant only in the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iCs/>
          <w:sz w:val="20"/>
          <w:szCs w:val="20"/>
          <w:vertAlign w:val="subscript"/>
        </w:rPr>
        <w:t xml:space="preserve">th</w:t>
      </w:r>
      <w:r>
        <w:rPr>
          <w:rFonts w:ascii="Times New Roman" w:cs="Times New Roman" w:eastAsia="Times New Roman" w:hAnsi="Times New Roman"/>
          <w:b w:val="false"/>
          <w:bCs w:val="false"/>
          <w:i w:val="false"/>
          <w:iCs w:val="false"/>
          <w:sz w:val="20"/>
          <w:szCs w:val="20"/>
        </w:rPr>
        <w:t xml:space="preserve"> and temperature study below.</w:t>
      </w:r>
    </w:p>
    <w:p>
      <w:pPr>
        <w:pStyle w:val="Heading2"/>
        <w:keepNext/>
        <w:spacing w:after="80" w:before="160"/>
      </w:pPr>
      <w:r>
        <w:rPr>
          <w:rFonts w:ascii="Times New Roman" w:cs="Times New Roman" w:eastAsia="Times New Roman" w:hAnsi="Times New Roman"/>
          <w:i/>
          <w:iCs/>
          <w:sz w:val="20"/>
          <w:szCs w:val="20"/>
        </w:rPr>
        <w:t xml:space="preserve">H. </w:t>
      </w:r>
      <w:r>
        <w:rPr>
          <w:rFonts w:ascii="Times New Roman" w:cs="Times New Roman" w:eastAsia="Times New Roman" w:hAnsi="Times New Roman"/>
          <w:b w:val="false"/>
          <w:bCs w:val="false"/>
          <w:i/>
          <w:iCs/>
          <w:sz w:val="20"/>
          <w:szCs w:val="20"/>
        </w:rPr>
        <w:t xml:space="preserve">Unified $V_{DD</w:t>
      </w: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 and temperature sweeps}</w:t>
      </w:r>
    </w:p>
    <w:p>
      <w:pPr>
        <w:sectPr>
          <w:type w:val="continuous"/>
          <w:pgSz w:w="11906" w:h="16838" w:orient="portrait"/>
          <w:pgMar w:top="1080" w:right="900" w:bottom="1080" w:left="900" w:header="708" w:footer="708" w:gutter="0"/>
          <w:pgNumType/>
          <w:cols w:space="360" w:num="2" w:equalWidth="true"/>
          <w:docGrid w:linePitch="360"/>
        </w:sectPr>
      </w:pPr>
    </w:p>
    <w:p>
      <w:pPr>
        <w:spacing w:after="60" w:before="60"/>
        <w:jc w:val="center"/>
      </w:pPr>
      <w:r>
        <w:drawing>
          <wp:inline distT="0" distB="0" distL="0" distR="0">
            <wp:extent cx="66294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629400" cy="4191000"/>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10. </w:t>
      </w:r>
      <w:r>
        <w:rPr>
          <w:rFonts w:ascii="Times New Roman" w:cs="Times New Roman" w:eastAsia="Times New Roman" w:hAnsi="Times New Roman"/>
          <w:b w:val="false"/>
          <w:bCs w:val="false"/>
          <w:i w:val="false"/>
          <w:iCs w:val="false"/>
          <w:sz w:val="16"/>
          <w:szCs w:val="16"/>
        </w:rPr>
        <w:t xml:space="preserve">Unified </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DD</w:t>
      </w:r>
      <w:r>
        <w:rPr>
          <w:rFonts w:ascii="Times New Roman" w:cs="Times New Roman" w:eastAsia="Times New Roman" w:hAnsi="Times New Roman"/>
          <w:b w:val="false"/>
          <w:bCs w:val="false"/>
          <w:i w:val="false"/>
          <w:iCs w:val="false"/>
          <w:sz w:val="16"/>
          <w:szCs w:val="16"/>
        </w:rPr>
        <w:t xml:space="preserve"> sweeps of the 5-stage ROs: (a) </w:t>
      </w:r>
      <w:r>
        <w:rPr>
          <w:rFonts w:ascii="Times New Roman" w:cs="Times New Roman" w:eastAsia="Times New Roman" w:hAnsi="Times New Roman"/>
          <w:b w:val="false"/>
          <w:bCs w:val="false"/>
          <w:i/>
          <w:iCs/>
          <w:sz w:val="16"/>
          <w:szCs w:val="16"/>
        </w:rPr>
        <w:t xml:space="preserve">f</w:t>
      </w:r>
      <w:r>
        <w:rPr>
          <w:rFonts w:ascii="Times New Roman" w:cs="Times New Roman" w:eastAsia="Times New Roman" w:hAnsi="Times New Roman"/>
          <w:b w:val="false"/>
          <w:bCs w:val="false"/>
          <w:i/>
          <w:iCs/>
          <w:sz w:val="16"/>
          <w:szCs w:val="16"/>
          <w:vertAlign w:val="subscript"/>
        </w:rPr>
        <w:t xml:space="preserve">RO</w:t>
      </w:r>
      <w:r>
        <w:rPr>
          <w:rFonts w:ascii="Times New Roman" w:cs="Times New Roman" w:eastAsia="Times New Roman" w:hAnsi="Times New Roman"/>
          <w:b w:val="false"/>
          <w:bCs w:val="false"/>
          <w:i w:val="false"/>
          <w:iCs w:val="false"/>
          <w:sz w:val="16"/>
          <w:szCs w:val="16"/>
        </w:rPr>
        <w:t xml:space="preserve"> vs. </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DD</w:t>
      </w:r>
      <w:r>
        <w:rPr>
          <w:rFonts w:ascii="Times New Roman" w:cs="Times New Roman" w:eastAsia="Times New Roman" w:hAnsi="Times New Roman"/>
          <w:b w:val="false"/>
          <w:bCs w:val="false"/>
          <w:i w:val="false"/>
          <w:iCs w:val="false"/>
          <w:sz w:val="16"/>
          <w:szCs w:val="16"/>
        </w:rPr>
        <w:t xml:space="preserve">, (b) power vs. frequency, (c) energy per cycle vs. frequency, (d) PDP vs. </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DD</w:t>
      </w:r>
      <w:r>
        <w:rPr>
          <w:rFonts w:ascii="Times New Roman" w:cs="Times New Roman" w:eastAsia="Times New Roman" w:hAnsi="Times New Roman"/>
          <w:b w:val="false"/>
          <w:bCs w:val="false"/>
          <w:i w:val="false"/>
          <w:iCs w:val="false"/>
          <w:sz w:val="16"/>
          <w:szCs w:val="16"/>
        </w:rPr>
        <w:t xml:space="preserve">.</w:t>
      </w:r>
    </w:p>
    <w:p>
      <w:pPr>
        <w:sectPr>
          <w:type w:val="continuous"/>
          <w:pgSz w:w="11906" w:h="16838" w:orient="portrait"/>
          <w:pgMar w:top="1080" w:right="900" w:bottom="1080" w:left="900" w:header="708" w:footer="708" w:gutter="0"/>
          <w:pgNumType/>
          <w:cols w:num="1"/>
          <w:docGrid w:linePitch="360"/>
        </w:sectPr>
      </w:pPr>
    </w:p>
    <w:p>
      <w:pPr>
        <w:spacing w:after="60" w:before="60"/>
        <w:jc w:val="center"/>
      </w:pPr>
      <w:r>
        <w:drawing>
          <wp:inline distT="0" distB="0" distL="0" distR="0">
            <wp:extent cx="66294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629400" cy="20097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11. </w:t>
      </w:r>
      <w:r>
        <w:rPr>
          <w:rFonts w:ascii="Times New Roman" w:cs="Times New Roman" w:eastAsia="Times New Roman" w:hAnsi="Times New Roman"/>
          <w:b w:val="false"/>
          <w:bCs w:val="false"/>
          <w:i w:val="false"/>
          <w:iCs w:val="false"/>
          <w:sz w:val="16"/>
          <w:szCs w:val="16"/>
        </w:rPr>
        <w:t xml:space="preserve">Temperature sweeps at nominal </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DD</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val="false"/>
          <w:iCs w:val="false"/>
          <w:sz w:val="16"/>
          <w:szCs w:val="16"/>
        </w:rPr>
        <w:t xml:space="preserve">-40</w:t>
      </w:r>
      <w:r>
        <w:rPr>
          <w:rFonts w:ascii="Times New Roman" w:cs="Times New Roman" w:eastAsia="Times New Roman" w:hAnsi="Times New Roman"/>
          <w:b w:val="false"/>
          <w:bCs w:val="false"/>
          <w:i w:val="false"/>
          <w:iCs w:val="false"/>
          <w:sz w:val="16"/>
          <w:szCs w:val="16"/>
        </w:rPr>
        <w:t xml:space="preserve"> to 125</w:t>
      </w:r>
      <w:r>
        <w:rPr>
          <w:rFonts w:ascii="Times New Roman" w:cs="Times New Roman" w:eastAsia="Times New Roman" w:hAnsi="Times New Roman"/>
          <w:b w:val="false"/>
          <w:bCs w:val="false"/>
          <w:i/>
          <w:iCs/>
          <w:sz w:val="16"/>
          <w:szCs w:val="16"/>
          <w:vertAlign w:val="superscript"/>
        </w:rPr>
        <w:t xml:space="preserve">°</w:t>
      </w:r>
      <w:r>
        <w:rPr>
          <w:rFonts w:ascii="Times New Roman" w:cs="Times New Roman" w:eastAsia="Times New Roman" w:hAnsi="Times New Roman"/>
          <w:b w:val="false"/>
          <w:bCs w:val="false"/>
          <w:i w:val="false"/>
          <w:iCs w:val="false"/>
          <w:sz w:val="16"/>
          <w:szCs w:val="16"/>
        </w:rPr>
        <w:t xml:space="preserve">C, GaN to 200</w:t>
      </w:r>
      <w:r>
        <w:rPr>
          <w:rFonts w:ascii="Times New Roman" w:cs="Times New Roman" w:eastAsia="Times New Roman" w:hAnsi="Times New Roman"/>
          <w:b w:val="false"/>
          <w:bCs w:val="false"/>
          <w:i/>
          <w:iCs/>
          <w:sz w:val="16"/>
          <w:szCs w:val="16"/>
          <w:vertAlign w:val="superscript"/>
        </w:rPr>
        <w:t xml:space="preserve">°</w:t>
      </w:r>
      <w:r>
        <w:rPr>
          <w:rFonts w:ascii="Times New Roman" w:cs="Times New Roman" w:eastAsia="Times New Roman" w:hAnsi="Times New Roman"/>
          <w:b w:val="false"/>
          <w:bCs w:val="false"/>
          <w:i w:val="false"/>
          <w:iCs w:val="false"/>
          <w:sz w:val="16"/>
          <w:szCs w:val="16"/>
        </w:rPr>
        <w:t xml:space="preserve">C): (a) normalised </w:t>
      </w:r>
      <w:r>
        <w:rPr>
          <w:rFonts w:ascii="Times New Roman" w:cs="Times New Roman" w:eastAsia="Times New Roman" w:hAnsi="Times New Roman"/>
          <w:b w:val="false"/>
          <w:bCs w:val="false"/>
          <w:i/>
          <w:iCs/>
          <w:sz w:val="16"/>
          <w:szCs w:val="16"/>
        </w:rPr>
        <w:t xml:space="preserve">f</w:t>
      </w:r>
      <w:r>
        <w:rPr>
          <w:rFonts w:ascii="Times New Roman" w:cs="Times New Roman" w:eastAsia="Times New Roman" w:hAnsi="Times New Roman"/>
          <w:b w:val="false"/>
          <w:bCs w:val="false"/>
          <w:i/>
          <w:iCs/>
          <w:sz w:val="16"/>
          <w:szCs w:val="16"/>
          <w:vertAlign w:val="subscript"/>
        </w:rPr>
        <w:t xml:space="preserve">RO</w:t>
      </w:r>
      <w:r>
        <w:rPr>
          <w:rFonts w:ascii="Times New Roman" w:cs="Times New Roman" w:eastAsia="Times New Roman" w:hAnsi="Times New Roman"/>
          <w:b w:val="false"/>
          <w:bCs w:val="false"/>
          <w:i w:val="false"/>
          <w:iCs w:val="false"/>
          <w:sz w:val="16"/>
          <w:szCs w:val="16"/>
        </w:rPr>
        <w:t xml:space="preserve">, (b) energy per cycle, (c) inverter static power.</w:t>
      </w:r>
    </w:p>
    <w:p>
      <w:pPr>
        <w:sectPr>
          <w:type w:val="continuous"/>
          <w:pgSz w:w="11906" w:h="16838" w:orient="portrait"/>
          <w:pgMar w:top="1080" w:right="900" w:bottom="1080" w:left="900" w:header="708" w:footer="708" w:gutter="0"/>
          <w:pgNumType/>
          <w:cols w:num="1"/>
          <w:docGrid w:linePitch="360"/>
        </w:sectPr>
      </w:pP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Fig. 10 compares the platforms on common axes. Over its sweep range (0.4–0.8 V) the Si RO moves from 2.69 to 24.97 GHz at 0.62–2.77 fJ per cycle, and the SiGe cell is uniformly 6–10% faster at the same energy; the CNT RO spans 14.29–65.80 GHz between 0.4 and 0.8 V and lies on the lowest power-versus-frequency locus of all platforms (Fig. 10b), because its quasi-ballistic current is reached with a gate charge roughly four times smaller than the nanosheet stack. The TMD RO covers 0.22–4.05 GHz between 0.3 and 0.6 V; at a given frequency it needs a higher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val="false"/>
          <w:iCs w:val="false"/>
          <w:sz w:val="20"/>
          <w:szCs w:val="20"/>
        </w:rPr>
        <w:t xml:space="preserve"> than Si because its contacts absorb a large part of the supply, and with the nominal 0.5/0.8 k</w:t>
      </w:r>
      <w:r>
        <w:rPr>
          <w:rFonts w:ascii="Times New Roman" w:cs="Times New Roman" w:eastAsia="Times New Roman" w:hAnsi="Times New Roman"/>
          <w:b w:val="false"/>
          <w:bCs w:val="false"/>
          <w:i w:val="false"/>
          <w:iCs w:val="false"/>
          <w:sz w:val="20"/>
          <w:szCs w:val="20"/>
        </w:rPr>
        <w:t xml:space="preserve">Ω·µ</w:t>
      </w:r>
      <w:r>
        <w:rPr>
          <w:rFonts w:ascii="Times New Roman" w:cs="Times New Roman" w:eastAsia="Times New Roman" w:hAnsi="Times New Roman"/>
          <w:b w:val="false"/>
          <w:bCs w:val="false"/>
          <w:i w:val="false"/>
          <w:iCs w:val="false"/>
          <w:sz w:val="20"/>
          <w:szCs w:val="20"/>
        </w:rPr>
        <w:t xml:space="preserve">m contacts its energy per cycle (0.22–1.00 fJ) is slightly </w:t>
      </w:r>
      <w:r>
        <w:rPr>
          <w:rFonts w:ascii="Times New Roman" w:cs="Times New Roman" w:eastAsia="Times New Roman" w:hAnsi="Times New Roman"/>
          <w:b w:val="false"/>
          <w:bCs w:val="false"/>
          <w:i/>
          <w:iCs/>
          <w:sz w:val="20"/>
          <w:szCs w:val="20"/>
        </w:rPr>
        <w:t xml:space="preserve">above</w:t>
      </w:r>
      <w:r>
        <w:rPr>
          <w:rFonts w:ascii="Times New Roman" w:cs="Times New Roman" w:eastAsia="Times New Roman" w:hAnsi="Times New Roman"/>
          <w:b w:val="false"/>
          <w:bCs w:val="false"/>
          <w:i w:val="false"/>
          <w:iCs w:val="false"/>
          <w:sz w:val="20"/>
          <w:szCs w:val="20"/>
        </w:rPr>
        <w:t xml:space="preserve"> that of the Si cell at the same frequency (Fig. 10c: 0.67 fJ at 2.59 GHz and 0.5 V versus 0.62 fJ at 2.69 GHz and 0.4 V for Si); whether lower contact resistance reverses this ordering is the subject of the crossover study below. The GaN RO reaches 0.81–2.28 GHz between 0.8 and 1.5 V with 40.30–152.43 fJ per cycle; the 1–2 orders of magnitude energy gap to the other platforms is dominated by the capacitance of the 3</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up-sized, low-mobility p-GaN device and by its 1.5 </w:t>
      </w:r>
      <w:r>
        <w:rPr>
          <w:rFonts w:ascii="Times New Roman" w:cs="Times New Roman" w:eastAsia="Times New Roman" w:hAnsi="Times New Roman"/>
          <w:b w:val="false"/>
          <w:bCs w:val="false"/>
          <w:i w:val="false"/>
          <w:iCs w:val="false"/>
          <w:sz w:val="20"/>
          <w:szCs w:val="20"/>
        </w:rPr>
        <w:t xml:space="preserve">Ω·</w:t>
      </w:r>
      <w:r>
        <w:rPr>
          <w:rFonts w:ascii="Times New Roman" w:cs="Times New Roman" w:eastAsia="Times New Roman" w:hAnsi="Times New Roman"/>
          <w:b w:val="false"/>
          <w:bCs w:val="false"/>
          <w:i w:val="false"/>
          <w:iCs w:val="false"/>
          <w:sz w:val="20"/>
          <w:szCs w:val="20"/>
        </w:rPr>
        <w:t xml:space="preserve">mm access resistance, not by the n-channel. The PDP (Fig. 10d) ranks the platforms in the same order as </w:t>
      </w:r>
      <w:r>
        <w:rPr>
          <w:rFonts w:ascii="Times New Roman" w:cs="Times New Roman" w:eastAsia="Times New Roman" w:hAnsi="Times New Roman"/>
          <w:b w:val="false"/>
          <w:bCs w:val="false"/>
          <w:i/>
          <w:iCs/>
          <w:sz w:val="20"/>
          <w:szCs w:val="20"/>
        </w:rPr>
        <w:t xml:space="preserve">E</w:t>
      </w:r>
      <w:r>
        <w:rPr>
          <w:rFonts w:ascii="Times New Roman" w:cs="Times New Roman" w:eastAsia="Times New Roman" w:hAnsi="Times New Roman"/>
          <w:b w:val="false"/>
          <w:bCs w:val="false"/>
          <w:i/>
          <w:iCs/>
          <w:sz w:val="20"/>
          <w:szCs w:val="20"/>
          <w:vertAlign w:val="subscript"/>
        </w:rPr>
        <w:t xml:space="preserve">cycle</w:t>
      </w:r>
      <w:r>
        <w:rPr>
          <w:rFonts w:ascii="Times New Roman" w:cs="Times New Roman" w:eastAsia="Times New Roman" w:hAnsi="Times New Roman"/>
          <w:b w:val="false"/>
          <w:bCs w:val="false"/>
          <w:i w:val="false"/>
          <w:iCs w:val="false"/>
          <w:sz w:val="20"/>
          <w:szCs w:val="20"/>
        </w:rPr>
        <w:t xml:space="preserve"> because the measurement windows are identical.
Fig. 11 shows the temperature behaviour at nominal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val="false"/>
          <w:iCs w:val="false"/>
          <w:sz w:val="20"/>
          <w:szCs w:val="20"/>
        </w:rPr>
        <w:t xml:space="preserve">. Between </w:t>
      </w:r>
      <w:r>
        <w:rPr>
          <w:rFonts w:ascii="Times New Roman" w:cs="Times New Roman" w:eastAsia="Times New Roman" w:hAnsi="Times New Roman"/>
          <w:b w:val="false"/>
          <w:bCs w:val="false"/>
          <w:i w:val="false"/>
          <w:iCs w:val="false"/>
          <w:sz w:val="20"/>
          <w:szCs w:val="20"/>
        </w:rPr>
        <w:t xml:space="preserve">-40</w:t>
      </w:r>
      <w:r>
        <w:rPr>
          <w:rFonts w:ascii="Times New Roman" w:cs="Times New Roman" w:eastAsia="Times New Roman" w:hAnsi="Times New Roman"/>
          <w:b w:val="false"/>
          <w:bCs w:val="false"/>
          <w:i w:val="false"/>
          <w:iCs w:val="false"/>
          <w:sz w:val="20"/>
          <w:szCs w:val="20"/>
        </w:rPr>
        <w:t xml:space="preserve"> and 125</w:t>
      </w:r>
      <w:r>
        <w:rPr>
          <w:rFonts w:ascii="Times New Roman" w:cs="Times New Roman" w:eastAsia="Times New Roman" w:hAnsi="Times New Roman"/>
          <w:b w:val="false"/>
          <w:bCs w:val="false"/>
          <w:i/>
          <w:iCs/>
          <w:sz w:val="20"/>
          <w:szCs w:val="20"/>
          <w:vertAlign w:val="superscript"/>
        </w:rPr>
        <w:t xml:space="preserve">°</w:t>
      </w:r>
      <w:r>
        <w:rPr>
          <w:rFonts w:ascii="Times New Roman" w:cs="Times New Roman" w:eastAsia="Times New Roman" w:hAnsi="Times New Roman"/>
          <w:b w:val="false"/>
          <w:bCs w:val="false"/>
          <w:i w:val="false"/>
          <w:iCs w:val="false"/>
          <w:sz w:val="20"/>
          <w:szCs w:val="20"/>
        </w:rPr>
        <w:t xml:space="preserve">C the Si, SiGe, TMD and CNT ROs </w:t>
      </w:r>
      <w:r>
        <w:rPr>
          <w:rFonts w:ascii="Times New Roman" w:cs="Times New Roman" w:eastAsia="Times New Roman" w:hAnsi="Times New Roman"/>
          <w:b w:val="false"/>
          <w:bCs w:val="false"/>
          <w:i/>
          <w:iCs/>
          <w:sz w:val="20"/>
          <w:szCs w:val="20"/>
        </w:rPr>
        <w:t xml:space="preserve">speed up</w:t>
      </w:r>
      <w:r>
        <w:rPr>
          <w:rFonts w:ascii="Times New Roman" w:cs="Times New Roman" w:eastAsia="Times New Roman" w:hAnsi="Times New Roman"/>
          <w:b w:val="false"/>
          <w:bCs w:val="false"/>
          <w:i w:val="false"/>
          <w:iCs w:val="false"/>
          <w:sz w:val="20"/>
          <w:szCs w:val="20"/>
        </w:rPr>
        <w:t xml:space="preserve"> (1.14, 1.16, 1.74 and 1.28</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at 125</w:t>
      </w:r>
      <w:r>
        <w:rPr>
          <w:rFonts w:ascii="Times New Roman" w:cs="Times New Roman" w:eastAsia="Times New Roman" w:hAnsi="Times New Roman"/>
          <w:b w:val="false"/>
          <w:bCs w:val="false"/>
          <w:i/>
          <w:iCs/>
          <w:sz w:val="20"/>
          <w:szCs w:val="20"/>
          <w:vertAlign w:val="superscript"/>
        </w:rPr>
        <w:t xml:space="preserve">°</w:t>
      </w:r>
      <w:r>
        <w:rPr>
          <w:rFonts w:ascii="Times New Roman" w:cs="Times New Roman" w:eastAsia="Times New Roman" w:hAnsi="Times New Roman"/>
          <w:b w:val="false"/>
          <w:bCs w:val="false"/>
          <w:i w:val="false"/>
          <w:iCs w:val="false"/>
          <w:sz w:val="20"/>
          <w:szCs w:val="20"/>
        </w:rPr>
        <w:t xml:space="preserve">C relative to 27</w:t>
      </w:r>
      <w:r>
        <w:rPr>
          <w:rFonts w:ascii="Times New Roman" w:cs="Times New Roman" w:eastAsia="Times New Roman" w:hAnsi="Times New Roman"/>
          <w:b w:val="false"/>
          <w:bCs w:val="false"/>
          <w:i/>
          <w:iCs/>
          <w:sz w:val="20"/>
          <w:szCs w:val="20"/>
          <w:vertAlign w:val="superscript"/>
        </w:rPr>
        <w:t xml:space="preserve">°</w:t>
      </w:r>
      <w:r>
        <w:rPr>
          <w:rFonts w:ascii="Times New Roman" w:cs="Times New Roman" w:eastAsia="Times New Roman" w:hAnsi="Times New Roman"/>
          <w:b w:val="false"/>
          <w:bCs w:val="false"/>
          <w:i w:val="false"/>
          <w:iCs w:val="false"/>
          <w:sz w:val="20"/>
          <w:szCs w:val="20"/>
        </w:rPr>
        <w:t xml:space="preserve">C): at these supply voltages the devices operate with a small gate overdrive and the threshold-voltage decrease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iCs/>
          <w:sz w:val="20"/>
          <w:szCs w:val="20"/>
          <w:vertAlign w:val="subscript"/>
        </w:rPr>
        <w:t xml:space="preserve">VTH</w:t>
      </w:r>
      <w:r>
        <w:rPr>
          <w:rFonts w:ascii="Times New Roman" w:cs="Times New Roman" w:eastAsia="Times New Roman" w:hAnsi="Times New Roman"/>
          <w:b w:val="false"/>
          <w:bCs w:val="false"/>
          <w:i w:val="false"/>
          <w:iCs w:val="false"/>
          <w:sz w:val="20"/>
          <w:szCs w:val="20"/>
        </w:rPr>
        <w:t xml:space="preserve">=-0.8</w:t>
      </w:r>
      <w:r>
        <w:rPr>
          <w:rFonts w:ascii="Times New Roman" w:cs="Times New Roman" w:eastAsia="Times New Roman" w:hAnsi="Times New Roman"/>
          <w:b w:val="false"/>
          <w:bCs w:val="false"/>
          <w:i w:val="false"/>
          <w:iCs w:val="false"/>
          <w:sz w:val="20"/>
          <w:szCs w:val="20"/>
        </w:rPr>
        <w:t xml:space="preserve"> to </w:t>
      </w:r>
      <w:r>
        <w:rPr>
          <w:rFonts w:ascii="Times New Roman" w:cs="Times New Roman" w:eastAsia="Times New Roman" w:hAnsi="Times New Roman"/>
          <w:b w:val="false"/>
          <w:bCs w:val="false"/>
          <w:i w:val="false"/>
          <w:iCs w:val="false"/>
          <w:sz w:val="20"/>
          <w:szCs w:val="20"/>
        </w:rPr>
        <w:t xml:space="preserve">-1.1</w:t>
      </w:r>
      <w:r>
        <w:rPr>
          <w:rFonts w:ascii="Times New Roman" w:cs="Times New Roman" w:eastAsia="Times New Roman" w:hAnsi="Times New Roman"/>
          <w:b w:val="false"/>
          <w:bCs w:val="false"/>
          <w:i w:val="false"/>
          <w:iCs w:val="false"/>
          <w:sz w:val="20"/>
          <w:szCs w:val="20"/>
        </w:rPr>
        <w:t xml:space="preserve"> mV/K) outweighs the mobility degradation, the temperature-inversion regime familiar from sub-0.8 V CMOS; the effect is strongest for the TMD cell, whose overdrive at 0.5 V is the smallest. The price is leakage: the inverter static power rises by 128</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(Si), 159</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(TMD) and 39</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(CNT) between 27 and 125</w:t>
      </w:r>
      <w:r>
        <w:rPr>
          <w:rFonts w:ascii="Times New Roman" w:cs="Times New Roman" w:eastAsia="Times New Roman" w:hAnsi="Times New Roman"/>
          <w:b w:val="false"/>
          <w:bCs w:val="false"/>
          <w:i/>
          <w:iCs/>
          <w:sz w:val="20"/>
          <w:szCs w:val="20"/>
          <w:vertAlign w:val="superscript"/>
        </w:rPr>
        <w:t xml:space="preserve">°</w:t>
      </w:r>
      <w:r>
        <w:rPr>
          <w:rFonts w:ascii="Times New Roman" w:cs="Times New Roman" w:eastAsia="Times New Roman" w:hAnsi="Times New Roman"/>
          <w:b w:val="false"/>
          <w:bCs w:val="false"/>
          <w:i w:val="false"/>
          <w:iCs w:val="false"/>
          <w:sz w:val="20"/>
          <w:szCs w:val="20"/>
        </w:rPr>
        <w:t xml:space="preserve">C, driven by the </w:t>
      </w:r>
      <w:r>
        <w:rPr>
          <w:rFonts w:ascii="Times New Roman" w:cs="Times New Roman" w:eastAsia="Times New Roman" w:hAnsi="Times New Roman"/>
          <w:b w:val="false"/>
          <w:bCs w:val="false"/>
          <w:i/>
          <w:iCs/>
          <w:sz w:val="20"/>
          <w:szCs w:val="20"/>
        </w:rPr>
        <w:t xml:space="preserve">nV</w:t>
      </w:r>
      <w:r>
        <w:rPr>
          <w:rFonts w:ascii="Times New Roman" w:cs="Times New Roman" w:eastAsia="Times New Roman" w:hAnsi="Times New Roman"/>
          <w:b w:val="false"/>
          <w:bCs w:val="false"/>
          <w:i/>
          <w:iCs/>
          <w:sz w:val="20"/>
          <w:szCs w:val="20"/>
          <w:vertAlign w:val="subscript"/>
        </w:rPr>
        <w:t xml:space="preserve">T</w:t>
      </w:r>
      <w:r>
        <w:rPr>
          <w:rFonts w:ascii="Times New Roman" w:cs="Times New Roman" w:eastAsia="Times New Roman" w:hAnsi="Times New Roman"/>
          <w:b w:val="false"/>
          <w:bCs w:val="false"/>
          <w:i w:val="false"/>
          <w:iCs w:val="false"/>
          <w:sz w:val="20"/>
          <w:szCs w:val="20"/>
        </w:rPr>
        <w:t xml:space="preserve"> subthreshold slope and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iCs/>
          <w:sz w:val="20"/>
          <w:szCs w:val="20"/>
          <w:vertAlign w:val="subscript"/>
        </w:rPr>
        <w:t xml:space="preserve">VTH</w:t>
      </w:r>
      <w:r>
        <w:rPr>
          <w:rFonts w:ascii="Times New Roman" w:cs="Times New Roman" w:eastAsia="Times New Roman" w:hAnsi="Times New Roman"/>
          <w:b w:val="false"/>
          <w:bCs w:val="false"/>
          <w:i w:val="false"/>
          <w:iCs w:val="false"/>
          <w:sz w:val="20"/>
          <w:szCs w:val="20"/>
        </w:rPr>
        <w:t xml:space="preserve">. The GaN platform, extended to 200</w:t>
      </w:r>
      <w:r>
        <w:rPr>
          <w:rFonts w:ascii="Times New Roman" w:cs="Times New Roman" w:eastAsia="Times New Roman" w:hAnsi="Times New Roman"/>
          <w:b w:val="false"/>
          <w:bCs w:val="false"/>
          <w:i/>
          <w:iCs/>
          <w:sz w:val="20"/>
          <w:szCs w:val="20"/>
          <w:vertAlign w:val="superscript"/>
        </w:rPr>
        <w:t xml:space="preserve">°</w:t>
      </w:r>
      <w:r>
        <w:rPr>
          <w:rFonts w:ascii="Times New Roman" w:cs="Times New Roman" w:eastAsia="Times New Roman" w:hAnsi="Times New Roman"/>
          <w:b w:val="false"/>
          <w:bCs w:val="false"/>
          <w:i w:val="false"/>
          <w:iCs w:val="false"/>
          <w:sz w:val="20"/>
          <w:szCs w:val="20"/>
        </w:rPr>
        <w:t xml:space="preserve">C, keeps 1.10</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its room-temperature frequency and both inverter noise margins stay above </w:t>
      </w:r>
      <w:r>
        <w:rPr>
          <w:rFonts w:ascii="Times New Roman" w:cs="Times New Roman" w:eastAsia="Times New Roman" w:hAnsi="Times New Roman"/>
          <w:b w:val="false"/>
          <w:bCs w:val="false"/>
          <w:i w:val="false"/>
          <w:iCs w:val="false"/>
          <w:sz w:val="20"/>
          <w:szCs w:val="20"/>
        </w:rPr>
        <w:t xml:space="preserve">0.1</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val="false"/>
          <w:iCs w:val="false"/>
          <w:sz w:val="20"/>
          <w:szCs w:val="20"/>
        </w:rPr>
        <w:t xml:space="preserve"> with a gain above 10 up to 150</w:t>
      </w:r>
      <w:r>
        <w:rPr>
          <w:rFonts w:ascii="Times New Roman" w:cs="Times New Roman" w:eastAsia="Times New Roman" w:hAnsi="Times New Roman"/>
          <w:b w:val="false"/>
          <w:bCs w:val="false"/>
          <w:i/>
          <w:iCs/>
          <w:sz w:val="20"/>
          <w:szCs w:val="20"/>
          <w:vertAlign w:val="superscript"/>
        </w:rPr>
        <w:t xml:space="preserve">°</w:t>
      </w:r>
      <w:r>
        <w:rPr>
          <w:rFonts w:ascii="Times New Roman" w:cs="Times New Roman" w:eastAsia="Times New Roman" w:hAnsi="Times New Roman"/>
          <w:b w:val="false"/>
          <w:bCs w:val="false"/>
          <w:i w:val="false"/>
          <w:iCs w:val="false"/>
          <w:sz w:val="20"/>
          <w:szCs w:val="20"/>
        </w:rPr>
        <w:t xml:space="preserve">C; at 200</w:t>
      </w:r>
      <w:r>
        <w:rPr>
          <w:rFonts w:ascii="Times New Roman" w:cs="Times New Roman" w:eastAsia="Times New Roman" w:hAnsi="Times New Roman"/>
          <w:b w:val="false"/>
          <w:bCs w:val="false"/>
          <w:i/>
          <w:iCs/>
          <w:sz w:val="20"/>
          <w:szCs w:val="20"/>
          <w:vertAlign w:val="superscript"/>
        </w:rPr>
        <w:t xml:space="preserve">°</w:t>
      </w:r>
      <w:r>
        <w:rPr>
          <w:rFonts w:ascii="Times New Roman" w:cs="Times New Roman" w:eastAsia="Times New Roman" w:hAnsi="Times New Roman"/>
          <w:b w:val="false"/>
          <w:bCs w:val="false"/>
          <w:i w:val="false"/>
          <w:iCs w:val="false"/>
          <w:sz w:val="20"/>
          <w:szCs w:val="20"/>
        </w:rPr>
        <w:t xml:space="preserve">C the low noise margin of the GaN inverter collapses to </w:t>
      </w:r>
      <w:r>
        <w:rPr>
          <w:rFonts w:ascii="Times New Roman" w:cs="Times New Roman" w:eastAsia="Times New Roman" w:hAnsi="Times New Roman"/>
          <w:b w:val="false"/>
          <w:bCs w:val="false"/>
          <w:i w:val="false"/>
          <w:iCs w:val="false"/>
          <w:sz w:val="20"/>
          <w:szCs w:val="20"/>
        </w:rPr>
        <w:t xml:space="preserve">0.07</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val="false"/>
          <w:iCs w:val="false"/>
          <w:sz w:val="20"/>
          <w:szCs w:val="20"/>
        </w:rPr>
        <w:t xml:space="preserve"> and the static power reaches 2169.7 nW per inverter, because the projected p-GaN device combines an 86 mV/dec slope with a </w:t>
      </w:r>
      <w:r>
        <w:rPr>
          <w:rFonts w:ascii="Times New Roman" w:cs="Times New Roman" w:eastAsia="Times New Roman" w:hAnsi="Times New Roman"/>
          <w:b w:val="false"/>
          <w:bCs w:val="false"/>
          <w:i w:val="false"/>
          <w:iCs w:val="false"/>
          <w:sz w:val="20"/>
          <w:szCs w:val="20"/>
        </w:rPr>
        <w:t xml:space="preserve">-2</w:t>
      </w:r>
      <w:r>
        <w:rPr>
          <w:rFonts w:ascii="Times New Roman" w:cs="Times New Roman" w:eastAsia="Times New Roman" w:hAnsi="Times New Roman"/>
          <w:b w:val="false"/>
          <w:bCs w:val="false"/>
          <w:i w:val="false"/>
          <w:iCs w:val="false"/>
          <w:sz w:val="20"/>
          <w:szCs w:val="20"/>
        </w:rPr>
        <w:t xml:space="preserve"> mV/K threshold shift. Two model limitations must be kept in mind when reading Fig. 11: the only leakage mechanism in UCM-CFET is subthreshold conduction, so the junction and generation leakage that penalises Si (and that a wide-band-gap channel suppresses) is absent, which makes the comparison conservative for GaN; and the saturation velocity is temperature independent, so the high-temperature speed-up of all platforms is an upper bound. Within these limits the GaN high-temperature case rests on the n-channel device: the p-GaN tier is the component that must improve for GaN CFET logic to hold its margin above 150</w:t>
      </w:r>
      <w:r>
        <w:rPr>
          <w:rFonts w:ascii="Times New Roman" w:cs="Times New Roman" w:eastAsia="Times New Roman" w:hAnsi="Times New Roman"/>
          <w:b w:val="false"/>
          <w:bCs w:val="false"/>
          <w:i/>
          <w:iCs/>
          <w:sz w:val="20"/>
          <w:szCs w:val="20"/>
          <w:vertAlign w:val="superscript"/>
        </w:rPr>
        <w:t xml:space="preserve">°</w:t>
      </w:r>
      <w:r>
        <w:rPr>
          <w:rFonts w:ascii="Times New Roman" w:cs="Times New Roman" w:eastAsia="Times New Roman" w:hAnsi="Times New Roman"/>
          <w:b w:val="false"/>
          <w:bCs w:val="false"/>
          <w:i w:val="false"/>
          <w:iCs w:val="false"/>
          <w:sz w:val="20"/>
          <w:szCs w:val="20"/>
        </w:rPr>
        <w:t xml:space="preserve">C.</w:t>
      </w:r>
    </w:p>
    <w:p>
      <w:pPr>
        <w:pStyle w:val="Heading2"/>
        <w:keepNext/>
        <w:spacing w:after="80" w:before="160"/>
      </w:pPr>
      <w:r>
        <w:rPr>
          <w:rFonts w:ascii="Times New Roman" w:cs="Times New Roman" w:eastAsia="Times New Roman" w:hAnsi="Times New Roman"/>
          <w:i/>
          <w:iCs/>
          <w:sz w:val="20"/>
          <w:szCs w:val="20"/>
        </w:rPr>
        <w:t xml:space="preserve">I. </w:t>
      </w:r>
      <w:r>
        <w:rPr>
          <w:rFonts w:ascii="Times New Roman" w:cs="Times New Roman" w:eastAsia="Times New Roman" w:hAnsi="Times New Roman"/>
          <w:b w:val="false"/>
          <w:bCs w:val="false"/>
          <w:i/>
          <w:iCs/>
          <w:sz w:val="20"/>
          <w:szCs w:val="20"/>
        </w:rPr>
        <w:t xml:space="preserve">Material-specific sensitivity</w:t>
      </w:r>
    </w:p>
    <w:p>
      <w:pPr>
        <w:sectPr>
          <w:type w:val="continuous"/>
          <w:pgSz w:w="11906" w:h="16838" w:orient="portrait"/>
          <w:pgMar w:top="1080" w:right="900" w:bottom="1080" w:left="900" w:header="708" w:footer="708" w:gutter="0"/>
          <w:pgNumType/>
          <w:cols w:space="360" w:num="2" w:equalWidth="true"/>
          <w:docGrid w:linePitch="360"/>
        </w:sectPr>
      </w:pPr>
    </w:p>
    <w:p>
      <w:pPr>
        <w:spacing w:after="60" w:before="60"/>
        <w:jc w:val="center"/>
      </w:pPr>
      <w:r>
        <w:drawing>
          <wp:inline distT="0" distB="0" distL="0" distR="0">
            <wp:extent cx="66294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629400" cy="20859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12. </w:t>
      </w:r>
      <w:r>
        <w:rPr>
          <w:rFonts w:ascii="Times New Roman" w:cs="Times New Roman" w:eastAsia="Times New Roman" w:hAnsi="Times New Roman"/>
          <w:b w:val="false"/>
          <w:bCs w:val="false"/>
          <w:i w:val="false"/>
          <w:iCs w:val="false"/>
          <w:sz w:val="16"/>
          <w:szCs w:val="16"/>
        </w:rPr>
        <w:t xml:space="preserve">Si/SiGe study: 5-stage </w:t>
      </w:r>
      <w:r>
        <w:rPr>
          <w:rFonts w:ascii="Times New Roman" w:cs="Times New Roman" w:eastAsia="Times New Roman" w:hAnsi="Times New Roman"/>
          <w:b w:val="false"/>
          <w:bCs w:val="false"/>
          <w:i/>
          <w:iCs/>
          <w:sz w:val="16"/>
          <w:szCs w:val="16"/>
        </w:rPr>
        <w:t xml:space="preserve">f</w:t>
      </w:r>
      <w:r>
        <w:rPr>
          <w:rFonts w:ascii="Times New Roman" w:cs="Times New Roman" w:eastAsia="Times New Roman" w:hAnsi="Times New Roman"/>
          <w:b w:val="false"/>
          <w:bCs w:val="false"/>
          <w:i/>
          <w:iCs/>
          <w:sz w:val="16"/>
          <w:szCs w:val="16"/>
          <w:vertAlign w:val="subscript"/>
        </w:rPr>
        <w:t xml:space="preserve">RO</w:t>
      </w:r>
      <w:r>
        <w:rPr>
          <w:rFonts w:ascii="Times New Roman" w:cs="Times New Roman" w:eastAsia="Times New Roman" w:hAnsi="Times New Roman"/>
          <w:b w:val="false"/>
          <w:bCs w:val="false"/>
          <w:i w:val="false"/>
          <w:iCs w:val="false"/>
          <w:sz w:val="16"/>
          <w:szCs w:val="16"/>
        </w:rPr>
        <w:t xml:space="preserve"> and </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M</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DD</w:t>
      </w:r>
      <w:r>
        <w:rPr>
          <w:rFonts w:ascii="Times New Roman" w:cs="Times New Roman" w:eastAsia="Times New Roman" w:hAnsi="Times New Roman"/>
          <w:b w:val="false"/>
          <w:bCs w:val="false"/>
          <w:i w:val="false"/>
          <w:iCs w:val="false"/>
          <w:sz w:val="16"/>
          <w:szCs w:val="16"/>
        </w:rPr>
        <w:t xml:space="preserve"> vs. the number of nanosheets in the n- and p-tier for (a) CFET-Si and (b) CFET-SiGe; (c) effect of the SiGe/Si hole-mobility ratio on the rise/fall delay mismatch, </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M</w:t>
      </w:r>
      <w:r>
        <w:rPr>
          <w:rFonts w:ascii="Times New Roman" w:cs="Times New Roman" w:eastAsia="Times New Roman" w:hAnsi="Times New Roman"/>
          <w:b w:val="false"/>
          <w:bCs w:val="false"/>
          <w:i w:val="false"/>
          <w:iCs w:val="false"/>
          <w:sz w:val="16"/>
          <w:szCs w:val="16"/>
        </w:rPr>
        <w:t xml:space="preserve"> and </w:t>
      </w:r>
      <w:r>
        <w:rPr>
          <w:rFonts w:ascii="Times New Roman" w:cs="Times New Roman" w:eastAsia="Times New Roman" w:hAnsi="Times New Roman"/>
          <w:b w:val="false"/>
          <w:bCs w:val="false"/>
          <w:i/>
          <w:iCs/>
          <w:sz w:val="16"/>
          <w:szCs w:val="16"/>
        </w:rPr>
        <w:t xml:space="preserve">f</w:t>
      </w:r>
      <w:r>
        <w:rPr>
          <w:rFonts w:ascii="Times New Roman" w:cs="Times New Roman" w:eastAsia="Times New Roman" w:hAnsi="Times New Roman"/>
          <w:b w:val="false"/>
          <w:bCs w:val="false"/>
          <w:i/>
          <w:iCs/>
          <w:sz w:val="16"/>
          <w:szCs w:val="16"/>
          <w:vertAlign w:val="subscript"/>
        </w:rPr>
        <w:t xml:space="preserve">RO</w:t>
      </w:r>
      <w:r>
        <w:rPr>
          <w:rFonts w:ascii="Times New Roman" w:cs="Times New Roman" w:eastAsia="Times New Roman" w:hAnsi="Times New Roman"/>
          <w:b w:val="false"/>
          <w:bCs w:val="false"/>
          <w:i w:val="false"/>
          <w:iCs w:val="false"/>
          <w:sz w:val="16"/>
          <w:szCs w:val="16"/>
        </w:rPr>
        <w:t xml:space="preserve">.</w:t>
      </w:r>
    </w:p>
    <w:p>
      <w:pPr>
        <w:sectPr>
          <w:type w:val="continuous"/>
          <w:pgSz w:w="11906" w:h="16838" w:orient="portrait"/>
          <w:pgMar w:top="1080" w:right="900" w:bottom="1080" w:left="900" w:header="708" w:footer="708" w:gutter="0"/>
          <w:pgNumType/>
          <w:cols w:num="1"/>
          <w:docGrid w:linePitch="360"/>
        </w:sectPr>
      </w:pPr>
    </w:p>
    <w:p>
      <w:pPr>
        <w:spacing w:after="60" w:before="60"/>
        <w:jc w:val="center"/>
      </w:pPr>
      <w:r>
        <w:drawing>
          <wp:inline distT="0" distB="0" distL="0" distR="0">
            <wp:extent cx="66294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629400" cy="20859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13. </w:t>
      </w:r>
      <w:r>
        <w:rPr>
          <w:rFonts w:ascii="Times New Roman" w:cs="Times New Roman" w:eastAsia="Times New Roman" w:hAnsi="Times New Roman"/>
          <w:b w:val="false"/>
          <w:bCs w:val="false"/>
          <w:i w:val="false"/>
          <w:iCs w:val="false"/>
          <w:sz w:val="16"/>
          <w:szCs w:val="16"/>
        </w:rPr>
        <w:t xml:space="preserve">TMD study: (a) iso-frequency energy-per-cycle ratio </w:t>
      </w:r>
      <w:r>
        <w:rPr>
          <w:rFonts w:ascii="Times New Roman" w:cs="Times New Roman" w:eastAsia="Times New Roman" w:hAnsi="Times New Roman"/>
          <w:b w:val="false"/>
          <w:bCs w:val="false"/>
          <w:i/>
          <w:iCs/>
          <w:sz w:val="16"/>
          <w:szCs w:val="16"/>
        </w:rPr>
        <w:t xml:space="preserve">E</w:t>
      </w:r>
      <w:r>
        <w:rPr>
          <w:rFonts w:ascii="Times New Roman" w:cs="Times New Roman" w:eastAsia="Times New Roman" w:hAnsi="Times New Roman"/>
          <w:b w:val="false"/>
          <w:bCs w:val="false"/>
          <w:i/>
          <w:iCs/>
          <w:sz w:val="16"/>
          <w:szCs w:val="16"/>
          <w:vertAlign w:val="subscript"/>
        </w:rPr>
        <w:t xml:space="preserve">TMD</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E</w:t>
      </w:r>
      <w:r>
        <w:rPr>
          <w:rFonts w:ascii="Times New Roman" w:cs="Times New Roman" w:eastAsia="Times New Roman" w:hAnsi="Times New Roman"/>
          <w:b w:val="false"/>
          <w:bCs w:val="false"/>
          <w:i/>
          <w:iCs/>
          <w:sz w:val="16"/>
          <w:szCs w:val="16"/>
          <w:vertAlign w:val="subscript"/>
        </w:rPr>
        <w:t xml:space="preserve">Si</w:t>
      </w:r>
      <w:r>
        <w:rPr>
          <w:rFonts w:ascii="Times New Roman" w:cs="Times New Roman" w:eastAsia="Times New Roman" w:hAnsi="Times New Roman"/>
          <w:b w:val="false"/>
          <w:bCs w:val="false"/>
          <w:i w:val="false"/>
          <w:iCs w:val="false"/>
          <w:sz w:val="16"/>
          <w:szCs w:val="16"/>
        </w:rPr>
        <w:t xml:space="preserve"> vs. the n- and p-contact resistance (the Si energy is interpolated at the TMD frequency from the Si </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DD</w:t>
      </w:r>
      <w:r>
        <w:rPr>
          <w:rFonts w:ascii="Times New Roman" w:cs="Times New Roman" w:eastAsia="Times New Roman" w:hAnsi="Times New Roman"/>
          <w:b w:val="false"/>
          <w:bCs w:val="false"/>
          <w:i w:val="false"/>
          <w:iCs w:val="false"/>
          <w:sz w:val="16"/>
          <w:szCs w:val="16"/>
        </w:rPr>
        <w:t xml:space="preserve"> sweep extended to 0.3 V); (b) </w:t>
      </w:r>
      <w:r>
        <w:rPr>
          <w:rFonts w:ascii="Times New Roman" w:cs="Times New Roman" w:eastAsia="Times New Roman" w:hAnsi="Times New Roman"/>
          <w:b w:val="false"/>
          <w:bCs w:val="false"/>
          <w:i/>
          <w:iCs/>
          <w:sz w:val="16"/>
          <w:szCs w:val="16"/>
        </w:rPr>
        <w:t xml:space="preserve">f</w:t>
      </w:r>
      <w:r>
        <w:rPr>
          <w:rFonts w:ascii="Times New Roman" w:cs="Times New Roman" w:eastAsia="Times New Roman" w:hAnsi="Times New Roman"/>
          <w:b w:val="false"/>
          <w:bCs w:val="false"/>
          <w:i/>
          <w:iCs/>
          <w:sz w:val="16"/>
          <w:szCs w:val="16"/>
          <w:vertAlign w:val="subscript"/>
        </w:rPr>
        <w:t xml:space="preserve">RO</w:t>
      </w:r>
      <w:r>
        <w:rPr>
          <w:rFonts w:ascii="Times New Roman" w:cs="Times New Roman" w:eastAsia="Times New Roman" w:hAnsi="Times New Roman"/>
          <w:b w:val="false"/>
          <w:bCs w:val="false"/>
          <w:i w:val="false"/>
          <w:iCs w:val="false"/>
          <w:sz w:val="16"/>
          <w:szCs w:val="16"/>
        </w:rPr>
        <w:t xml:space="preserve"> vs. </w:t>
      </w:r>
      <w:r>
        <w:rPr>
          <w:rFonts w:ascii="Times New Roman" w:cs="Times New Roman" w:eastAsia="Times New Roman" w:hAnsi="Times New Roman"/>
          <w:b w:val="false"/>
          <w:bCs w:val="false"/>
          <w:i/>
          <w:iCs/>
          <w:sz w:val="16"/>
          <w:szCs w:val="16"/>
        </w:rPr>
        <w:t xml:space="preserve">R</w:t>
      </w:r>
      <w:r>
        <w:rPr>
          <w:rFonts w:ascii="Times New Roman" w:cs="Times New Roman" w:eastAsia="Times New Roman" w:hAnsi="Times New Roman"/>
          <w:b w:val="false"/>
          <w:bCs w:val="false"/>
          <w:i/>
          <w:iCs/>
          <w:sz w:val="16"/>
          <w:szCs w:val="16"/>
          <w:vertAlign w:val="subscript"/>
        </w:rPr>
        <w:t xml:space="preserve">C,n</w:t>
      </w:r>
      <w:r>
        <w:rPr>
          <w:rFonts w:ascii="Times New Roman" w:cs="Times New Roman" w:eastAsia="Times New Roman" w:hAnsi="Times New Roman"/>
          <w:b w:val="false"/>
          <w:bCs w:val="false"/>
          <w:i w:val="false"/>
          <w:iCs w:val="false"/>
          <w:sz w:val="16"/>
          <w:szCs w:val="16"/>
        </w:rPr>
        <w:t xml:space="preserve">; (c) effect of the interface trap density.</w:t>
      </w:r>
    </w:p>
    <w:p>
      <w:pPr>
        <w:sectPr>
          <w:type w:val="continuous"/>
          <w:pgSz w:w="11906" w:h="16838" w:orient="portrait"/>
          <w:pgMar w:top="1080" w:right="900" w:bottom="1080" w:left="900" w:header="708" w:footer="708" w:gutter="0"/>
          <w:pgNumType/>
          <w:cols w:num="1"/>
          <w:docGrid w:linePitch="360"/>
        </w:sectPr>
      </w:pPr>
    </w:p>
    <w:p>
      <w:pPr>
        <w:spacing w:after="60" w:before="60"/>
        <w:jc w:val="center"/>
      </w:pPr>
      <w:r>
        <w:drawing>
          <wp:inline distT="0" distB="0" distL="0" distR="0">
            <wp:extent cx="66294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629400" cy="2076450"/>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14. </w:t>
      </w:r>
      <w:r>
        <w:rPr>
          <w:rFonts w:ascii="Times New Roman" w:cs="Times New Roman" w:eastAsia="Times New Roman" w:hAnsi="Times New Roman"/>
          <w:b w:val="false"/>
          <w:bCs w:val="false"/>
          <w:i w:val="false"/>
          <w:iCs w:val="false"/>
          <w:sz w:val="16"/>
          <w:szCs w:val="16"/>
        </w:rPr>
        <w:t xml:space="preserve">CNT study: normalised </w:t>
      </w:r>
      <w:r>
        <w:rPr>
          <w:rFonts w:ascii="Times New Roman" w:cs="Times New Roman" w:eastAsia="Times New Roman" w:hAnsi="Times New Roman"/>
          <w:b w:val="false"/>
          <w:bCs w:val="false"/>
          <w:i/>
          <w:iCs/>
          <w:sz w:val="16"/>
          <w:szCs w:val="16"/>
        </w:rPr>
        <w:t xml:space="preserve">f</w:t>
      </w:r>
      <w:r>
        <w:rPr>
          <w:rFonts w:ascii="Times New Roman" w:cs="Times New Roman" w:eastAsia="Times New Roman" w:hAnsi="Times New Roman"/>
          <w:b w:val="false"/>
          <w:bCs w:val="false"/>
          <w:i/>
          <w:iCs/>
          <w:sz w:val="16"/>
          <w:szCs w:val="16"/>
          <w:vertAlign w:val="subscript"/>
        </w:rPr>
        <w:t xml:space="preserve">RO</w:t>
      </w:r>
      <w:r>
        <w:rPr>
          <w:rFonts w:ascii="Times New Roman" w:cs="Times New Roman" w:eastAsia="Times New Roman" w:hAnsi="Times New Roman"/>
          <w:b w:val="false"/>
          <w:bCs w:val="false"/>
          <w:i w:val="false"/>
          <w:iCs w:val="false"/>
          <w:sz w:val="16"/>
          <w:szCs w:val="16"/>
        </w:rPr>
        <w:t xml:space="preserve"> and PDP (left axes) and inverter static power (right axes) vs. (a) tube density, (b) metallic-tube fraction, (c) contact resistance.</w:t>
      </w:r>
    </w:p>
    <w:p>
      <w:pPr>
        <w:sectPr>
          <w:type w:val="continuous"/>
          <w:pgSz w:w="11906" w:h="16838" w:orient="portrait"/>
          <w:pgMar w:top="1080" w:right="900" w:bottom="1080" w:left="900" w:header="708" w:footer="708" w:gutter="0"/>
          <w:pgNumType/>
          <w:cols w:num="1"/>
          <w:docGrid w:linePitch="360"/>
        </w:sectPr>
      </w:pPr>
    </w:p>
    <w:p>
      <w:pPr>
        <w:spacing w:after="60" w:before="60"/>
        <w:jc w:val="center"/>
      </w:pPr>
      <w:r>
        <w:drawing>
          <wp:inline distT="0" distB="0" distL="0" distR="0">
            <wp:extent cx="66294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629400" cy="20859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15. </w:t>
      </w:r>
      <w:r>
        <w:rPr>
          <w:rFonts w:ascii="Times New Roman" w:cs="Times New Roman" w:eastAsia="Times New Roman" w:hAnsi="Times New Roman"/>
          <w:b w:val="false"/>
          <w:bCs w:val="false"/>
          <w:i w:val="false"/>
          <w:iCs w:val="false"/>
          <w:sz w:val="16"/>
          <w:szCs w:val="16"/>
        </w:rPr>
        <w:t xml:space="preserve">GaN study: (a) </w:t>
      </w:r>
      <w:r>
        <w:rPr>
          <w:rFonts w:ascii="Times New Roman" w:cs="Times New Roman" w:eastAsia="Times New Roman" w:hAnsi="Times New Roman"/>
          <w:b w:val="false"/>
          <w:bCs w:val="false"/>
          <w:i/>
          <w:iCs/>
          <w:sz w:val="16"/>
          <w:szCs w:val="16"/>
        </w:rPr>
        <w:t xml:space="preserve">f</w:t>
      </w:r>
      <w:r>
        <w:rPr>
          <w:rFonts w:ascii="Times New Roman" w:cs="Times New Roman" w:eastAsia="Times New Roman" w:hAnsi="Times New Roman"/>
          <w:b w:val="false"/>
          <w:bCs w:val="false"/>
          <w:i/>
          <w:iCs/>
          <w:sz w:val="16"/>
          <w:szCs w:val="16"/>
          <w:vertAlign w:val="subscript"/>
        </w:rPr>
        <w:t xml:space="preserve">RO</w:t>
      </w:r>
      <w:r>
        <w:rPr>
          <w:rFonts w:ascii="Times New Roman" w:cs="Times New Roman" w:eastAsia="Times New Roman" w:hAnsi="Times New Roman"/>
          <w:b w:val="false"/>
          <w:bCs w:val="false"/>
          <w:i w:val="false"/>
          <w:iCs w:val="false"/>
          <w:sz w:val="16"/>
          <w:szCs w:val="16"/>
        </w:rPr>
        <w:t xml:space="preserve"> and static power of CFET-GaN and CFET-Si from 300 to 500 K; (b) self-heating delay penalty vs. thermal resistance at three temperatures; (c) </w:t>
      </w:r>
      <w:r>
        <w:rPr>
          <w:rFonts w:ascii="Times New Roman" w:cs="Times New Roman" w:eastAsia="Times New Roman" w:hAnsi="Times New Roman"/>
          <w:b w:val="false"/>
          <w:bCs w:val="false"/>
          <w:i/>
          <w:iCs/>
          <w:sz w:val="16"/>
          <w:szCs w:val="16"/>
        </w:rPr>
        <w:t xml:space="preserve">f</w:t>
      </w:r>
      <w:r>
        <w:rPr>
          <w:rFonts w:ascii="Times New Roman" w:cs="Times New Roman" w:eastAsia="Times New Roman" w:hAnsi="Times New Roman"/>
          <w:b w:val="false"/>
          <w:bCs w:val="false"/>
          <w:i/>
          <w:iCs/>
          <w:sz w:val="16"/>
          <w:szCs w:val="16"/>
          <w:vertAlign w:val="subscript"/>
        </w:rPr>
        <w:t xml:space="preserve">RO</w:t>
      </w:r>
      <w:r>
        <w:rPr>
          <w:rFonts w:ascii="Times New Roman" w:cs="Times New Roman" w:eastAsia="Times New Roman" w:hAnsi="Times New Roman"/>
          <w:b w:val="false"/>
          <w:bCs w:val="false"/>
          <w:i w:val="false"/>
          <w:iCs w:val="false"/>
          <w:sz w:val="16"/>
          <w:szCs w:val="16"/>
        </w:rPr>
        <w:t xml:space="preserve"> vs. common and skewed threshold-voltage shifts.</w:t>
      </w:r>
    </w:p>
    <w:p>
      <w:pPr>
        <w:sectPr>
          <w:type w:val="continuous"/>
          <w:pgSz w:w="11906" w:h="16838" w:orient="portrait"/>
          <w:pgMar w:top="1080" w:right="900" w:bottom="1080" w:left="900" w:header="708" w:footer="708" w:gutter="0"/>
          <w:pgNumType/>
          <w:cols w:num="1"/>
          <w:docGrid w:linePitch="360"/>
        </w:sectPr>
      </w:pPr>
    </w:p>
    <w:p>
      <w:pPr>
        <w:pStyle w:val="Heading3"/>
        <w:keepNext/>
        <w:spacing w:after="40" w:before="100"/>
      </w:pPr>
      <w:r>
        <w:rPr>
          <w:rFonts w:ascii="Times New Roman" w:cs="Times New Roman" w:eastAsia="Times New Roman" w:hAnsi="Times New Roman"/>
          <w:i/>
          <w:iCs/>
          <w:sz w:val="20"/>
          <w:szCs w:val="20"/>
        </w:rPr>
        <w:t xml:space="preserve">1) </w:t>
      </w:r>
      <w:r>
        <w:rPr>
          <w:rFonts w:ascii="Times New Roman" w:cs="Times New Roman" w:eastAsia="Times New Roman" w:hAnsi="Times New Roman"/>
          <w:b w:val="false"/>
          <w:bCs w:val="false"/>
          <w:i/>
          <w:iCs/>
          <w:sz w:val="20"/>
          <w:szCs w:val="20"/>
        </w:rPr>
        <w:t xml:space="preserve">Si and SiGe</w:t>
      </w:r>
      <w:r>
        <w:rPr>
          <w:rFonts w:ascii="Times New Roman" w:cs="Times New Roman" w:eastAsia="Times New Roman" w:hAnsi="Times New Roman"/>
          <w:sz w:val="20"/>
          <w:szCs w:val="20"/>
        </w:rPr>
        <w:t xml:space="preserve">:</w:t>
      </w: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Fig. 12a maps the Si RO frequency over the number of nanosheets in each tier. Adding sheets to both tiers raises the drive current and the gate charge in the same proportion, so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iCs/>
          <w:sz w:val="20"/>
          <w:szCs w:val="20"/>
          <w:vertAlign w:val="subscript"/>
        </w:rPr>
        <w:t xml:space="preserve">RO</w:t>
      </w:r>
      <w:r>
        <w:rPr>
          <w:rFonts w:ascii="Times New Roman" w:cs="Times New Roman" w:eastAsia="Times New Roman" w:hAnsi="Times New Roman"/>
          <w:b w:val="false"/>
          <w:bCs w:val="false"/>
          <w:i w:val="false"/>
          <w:iCs w:val="false"/>
          <w:sz w:val="20"/>
          <w:szCs w:val="20"/>
        </w:rPr>
        <w:t xml:space="preserve"> moves only from 16.4 to 22.7 GHz between </w:t>
      </w:r>
      <w:r>
        <w:rPr>
          <w:rFonts w:ascii="Times New Roman" w:cs="Times New Roman" w:eastAsia="Times New Roman" w:hAnsi="Times New Roman"/>
          <w:b w:val="false"/>
          <w:bCs w:val="false"/>
          <w:i w:val="false"/>
          <w:iCs w:val="false"/>
          <w:sz w:val="20"/>
          <w:szCs w:val="20"/>
        </w:rPr>
        <w:t xml:space="preserve">2\</w:t>
      </w:r>
      <w:r>
        <w:rPr>
          <w:rFonts w:ascii="Times New Roman" w:cs="Times New Roman" w:eastAsia="Times New Roman" w:hAnsi="Times New Roman"/>
          <w:b w:val="false"/>
          <w:bCs w:val="false"/>
          <w:i/>
          <w:iCs/>
          <w:sz w:val="20"/>
          <w:szCs w:val="20"/>
        </w:rPr>
        <w:t xml:space="preserve">times</w:t>
      </w:r>
      <w:r>
        <w:rPr>
          <w:rFonts w:ascii="Times New Roman" w:cs="Times New Roman" w:eastAsia="Times New Roman" w:hAnsi="Times New Roman"/>
          <w:b w:val="false"/>
          <w:bCs w:val="false"/>
          <w:i w:val="false"/>
          <w:iCs w:val="false"/>
          <w:sz w:val="20"/>
          <w:szCs w:val="20"/>
        </w:rPr>
        <w:t xml:space="preserve">2</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val="false"/>
          <w:iCs w:val="false"/>
          <w:sz w:val="20"/>
          <w:szCs w:val="20"/>
        </w:rPr>
        <w:t xml:space="preserve">5\</w:t>
      </w:r>
      <w:r>
        <w:rPr>
          <w:rFonts w:ascii="Times New Roman" w:cs="Times New Roman" w:eastAsia="Times New Roman" w:hAnsi="Times New Roman"/>
          <w:b w:val="false"/>
          <w:bCs w:val="false"/>
          <w:i/>
          <w:iCs/>
          <w:sz w:val="20"/>
          <w:szCs w:val="20"/>
        </w:rPr>
        <w:t xml:space="preserve">times</w:t>
      </w:r>
      <w:r>
        <w:rPr>
          <w:rFonts w:ascii="Times New Roman" w:cs="Times New Roman" w:eastAsia="Times New Roman" w:hAnsi="Times New Roman"/>
          <w:b w:val="false"/>
          <w:bCs w:val="false"/>
          <w:i w:val="false"/>
          <w:iCs w:val="false"/>
          <w:sz w:val="20"/>
          <w:szCs w:val="20"/>
        </w:rPr>
        <w:t xml:space="preserve">5</w:t>
      </w:r>
      <w:r>
        <w:rPr>
          <w:rFonts w:ascii="Times New Roman" w:cs="Times New Roman" w:eastAsia="Times New Roman" w:hAnsi="Times New Roman"/>
          <w:b w:val="false"/>
          <w:bCs w:val="false"/>
          <w:i w:val="false"/>
          <w:iCs w:val="false"/>
          <w:sz w:val="20"/>
          <w:szCs w:val="20"/>
        </w:rPr>
        <w:t xml:space="preserve"> sheets while the energy per cycle grows from 1.64 to 3.01 fJ: with the fixed CFET parasitics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iCs/>
          <w:sz w:val="20"/>
          <w:szCs w:val="20"/>
          <w:vertAlign w:val="subscript"/>
        </w:rPr>
        <w:t xml:space="preserve">stack</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iCs/>
          <w:sz w:val="20"/>
          <w:szCs w:val="20"/>
          <w:vertAlign w:val="subscript"/>
        </w:rPr>
        <w:t xml:space="preserve">out</w:t>
      </w:r>
      <w:r>
        <w:rPr>
          <w:rFonts w:ascii="Times New Roman" w:cs="Times New Roman" w:eastAsia="Times New Roman" w:hAnsi="Times New Roman"/>
          <w:b w:val="false"/>
          <w:bCs w:val="false"/>
          <w:i w:val="false"/>
          <w:iCs w:val="false"/>
          <w:sz w:val="20"/>
          <w:szCs w:val="20"/>
        </w:rPr>
        <w:t xml:space="preserve">) the extra sheets buy little speed in a self-loaded ring. The map is asymmetric, because the p-tier is the weaker device: </w:t>
      </w:r>
      <w:r>
        <w:rPr>
          <w:rFonts w:ascii="Times New Roman" w:cs="Times New Roman" w:eastAsia="Times New Roman" w:hAnsi="Times New Roman"/>
          <w:b w:val="false"/>
          <w:bCs w:val="false"/>
          <w:i w:val="false"/>
          <w:iCs w:val="false"/>
          <w:sz w:val="20"/>
          <w:szCs w:val="20"/>
        </w:rPr>
        <w:t xml:space="preserve">2</w:t>
      </w:r>
      <w:r>
        <w:rPr>
          <w:rFonts w:ascii="Times New Roman" w:cs="Times New Roman" w:eastAsia="Times New Roman" w:hAnsi="Times New Roman"/>
          <w:b w:val="false"/>
          <w:bCs w:val="false"/>
          <w:i w:val="false"/>
          <w:iCs w:val="false"/>
          <w:sz w:val="20"/>
          <w:szCs w:val="20"/>
        </w:rPr>
        <w:t xml:space="preserve"> n-sheets with </w:t>
      </w:r>
      <w:r>
        <w:rPr>
          <w:rFonts w:ascii="Times New Roman" w:cs="Times New Roman" w:eastAsia="Times New Roman" w:hAnsi="Times New Roman"/>
          <w:b w:val="false"/>
          <w:bCs w:val="false"/>
          <w:i w:val="false"/>
          <w:iCs w:val="false"/>
          <w:sz w:val="20"/>
          <w:szCs w:val="20"/>
        </w:rPr>
        <w:t xml:space="preserve">5</w:t>
      </w:r>
      <w:r>
        <w:rPr>
          <w:rFonts w:ascii="Times New Roman" w:cs="Times New Roman" w:eastAsia="Times New Roman" w:hAnsi="Times New Roman"/>
          <w:b w:val="false"/>
          <w:bCs w:val="false"/>
          <w:i w:val="false"/>
          <w:iCs w:val="false"/>
          <w:sz w:val="20"/>
          <w:szCs w:val="20"/>
        </w:rPr>
        <w:t xml:space="preserve"> p-sheets gives 18.1 GHz and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M</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0.52, whereas </w:t>
      </w:r>
      <w:r>
        <w:rPr>
          <w:rFonts w:ascii="Times New Roman" w:cs="Times New Roman" w:eastAsia="Times New Roman" w:hAnsi="Times New Roman"/>
          <w:b w:val="false"/>
          <w:bCs w:val="false"/>
          <w:i w:val="false"/>
          <w:iCs w:val="false"/>
          <w:sz w:val="20"/>
          <w:szCs w:val="20"/>
        </w:rPr>
        <w:t xml:space="preserve">5</w:t>
      </w:r>
      <w:r>
        <w:rPr>
          <w:rFonts w:ascii="Times New Roman" w:cs="Times New Roman" w:eastAsia="Times New Roman" w:hAnsi="Times New Roman"/>
          <w:b w:val="false"/>
          <w:bCs w:val="false"/>
          <w:i w:val="false"/>
          <w:iCs w:val="false"/>
          <w:sz w:val="20"/>
          <w:szCs w:val="20"/>
        </w:rPr>
        <w:t xml:space="preserve"> n-sheets with </w:t>
      </w:r>
      <w:r>
        <w:rPr>
          <w:rFonts w:ascii="Times New Roman" w:cs="Times New Roman" w:eastAsia="Times New Roman" w:hAnsi="Times New Roman"/>
          <w:b w:val="false"/>
          <w:bCs w:val="false"/>
          <w:i w:val="false"/>
          <w:iCs w:val="false"/>
          <w:sz w:val="20"/>
          <w:szCs w:val="20"/>
        </w:rPr>
        <w:t xml:space="preserve">2</w:t>
      </w:r>
      <w:r>
        <w:rPr>
          <w:rFonts w:ascii="Times New Roman" w:cs="Times New Roman" w:eastAsia="Times New Roman" w:hAnsi="Times New Roman"/>
          <w:b w:val="false"/>
          <w:bCs w:val="false"/>
          <w:i w:val="false"/>
          <w:iCs w:val="false"/>
          <w:sz w:val="20"/>
          <w:szCs w:val="20"/>
        </w:rPr>
        <w:t xml:space="preserve"> p-sheets gives 16.8 GHz and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M</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0.46. Fig. 12c isolates the SiGe lever: raising the hole mobility from </w:t>
      </w:r>
      <w:r>
        <w:rPr>
          <w:rFonts w:ascii="Times New Roman" w:cs="Times New Roman" w:eastAsia="Times New Roman" w:hAnsi="Times New Roman"/>
          <w:b w:val="false"/>
          <w:bCs w:val="false"/>
          <w:i w:val="false"/>
          <w:iCs w:val="false"/>
          <w:sz w:val="20"/>
          <w:szCs w:val="20"/>
        </w:rPr>
        <w:t xml:space="preserve">1.0</w:t>
      </w:r>
      <w:r>
        <w:rPr>
          <w:rFonts w:ascii="Times New Roman" w:cs="Times New Roman" w:eastAsia="Times New Roman" w:hAnsi="Times New Roman"/>
          <w:b w:val="false"/>
          <w:bCs w:val="false"/>
          <w:i w:val="false"/>
          <w:iCs w:val="false"/>
          <w:sz w:val="20"/>
          <w:szCs w:val="20"/>
        </w:rPr>
        <w:t xml:space="preserve"> to </w:t>
      </w:r>
      <w:r>
        <w:rPr>
          <w:rFonts w:ascii="Times New Roman" w:cs="Times New Roman" w:eastAsia="Times New Roman" w:hAnsi="Times New Roman"/>
          <w:b w:val="false"/>
          <w:bCs w:val="false"/>
          <w:i w:val="false"/>
          <w:iCs w:val="false"/>
          <w:sz w:val="20"/>
          <w:szCs w:val="20"/>
        </w:rPr>
        <w:t xml:space="preserve">2.0×</w:t>
      </w:r>
      <w:r>
        <w:rPr>
          <w:rFonts w:ascii="Times New Roman" w:cs="Times New Roman" w:eastAsia="Times New Roman" w:hAnsi="Times New Roman"/>
          <w:b w:val="false"/>
          <w:bCs w:val="false"/>
          <w:i w:val="false"/>
          <w:iCs w:val="false"/>
          <w:sz w:val="20"/>
          <w:szCs w:val="20"/>
        </w:rPr>
        <w:t xml:space="preserve"> the Si value moves the rise/fall delay ratio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iCs/>
          <w:sz w:val="20"/>
          <w:szCs w:val="20"/>
          <w:vertAlign w:val="subscript"/>
        </w:rPr>
        <w:t xml:space="preserve">pLH</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iCs/>
          <w:sz w:val="20"/>
          <w:szCs w:val="20"/>
          <w:vertAlign w:val="subscript"/>
        </w:rPr>
        <w:t xml:space="preserve">pHL</w:t>
      </w:r>
      <w:r>
        <w:rPr>
          <w:rFonts w:ascii="Times New Roman" w:cs="Times New Roman" w:eastAsia="Times New Roman" w:hAnsi="Times New Roman"/>
          <w:b w:val="false"/>
          <w:bCs w:val="false"/>
          <w:i w:val="false"/>
          <w:iCs w:val="false"/>
          <w:sz w:val="20"/>
          <w:szCs w:val="20"/>
        </w:rPr>
        <w:t xml:space="preserve"> from 1.18 to 0.95, balances the two transitions at a ratio of 1.64, and increases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iCs/>
          <w:sz w:val="20"/>
          <w:szCs w:val="20"/>
          <w:vertAlign w:val="subscript"/>
        </w:rPr>
        <w:t xml:space="preserve">RO</w:t>
      </w:r>
      <w:r>
        <w:rPr>
          <w:rFonts w:ascii="Times New Roman" w:cs="Times New Roman" w:eastAsia="Times New Roman" w:hAnsi="Times New Roman"/>
          <w:b w:val="false"/>
          <w:bCs w:val="false"/>
          <w:i w:val="false"/>
          <w:iCs w:val="false"/>
          <w:sz w:val="20"/>
          <w:szCs w:val="20"/>
        </w:rPr>
        <w:t xml:space="preserve"> by 22% at constant energy per cycle. The CFET-SiGe cell therefore achieves the p/n balance that a Si CFET can only obtain by giving the top tier more sheets, i.e. by increasing the cell height.</w:t>
      </w:r>
    </w:p>
    <w:p>
      <w:pPr>
        <w:pStyle w:val="Heading3"/>
        <w:keepNext/>
        <w:spacing w:after="40" w:before="100"/>
      </w:pPr>
      <w:r>
        <w:rPr>
          <w:rFonts w:ascii="Times New Roman" w:cs="Times New Roman" w:eastAsia="Times New Roman" w:hAnsi="Times New Roman"/>
          <w:i/>
          <w:iCs/>
          <w:sz w:val="20"/>
          <w:szCs w:val="20"/>
        </w:rPr>
        <w:t xml:space="preserve">2) </w:t>
      </w:r>
      <w:r>
        <w:rPr>
          <w:rFonts w:ascii="Times New Roman" w:cs="Times New Roman" w:eastAsia="Times New Roman" w:hAnsi="Times New Roman"/>
          <w:b w:val="false"/>
          <w:bCs w:val="false"/>
          <w:i/>
          <w:iCs/>
          <w:sz w:val="20"/>
          <w:szCs w:val="20"/>
        </w:rPr>
        <w:t xml:space="preserve">MoS</w:t>
      </w:r>
      <w:r>
        <w:rPr>
          <w:rFonts w:ascii="Times New Roman" w:cs="Times New Roman" w:eastAsia="Times New Roman" w:hAnsi="Times New Roman"/>
          <w:b w:val="false"/>
          <w:bCs w:val="false"/>
          <w:i/>
          <w:iCs/>
          <w:sz w:val="20"/>
          <w:szCs w:val="20"/>
          <w:vertAlign w:val="subscript"/>
        </w:rPr>
        <w:t xml:space="preserve">2</w:t>
      </w:r>
      <w:r>
        <w:rPr>
          <w:rFonts w:ascii="Times New Roman" w:cs="Times New Roman" w:eastAsia="Times New Roman" w:hAnsi="Times New Roman"/>
          <w:b w:val="false"/>
          <w:bCs w:val="false"/>
          <w:i/>
          <w:iCs/>
          <w:sz w:val="20"/>
          <w:szCs w:val="20"/>
        </w:rPr>
        <w:t xml:space="preserve">/WSe</w:t>
      </w:r>
      <w:r>
        <w:rPr>
          <w:rFonts w:ascii="Times New Roman" w:cs="Times New Roman" w:eastAsia="Times New Roman" w:hAnsi="Times New Roman"/>
          <w:b w:val="false"/>
          <w:bCs w:val="false"/>
          <w:i/>
          <w:iCs/>
          <w:sz w:val="20"/>
          <w:szCs w:val="20"/>
          <w:vertAlign w:val="subscript"/>
        </w:rPr>
        <w:t xml:space="preserve">2</w:t>
      </w:r>
      <w:r>
        <w:rPr>
          <w:rFonts w:ascii="Times New Roman" w:cs="Times New Roman" w:eastAsia="Times New Roman" w:hAnsi="Times New Roman"/>
          <w:sz w:val="20"/>
          <w:szCs w:val="20"/>
        </w:rPr>
        <w:t xml:space="preserve">:</w:t>
      </w: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Fig. 13a is the central result of the TMD study. Over the </w:t>
      </w:r>
      <w:r>
        <w:rPr>
          <w:rFonts w:ascii="Times New Roman" w:cs="Times New Roman" w:eastAsia="Times New Roman" w:hAnsi="Times New Roman"/>
          <w:b w:val="false"/>
          <w:bCs w:val="false"/>
          <w:i w:val="false"/>
          <w:iCs w:val="false"/>
          <w:sz w:val="20"/>
          <w:szCs w:val="20"/>
        </w:rPr>
        <w:t xml:space="preserve">0.1</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2</w:t>
      </w:r>
      <w:r>
        <w:rPr>
          <w:rFonts w:ascii="Times New Roman" w:cs="Times New Roman" w:eastAsia="Times New Roman" w:hAnsi="Times New Roman"/>
          <w:b w:val="false"/>
          <w:bCs w:val="false"/>
          <w:i w:val="false"/>
          <w:iCs w:val="false"/>
          <w:sz w:val="20"/>
          <w:szCs w:val="20"/>
        </w:rPr>
        <w:t xml:space="preserve"> k</w:t>
      </w:r>
      <w:r>
        <w:rPr>
          <w:rFonts w:ascii="Times New Roman" w:cs="Times New Roman" w:eastAsia="Times New Roman" w:hAnsi="Times New Roman"/>
          <w:b w:val="false"/>
          <w:bCs w:val="false"/>
          <w:i w:val="false"/>
          <w:iCs w:val="false"/>
          <w:sz w:val="20"/>
          <w:szCs w:val="20"/>
        </w:rPr>
        <w:t xml:space="preserve">Ω·µ</w:t>
      </w:r>
      <w:r>
        <w:rPr>
          <w:rFonts w:ascii="Times New Roman" w:cs="Times New Roman" w:eastAsia="Times New Roman" w:hAnsi="Times New Roman"/>
          <w:b w:val="false"/>
          <w:bCs w:val="false"/>
          <w:i w:val="false"/>
          <w:iCs w:val="false"/>
          <w:sz w:val="20"/>
          <w:szCs w:val="20"/>
        </w:rPr>
        <w:t xml:space="preserve">m contact-resistance grid the TMD RO frequency at 0.5 V spans 1.50–3.99 GHz (Fig. 13b) while its energy per cycle is almost constant (0.67–0.67 fJ), because the switched charge is set by the gate stack and the CFET parasitics, not by the contacts. The comparison that matters for a low-</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val="false"/>
          <w:iCs w:val="false"/>
          <w:sz w:val="20"/>
          <w:szCs w:val="20"/>
        </w:rPr>
        <w:t xml:space="preserve"> platform is therefore made at </w:t>
      </w:r>
      <w:r>
        <w:rPr>
          <w:rFonts w:ascii="Times New Roman" w:cs="Times New Roman" w:eastAsia="Times New Roman" w:hAnsi="Times New Roman"/>
          <w:b w:val="false"/>
          <w:bCs w:val="false"/>
          <w:i/>
          <w:iCs/>
          <w:sz w:val="20"/>
          <w:szCs w:val="20"/>
        </w:rPr>
        <w:t xml:space="preserve">equal frequency</w:t>
      </w:r>
      <w:r>
        <w:rPr>
          <w:rFonts w:ascii="Times New Roman" w:cs="Times New Roman" w:eastAsia="Times New Roman" w:hAnsi="Times New Roman"/>
          <w:b w:val="false"/>
          <w:bCs w:val="false"/>
          <w:i w:val="false"/>
          <w:iCs w:val="false"/>
          <w:sz w:val="20"/>
          <w:szCs w:val="20"/>
        </w:rPr>
        <w:t xml:space="preserve">: the Si RO is run down to 0.4 V and its energy per cycle is interpolated at the frequency of each TMD point. With symmetric contacts the TMD cell consumes less energy than Si only below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iCs/>
          <w:sz w:val="20"/>
          <w:szCs w:val="20"/>
          <w:vertAlign w:val="subscript"/>
        </w:rPr>
        <w:t xml:space="preserve">C,critical</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0.32 k</w:t>
      </w:r>
      <w:r>
        <w:rPr>
          <w:rFonts w:ascii="Times New Roman" w:cs="Times New Roman" w:eastAsia="Times New Roman" w:hAnsi="Times New Roman"/>
          <w:b w:val="false"/>
          <w:bCs w:val="false"/>
          <w:i w:val="false"/>
          <w:iCs w:val="false"/>
          <w:sz w:val="20"/>
          <w:szCs w:val="20"/>
        </w:rPr>
        <w:t xml:space="preserve">Ω·µ</w:t>
      </w:r>
      <w:r>
        <w:rPr>
          <w:rFonts w:ascii="Times New Roman" w:cs="Times New Roman" w:eastAsia="Times New Roman" w:hAnsi="Times New Roman"/>
          <w:b w:val="false"/>
          <w:bCs w:val="false"/>
          <w:i w:val="false"/>
          <w:iCs w:val="false"/>
          <w:sz w:val="20"/>
          <w:szCs w:val="20"/>
        </w:rPr>
        <w:t xml:space="preserve">m per side; at the nominal </w:t>
      </w:r>
      <w:r>
        <w:rPr>
          <w:rFonts w:ascii="Times New Roman" w:cs="Times New Roman" w:eastAsia="Times New Roman" w:hAnsi="Times New Roman"/>
          <w:b w:val="false"/>
          <w:bCs w:val="false"/>
          <w:i w:val="false"/>
          <w:iCs w:val="false"/>
          <w:sz w:val="20"/>
          <w:szCs w:val="20"/>
        </w:rPr>
        <w:t xml:space="preserve">0.5/0.8</w:t>
      </w:r>
      <w:r>
        <w:rPr>
          <w:rFonts w:ascii="Times New Roman" w:cs="Times New Roman" w:eastAsia="Times New Roman" w:hAnsi="Times New Roman"/>
          <w:b w:val="false"/>
          <w:bCs w:val="false"/>
          <w:i w:val="false"/>
          <w:iCs w:val="false"/>
          <w:sz w:val="20"/>
          <w:szCs w:val="20"/>
        </w:rPr>
        <w:t xml:space="preserve"> k</w:t>
      </w:r>
      <w:r>
        <w:rPr>
          <w:rFonts w:ascii="Times New Roman" w:cs="Times New Roman" w:eastAsia="Times New Roman" w:hAnsi="Times New Roman"/>
          <w:b w:val="false"/>
          <w:bCs w:val="false"/>
          <w:i w:val="false"/>
          <w:iCs w:val="false"/>
          <w:sz w:val="20"/>
          <w:szCs w:val="20"/>
        </w:rPr>
        <w:t xml:space="preserve">Ω·µ</w:t>
      </w:r>
      <w:r>
        <w:rPr>
          <w:rFonts w:ascii="Times New Roman" w:cs="Times New Roman" w:eastAsia="Times New Roman" w:hAnsi="Times New Roman"/>
          <w:b w:val="false"/>
          <w:bCs w:val="false"/>
          <w:i w:val="false"/>
          <w:iCs w:val="false"/>
          <w:sz w:val="20"/>
          <w:szCs w:val="20"/>
        </w:rPr>
        <w:t xml:space="preserve">m it uses 1.05</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and at </w:t>
      </w:r>
      <w:r>
        <w:rPr>
          <w:rFonts w:ascii="Times New Roman" w:cs="Times New Roman" w:eastAsia="Times New Roman" w:hAnsi="Times New Roman"/>
          <w:b w:val="false"/>
          <w:bCs w:val="false"/>
          <w:i w:val="false"/>
          <w:iCs w:val="false"/>
          <w:sz w:val="20"/>
          <w:szCs w:val="20"/>
        </w:rPr>
        <w:t xml:space="preserve">2</w:t>
      </w:r>
      <w:r>
        <w:rPr>
          <w:rFonts w:ascii="Times New Roman" w:cs="Times New Roman" w:eastAsia="Times New Roman" w:hAnsi="Times New Roman"/>
          <w:b w:val="false"/>
          <w:bCs w:val="false"/>
          <w:i w:val="false"/>
          <w:iCs w:val="false"/>
          <w:sz w:val="20"/>
          <w:szCs w:val="20"/>
        </w:rPr>
        <w:t xml:space="preserve"> k</w:t>
      </w:r>
      <w:r>
        <w:rPr>
          <w:rFonts w:ascii="Times New Roman" w:cs="Times New Roman" w:eastAsia="Times New Roman" w:hAnsi="Times New Roman"/>
          <w:b w:val="false"/>
          <w:bCs w:val="false"/>
          <w:i w:val="false"/>
          <w:iCs w:val="false"/>
          <w:sz w:val="20"/>
          <w:szCs w:val="20"/>
        </w:rPr>
        <w:t xml:space="preserve">Ω·µ</w:t>
      </w:r>
      <w:r>
        <w:rPr>
          <w:rFonts w:ascii="Times New Roman" w:cs="Times New Roman" w:eastAsia="Times New Roman" w:hAnsi="Times New Roman"/>
          <w:b w:val="false"/>
          <w:bCs w:val="false"/>
          <w:i w:val="false"/>
          <w:iCs w:val="false"/>
          <w:sz w:val="20"/>
          <w:szCs w:val="20"/>
        </w:rPr>
        <w:t xml:space="preserve">m 1.32</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the Si energy, whereas </w:t>
      </w:r>
      <w:r>
        <w:rPr>
          <w:rFonts w:ascii="Times New Roman" w:cs="Times New Roman" w:eastAsia="Times New Roman" w:hAnsi="Times New Roman"/>
          <w:b w:val="false"/>
          <w:bCs w:val="false"/>
          <w:i w:val="false"/>
          <w:iCs w:val="false"/>
          <w:sz w:val="20"/>
          <w:szCs w:val="20"/>
        </w:rPr>
        <w:t xml:space="preserve">0.1</w:t>
      </w:r>
      <w:r>
        <w:rPr>
          <w:rFonts w:ascii="Times New Roman" w:cs="Times New Roman" w:eastAsia="Times New Roman" w:hAnsi="Times New Roman"/>
          <w:b w:val="false"/>
          <w:bCs w:val="false"/>
          <w:i w:val="false"/>
          <w:iCs w:val="false"/>
          <w:sz w:val="20"/>
          <w:szCs w:val="20"/>
        </w:rPr>
        <w:t xml:space="preserve"> k</w:t>
      </w:r>
      <w:r>
        <w:rPr>
          <w:rFonts w:ascii="Times New Roman" w:cs="Times New Roman" w:eastAsia="Times New Roman" w:hAnsi="Times New Roman"/>
          <w:b w:val="false"/>
          <w:bCs w:val="false"/>
          <w:i w:val="false"/>
          <w:iCs w:val="false"/>
          <w:sz w:val="20"/>
          <w:szCs w:val="20"/>
        </w:rPr>
        <w:t xml:space="preserve">Ω·µ</w:t>
      </w:r>
      <w:r>
        <w:rPr>
          <w:rFonts w:ascii="Times New Roman" w:cs="Times New Roman" w:eastAsia="Times New Roman" w:hAnsi="Times New Roman"/>
          <w:b w:val="false"/>
          <w:bCs w:val="false"/>
          <w:i w:val="false"/>
          <w:iCs w:val="false"/>
          <w:sz w:val="20"/>
          <w:szCs w:val="20"/>
        </w:rPr>
        <w:t xml:space="preserve">m contacts (the present semimetal-contact record range [9, 8]) give 0.91</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The n-side contact weighs slightly more than the p-side because the MoS</w:t>
      </w:r>
      <w:r>
        <w:rPr>
          <w:rFonts w:ascii="Times New Roman" w:cs="Times New Roman" w:eastAsia="Times New Roman" w:hAnsi="Times New Roman"/>
          <w:b w:val="false"/>
          <w:bCs w:val="false"/>
          <w:i w:val="false"/>
          <w:iCs w:val="false"/>
          <w:sz w:val="20"/>
          <w:szCs w:val="20"/>
          <w:vertAlign w:val="subscript"/>
        </w:rPr>
        <w:t xml:space="preserve">2</w:t>
      </w:r>
      <w:r>
        <w:rPr>
          <w:rFonts w:ascii="Times New Roman" w:cs="Times New Roman" w:eastAsia="Times New Roman" w:hAnsi="Times New Roman"/>
          <w:b w:val="false"/>
          <w:bCs w:val="false"/>
          <w:i w:val="false"/>
          <w:iCs w:val="false"/>
          <w:sz w:val="20"/>
          <w:szCs w:val="20"/>
        </w:rPr>
        <w:t xml:space="preserve"> device carries the larger share of the ring's switching current. The interface trap density (Fig. 13c) acts on a different axis: between </w:t>
      </w:r>
      <w:r>
        <w:rPr>
          <w:rFonts w:ascii="Times New Roman" w:cs="Times New Roman" w:eastAsia="Times New Roman" w:hAnsi="Times New Roman"/>
          <w:b w:val="false"/>
          <w:bCs w:val="false"/>
          <w:i w:val="false"/>
          <w:iCs w:val="false"/>
          <w:sz w:val="20"/>
          <w:szCs w:val="20"/>
        </w:rPr>
        <w:t xml:space="preserve">10</w:t>
      </w:r>
      <w:r>
        <w:rPr>
          <w:rFonts w:ascii="Times New Roman" w:cs="Times New Roman" w:eastAsia="Times New Roman" w:hAnsi="Times New Roman"/>
          <w:b w:val="false"/>
          <w:bCs w:val="false"/>
          <w:i w:val="false"/>
          <w:iCs w:val="false"/>
          <w:sz w:val="20"/>
          <w:szCs w:val="20"/>
          <w:vertAlign w:val="superscript"/>
        </w:rPr>
        <w:t xml:space="preserve">11</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val="false"/>
          <w:iCs w:val="false"/>
          <w:sz w:val="20"/>
          <w:szCs w:val="20"/>
        </w:rPr>
        <w:t xml:space="preserve">10</w:t>
      </w:r>
      <w:r>
        <w:rPr>
          <w:rFonts w:ascii="Times New Roman" w:cs="Times New Roman" w:eastAsia="Times New Roman" w:hAnsi="Times New Roman"/>
          <w:b w:val="false"/>
          <w:bCs w:val="false"/>
          <w:i w:val="false"/>
          <w:iCs w:val="false"/>
          <w:sz w:val="20"/>
          <w:szCs w:val="20"/>
          <w:vertAlign w:val="superscript"/>
        </w:rPr>
        <w:t xml:space="preserve">13</w:t>
      </w:r>
      <w:r>
        <w:rPr>
          <w:rFonts w:ascii="Times New Roman" w:cs="Times New Roman" w:eastAsia="Times New Roman" w:hAnsi="Times New Roman"/>
          <w:b w:val="false"/>
          <w:bCs w:val="false"/>
          <w:i w:val="false"/>
          <w:iCs w:val="false"/>
          <w:sz w:val="20"/>
          <w:szCs w:val="20"/>
        </w:rPr>
        <w:t xml:space="preserve"> cm</w:t>
      </w:r>
      <w:r>
        <w:rPr>
          <w:rFonts w:ascii="Times New Roman" w:cs="Times New Roman" w:eastAsia="Times New Roman" w:hAnsi="Times New Roman"/>
          <w:b w:val="false"/>
          <w:bCs w:val="false"/>
          <w:i/>
          <w:iCs/>
          <w:sz w:val="20"/>
          <w:szCs w:val="20"/>
          <w:vertAlign w:val="superscript"/>
        </w:rPr>
        <w:t xml:space="preserve">-2</w:t>
      </w:r>
      <w:r>
        <w:rPr>
          <w:rFonts w:ascii="Times New Roman" w:cs="Times New Roman" w:eastAsia="Times New Roman" w:hAnsi="Times New Roman"/>
          <w:b w:val="false"/>
          <w:bCs w:val="false"/>
          <w:i w:val="false"/>
          <w:iCs w:val="false"/>
          <w:sz w:val="20"/>
          <w:szCs w:val="20"/>
        </w:rPr>
        <w:t xml:space="preserve">eV</w:t>
      </w:r>
      <w:r>
        <w:rPr>
          <w:rFonts w:ascii="Times New Roman" w:cs="Times New Roman" w:eastAsia="Times New Roman" w:hAnsi="Times New Roman"/>
          <w:b w:val="false"/>
          <w:bCs w:val="false"/>
          <w:i/>
          <w:iCs/>
          <w:sz w:val="20"/>
          <w:szCs w:val="20"/>
          <w:vertAlign w:val="superscript"/>
        </w:rPr>
        <w:t xml:space="preserve">-1</w:t>
      </w:r>
      <w:r>
        <w:rPr>
          <w:rFonts w:ascii="Times New Roman" w:cs="Times New Roman" w:eastAsia="Times New Roman" w:hAnsi="Times New Roman"/>
          <w:b w:val="false"/>
          <w:bCs w:val="false"/>
          <w:i w:val="false"/>
          <w:iCs w:val="false"/>
          <w:sz w:val="20"/>
          <w:szCs w:val="20"/>
        </w:rPr>
        <w:t xml:space="preserve"> the frequency changes by only 1.19</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(through the ideality factor and the threshold position), the gain drops to 11.3, but the static power rises 53</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so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iCs/>
          <w:sz w:val="20"/>
          <w:szCs w:val="20"/>
          <w:vertAlign w:val="subscript"/>
        </w:rPr>
        <w:t xml:space="preserve">it</w:t>
      </w:r>
      <w:r>
        <w:rPr>
          <w:rFonts w:ascii="Times New Roman" w:cs="Times New Roman" w:eastAsia="Times New Roman" w:hAnsi="Times New Roman"/>
          <w:b w:val="false"/>
          <w:bCs w:val="false"/>
          <w:i w:val="false"/>
          <w:iCs w:val="false"/>
          <w:sz w:val="20"/>
          <w:szCs w:val="20"/>
        </w:rPr>
        <w:t xml:space="preserve"> control is a leakage requirement rather than a speed requirement for the TMD CFET.</w:t>
      </w:r>
    </w:p>
    <w:p>
      <w:pPr>
        <w:pStyle w:val="Heading3"/>
        <w:keepNext/>
        <w:spacing w:after="40" w:before="100"/>
      </w:pPr>
      <w:r>
        <w:rPr>
          <w:rFonts w:ascii="Times New Roman" w:cs="Times New Roman" w:eastAsia="Times New Roman" w:hAnsi="Times New Roman"/>
          <w:i/>
          <w:iCs/>
          <w:sz w:val="20"/>
          <w:szCs w:val="20"/>
        </w:rPr>
        <w:t xml:space="preserve">3) </w:t>
      </w:r>
      <w:r>
        <w:rPr>
          <w:rFonts w:ascii="Times New Roman" w:cs="Times New Roman" w:eastAsia="Times New Roman" w:hAnsi="Times New Roman"/>
          <w:b w:val="false"/>
          <w:bCs w:val="false"/>
          <w:i/>
          <w:iCs/>
          <w:sz w:val="20"/>
          <w:szCs w:val="20"/>
        </w:rPr>
        <w:t xml:space="preserve">CNT</w:t>
      </w:r>
      <w:r>
        <w:rPr>
          <w:rFonts w:ascii="Times New Roman" w:cs="Times New Roman" w:eastAsia="Times New Roman" w:hAnsi="Times New Roman"/>
          <w:sz w:val="20"/>
          <w:szCs w:val="20"/>
        </w:rPr>
        <w:t xml:space="preserve">:</w:t>
      </w: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Fig. 14 separates the three CNT-array quantities that the Landauer block exposes. The tube density sets the drive current linearly, so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iCs/>
          <w:sz w:val="20"/>
          <w:szCs w:val="20"/>
          <w:vertAlign w:val="subscript"/>
        </w:rPr>
        <w:t xml:space="preserve">RO</w:t>
      </w:r>
      <w:r>
        <w:rPr>
          <w:rFonts w:ascii="Times New Roman" w:cs="Times New Roman" w:eastAsia="Times New Roman" w:hAnsi="Times New Roman"/>
          <w:b w:val="false"/>
          <w:bCs w:val="false"/>
          <w:i w:val="false"/>
          <w:iCs w:val="false"/>
          <w:sz w:val="20"/>
          <w:szCs w:val="20"/>
        </w:rPr>
        <w:t xml:space="preserve"> scales from 23.0 GHz at 100 tubes/</w:t>
      </w:r>
      <w:r>
        <w:rPr>
          <w:rFonts w:ascii="Times New Roman" w:cs="Times New Roman" w:eastAsia="Times New Roman" w:hAnsi="Times New Roman"/>
          <w:b w:val="false"/>
          <w:bCs w:val="false"/>
          <w:i w:val="false"/>
          <w:iCs w:val="false"/>
          <w:sz w:val="20"/>
          <w:szCs w:val="20"/>
        </w:rPr>
        <w:t xml:space="preserve">µ</w:t>
      </w:r>
      <w:r>
        <w:rPr>
          <w:rFonts w:ascii="Times New Roman" w:cs="Times New Roman" w:eastAsia="Times New Roman" w:hAnsi="Times New Roman"/>
          <w:b w:val="false"/>
          <w:bCs w:val="false"/>
          <w:i w:val="false"/>
          <w:iCs w:val="false"/>
          <w:sz w:val="20"/>
          <w:szCs w:val="20"/>
        </w:rPr>
        <w:t xml:space="preserve">m to 60.2 GHz at 400 tubes/</w:t>
      </w:r>
      <w:r>
        <w:rPr>
          <w:rFonts w:ascii="Times New Roman" w:cs="Times New Roman" w:eastAsia="Times New Roman" w:hAnsi="Times New Roman"/>
          <w:b w:val="false"/>
          <w:bCs w:val="false"/>
          <w:i w:val="false"/>
          <w:iCs w:val="false"/>
          <w:sz w:val="20"/>
          <w:szCs w:val="20"/>
        </w:rPr>
        <w:t xml:space="preserve">µ</w:t>
      </w:r>
      <w:r>
        <w:rPr>
          <w:rFonts w:ascii="Times New Roman" w:cs="Times New Roman" w:eastAsia="Times New Roman" w:hAnsi="Times New Roman"/>
          <w:b w:val="false"/>
          <w:bCs w:val="false"/>
          <w:i w:val="false"/>
          <w:iCs w:val="false"/>
          <w:sz w:val="20"/>
          <w:szCs w:val="20"/>
        </w:rPr>
        <w:t xml:space="preserve">m at an unchanged energy per cycle; in the model the gate capacitance is written per unit area, so a density dependence of the gate charge, which would reduce this gain, is not captured. The contact resistance acts in the opposite direction, from 46.8 GHz at 50 </w:t>
      </w:r>
      <w:r>
        <w:rPr>
          <w:rFonts w:ascii="Times New Roman" w:cs="Times New Roman" w:eastAsia="Times New Roman" w:hAnsi="Times New Roman"/>
          <w:b w:val="false"/>
          <w:bCs w:val="false"/>
          <w:i w:val="false"/>
          <w:iCs w:val="false"/>
          <w:sz w:val="20"/>
          <w:szCs w:val="20"/>
        </w:rPr>
        <w:t xml:space="preserve">Ω·µ</w:t>
      </w:r>
      <w:r>
        <w:rPr>
          <w:rFonts w:ascii="Times New Roman" w:cs="Times New Roman" w:eastAsia="Times New Roman" w:hAnsi="Times New Roman"/>
          <w:b w:val="false"/>
          <w:bCs w:val="false"/>
          <w:i w:val="false"/>
          <w:iCs w:val="false"/>
          <w:sz w:val="20"/>
          <w:szCs w:val="20"/>
        </w:rPr>
        <w:t xml:space="preserve">m to 7.5 GHz at 1 k</w:t>
      </w:r>
      <w:r>
        <w:rPr>
          <w:rFonts w:ascii="Times New Roman" w:cs="Times New Roman" w:eastAsia="Times New Roman" w:hAnsi="Times New Roman"/>
          <w:b w:val="false"/>
          <w:bCs w:val="false"/>
          <w:i w:val="false"/>
          <w:iCs w:val="false"/>
          <w:sz w:val="20"/>
          <w:szCs w:val="20"/>
        </w:rPr>
        <w:t xml:space="preserve">Ω·µ</w:t>
      </w:r>
      <w:r>
        <w:rPr>
          <w:rFonts w:ascii="Times New Roman" w:cs="Times New Roman" w:eastAsia="Times New Roman" w:hAnsi="Times New Roman"/>
          <w:b w:val="false"/>
          <w:bCs w:val="false"/>
          <w:i w:val="false"/>
          <w:iCs w:val="false"/>
          <w:sz w:val="20"/>
          <w:szCs w:val="20"/>
        </w:rPr>
        <w:t xml:space="preserve">m, again without changing the energy. The metallic-tube fraction is the only variable that attacks functionality: the shunt conductance </w:t>
      </w:r>
      <w:r>
        <w:rPr>
          <w:rFonts w:ascii="Times New Roman" w:cs="Times New Roman" w:eastAsia="Times New Roman" w:hAnsi="Times New Roman"/>
          <w:b w:val="false"/>
          <w:bCs w:val="false"/>
          <w:i/>
          <w:iCs/>
          <w:sz w:val="20"/>
          <w:szCs w:val="20"/>
        </w:rPr>
        <w:t xml:space="preserve">G</w:t>
      </w:r>
      <w:r>
        <w:rPr>
          <w:rFonts w:ascii="Times New Roman" w:cs="Times New Roman" w:eastAsia="Times New Roman" w:hAnsi="Times New Roman"/>
          <w:b w:val="false"/>
          <w:bCs w:val="false"/>
          <w:i/>
          <w:iCs/>
          <w:sz w:val="20"/>
          <w:szCs w:val="20"/>
          <w:vertAlign w:val="subscript"/>
        </w:rPr>
        <w:t xml:space="preserve">met</w:t>
      </w:r>
      <w:r>
        <w:rPr>
          <w:rFonts w:ascii="Times New Roman" w:cs="Times New Roman" w:eastAsia="Times New Roman" w:hAnsi="Times New Roman"/>
          <w:b w:val="false"/>
          <w:bCs w:val="false"/>
          <w:i w:val="false"/>
          <w:iCs w:val="false"/>
          <w:sz w:val="20"/>
          <w:szCs w:val="20"/>
        </w:rPr>
        <w:t xml:space="preserve"> raises the inverter static power from 0.69 nW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iCs/>
          <w:sz w:val="20"/>
          <w:szCs w:val="20"/>
          <w:vertAlign w:val="subscript"/>
        </w:rPr>
        <w:t xml:space="preserve">met</w:t>
      </w:r>
      <w:r>
        <w:rPr>
          <w:rFonts w:ascii="Times New Roman" w:cs="Times New Roman" w:eastAsia="Times New Roman" w:hAnsi="Times New Roman"/>
          <w:b w:val="false"/>
          <w:bCs w:val="false"/>
          <w:i w:val="false"/>
          <w:iCs w:val="false"/>
          <w:sz w:val="20"/>
          <w:szCs w:val="20"/>
        </w:rPr>
        <w:t xml:space="preserve">=0</w:t>
      </w:r>
      <w:r>
        <w:rPr>
          <w:rFonts w:ascii="Times New Roman" w:cs="Times New Roman" w:eastAsia="Times New Roman" w:hAnsi="Times New Roman"/>
          <w:b w:val="false"/>
          <w:bCs w:val="false"/>
          <w:i w:val="false"/>
          <w:iCs w:val="false"/>
          <w:sz w:val="20"/>
          <w:szCs w:val="20"/>
        </w:rPr>
        <w:t xml:space="preserve">) to 301 nW at </w:t>
      </w:r>
      <w:r>
        <w:rPr>
          <w:rFonts w:ascii="Times New Roman" w:cs="Times New Roman" w:eastAsia="Times New Roman" w:hAnsi="Times New Roman"/>
          <w:b w:val="false"/>
          <w:bCs w:val="false"/>
          <w:i w:val="false"/>
          <w:iCs w:val="false"/>
          <w:sz w:val="20"/>
          <w:szCs w:val="20"/>
        </w:rPr>
        <w:t xml:space="preserve">10</w:t>
      </w:r>
      <w:r>
        <w:rPr>
          <w:rFonts w:ascii="Times New Roman" w:cs="Times New Roman" w:eastAsia="Times New Roman" w:hAnsi="Times New Roman"/>
          <w:b w:val="false"/>
          <w:bCs w:val="false"/>
          <w:i/>
          <w:iCs/>
          <w:sz w:val="20"/>
          <w:szCs w:val="20"/>
          <w:vertAlign w:val="superscript"/>
        </w:rPr>
        <w:t xml:space="preserve">-3</w:t>
      </w:r>
      <w:r>
        <w:rPr>
          <w:rFonts w:ascii="Times New Roman" w:cs="Times New Roman" w:eastAsia="Times New Roman" w:hAnsi="Times New Roman"/>
          <w:b w:val="false"/>
          <w:bCs w:val="false"/>
          <w:i w:val="false"/>
          <w:iCs w:val="false"/>
          <w:sz w:val="20"/>
          <w:szCs w:val="20"/>
        </w:rPr>
        <w:t xml:space="preserve">, 1.48 </w:t>
      </w:r>
      <w:r>
        <w:rPr>
          <w:rFonts w:ascii="Times New Roman" w:cs="Times New Roman" w:eastAsia="Times New Roman" w:hAnsi="Times New Roman"/>
          <w:b w:val="false"/>
          <w:bCs w:val="false"/>
          <w:i w:val="false"/>
          <w:iCs w:val="false"/>
          <w:sz w:val="20"/>
          <w:szCs w:val="20"/>
        </w:rPr>
        <w:t xml:space="preserve">µ</w:t>
      </w:r>
      <w:r>
        <w:rPr>
          <w:rFonts w:ascii="Times New Roman" w:cs="Times New Roman" w:eastAsia="Times New Roman" w:hAnsi="Times New Roman"/>
          <w:b w:val="false"/>
          <w:bCs w:val="false"/>
          <w:i w:val="false"/>
          <w:iCs w:val="false"/>
          <w:sz w:val="20"/>
          <w:szCs w:val="20"/>
        </w:rPr>
        <w:t xml:space="preserve">W at </w:t>
      </w:r>
      <w:r>
        <w:rPr>
          <w:rFonts w:ascii="Times New Roman" w:cs="Times New Roman" w:eastAsia="Times New Roman" w:hAnsi="Times New Roman"/>
          <w:b w:val="false"/>
          <w:bCs w:val="false"/>
          <w:i w:val="false"/>
          <w:iCs w:val="false"/>
          <w:sz w:val="20"/>
          <w:szCs w:val="20"/>
        </w:rPr>
        <w:t xml:space="preserve">5\</w:t>
      </w:r>
      <w:r>
        <w:rPr>
          <w:rFonts w:ascii="Times New Roman" w:cs="Times New Roman" w:eastAsia="Times New Roman" w:hAnsi="Times New Roman"/>
          <w:b w:val="false"/>
          <w:bCs w:val="false"/>
          <w:i/>
          <w:iCs/>
          <w:sz w:val="20"/>
          <w:szCs w:val="20"/>
        </w:rPr>
        <w:t xml:space="preserve">times</w:t>
      </w:r>
      <w:r>
        <w:rPr>
          <w:rFonts w:ascii="Times New Roman" w:cs="Times New Roman" w:eastAsia="Times New Roman" w:hAnsi="Times New Roman"/>
          <w:b w:val="false"/>
          <w:bCs w:val="false"/>
          <w:i w:val="false"/>
          <w:iCs w:val="false"/>
          <w:sz w:val="20"/>
          <w:szCs w:val="20"/>
        </w:rPr>
        <w:t xml:space="preserve">10</w:t>
      </w:r>
      <w:r>
        <w:rPr>
          <w:rFonts w:ascii="Times New Roman" w:cs="Times New Roman" w:eastAsia="Times New Roman" w:hAnsi="Times New Roman"/>
          <w:b w:val="false"/>
          <w:bCs w:val="false"/>
          <w:i/>
          <w:iCs/>
          <w:sz w:val="20"/>
          <w:szCs w:val="20"/>
          <w:vertAlign w:val="superscript"/>
        </w:rPr>
        <w:t xml:space="preserve">-3</w:t>
      </w:r>
      <w:r>
        <w:rPr>
          <w:rFonts w:ascii="Times New Roman" w:cs="Times New Roman" w:eastAsia="Times New Roman" w:hAnsi="Times New Roman"/>
          <w:b w:val="false"/>
          <w:bCs w:val="false"/>
          <w:i w:val="false"/>
          <w:iCs w:val="false"/>
          <w:sz w:val="20"/>
          <w:szCs w:val="20"/>
        </w:rPr>
        <w:t xml:space="preserve"> and 5.7 </w:t>
      </w:r>
      <w:r>
        <w:rPr>
          <w:rFonts w:ascii="Times New Roman" w:cs="Times New Roman" w:eastAsia="Times New Roman" w:hAnsi="Times New Roman"/>
          <w:b w:val="false"/>
          <w:bCs w:val="false"/>
          <w:i w:val="false"/>
          <w:iCs w:val="false"/>
          <w:sz w:val="20"/>
          <w:szCs w:val="20"/>
        </w:rPr>
        <w:t xml:space="preserve">µ</w:t>
      </w:r>
      <w:r>
        <w:rPr>
          <w:rFonts w:ascii="Times New Roman" w:cs="Times New Roman" w:eastAsia="Times New Roman" w:hAnsi="Times New Roman"/>
          <w:b w:val="false"/>
          <w:bCs w:val="false"/>
          <w:i w:val="false"/>
          <w:iCs w:val="false"/>
          <w:sz w:val="20"/>
          <w:szCs w:val="20"/>
        </w:rPr>
        <w:t xml:space="preserve">W at </w:t>
      </w:r>
      <w:r>
        <w:rPr>
          <w:rFonts w:ascii="Times New Roman" w:cs="Times New Roman" w:eastAsia="Times New Roman" w:hAnsi="Times New Roman"/>
          <w:b w:val="false"/>
          <w:bCs w:val="false"/>
          <w:i w:val="false"/>
          <w:iCs w:val="false"/>
          <w:sz w:val="20"/>
          <w:szCs w:val="20"/>
        </w:rPr>
        <w:t xml:space="preserve">2\</w:t>
      </w:r>
      <w:r>
        <w:rPr>
          <w:rFonts w:ascii="Times New Roman" w:cs="Times New Roman" w:eastAsia="Times New Roman" w:hAnsi="Times New Roman"/>
          <w:b w:val="false"/>
          <w:bCs w:val="false"/>
          <w:i/>
          <w:iCs/>
          <w:sz w:val="20"/>
          <w:szCs w:val="20"/>
        </w:rPr>
        <w:t xml:space="preserve">times</w:t>
      </w:r>
      <w:r>
        <w:rPr>
          <w:rFonts w:ascii="Times New Roman" w:cs="Times New Roman" w:eastAsia="Times New Roman" w:hAnsi="Times New Roman"/>
          <w:b w:val="false"/>
          <w:bCs w:val="false"/>
          <w:i w:val="false"/>
          <w:iCs w:val="false"/>
          <w:sz w:val="20"/>
          <w:szCs w:val="20"/>
        </w:rPr>
        <w:t xml:space="preserve">10</w:t>
      </w:r>
      <w:r>
        <w:rPr>
          <w:rFonts w:ascii="Times New Roman" w:cs="Times New Roman" w:eastAsia="Times New Roman" w:hAnsi="Times New Roman"/>
          <w:b w:val="false"/>
          <w:bCs w:val="false"/>
          <w:i/>
          <w:iCs/>
          <w:sz w:val="20"/>
          <w:szCs w:val="20"/>
          <w:vertAlign w:val="superscript"/>
        </w:rPr>
        <w:t xml:space="preserve">-2</w:t>
      </w:r>
      <w:r>
        <w:rPr>
          <w:rFonts w:ascii="Times New Roman" w:cs="Times New Roman" w:eastAsia="Times New Roman" w:hAnsi="Times New Roman"/>
          <w:b w:val="false"/>
          <w:bCs w:val="false"/>
          <w:i w:val="false"/>
          <w:iCs w:val="false"/>
          <w:sz w:val="20"/>
          <w:szCs w:val="20"/>
        </w:rPr>
        <w:t xml:space="preserve">, while the gain falls from 22 to 18.3, 11.2 and 7.4 (</w:t>
      </w:r>
      <w:r>
        <w:rPr>
          <w:rFonts w:ascii="Times New Roman" w:cs="Times New Roman" w:eastAsia="Times New Roman" w:hAnsi="Times New Roman"/>
          <w:b w:val="false"/>
          <w:bCs w:val="false"/>
          <w:i w:val="false"/>
          <w:iCs w:val="false"/>
          <w:sz w:val="20"/>
          <w:szCs w:val="20"/>
        </w:rPr>
        <w:t xml:space="preserve">10</w:t>
      </w:r>
      <w:r>
        <w:rPr>
          <w:rFonts w:ascii="Times New Roman" w:cs="Times New Roman" w:eastAsia="Times New Roman" w:hAnsi="Times New Roman"/>
          <w:b w:val="false"/>
          <w:bCs w:val="false"/>
          <w:i/>
          <w:iCs/>
          <w:sz w:val="20"/>
          <w:szCs w:val="20"/>
          <w:vertAlign w:val="superscript"/>
        </w:rPr>
        <w:t xml:space="preserve">-3</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5\</w:t>
      </w:r>
      <w:r>
        <w:rPr>
          <w:rFonts w:ascii="Times New Roman" w:cs="Times New Roman" w:eastAsia="Times New Roman" w:hAnsi="Times New Roman"/>
          <w:b w:val="false"/>
          <w:bCs w:val="false"/>
          <w:i/>
          <w:iCs/>
          <w:sz w:val="20"/>
          <w:szCs w:val="20"/>
        </w:rPr>
        <w:t xml:space="preserve">times</w:t>
      </w:r>
      <w:r>
        <w:rPr>
          <w:rFonts w:ascii="Times New Roman" w:cs="Times New Roman" w:eastAsia="Times New Roman" w:hAnsi="Times New Roman"/>
          <w:b w:val="false"/>
          <w:bCs w:val="false"/>
          <w:i w:val="false"/>
          <w:iCs w:val="false"/>
          <w:sz w:val="20"/>
          <w:szCs w:val="20"/>
        </w:rPr>
        <w:t xml:space="preserve">10</w:t>
      </w:r>
      <w:r>
        <w:rPr>
          <w:rFonts w:ascii="Times New Roman" w:cs="Times New Roman" w:eastAsia="Times New Roman" w:hAnsi="Times New Roman"/>
          <w:b w:val="false"/>
          <w:bCs w:val="false"/>
          <w:i/>
          <w:iCs/>
          <w:sz w:val="20"/>
          <w:szCs w:val="20"/>
          <w:vertAlign w:val="superscript"/>
        </w:rPr>
        <w:t xml:space="preserve">-3</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val="false"/>
          <w:iCs w:val="false"/>
          <w:sz w:val="20"/>
          <w:szCs w:val="20"/>
        </w:rPr>
        <w:t xml:space="preserve">10</w:t>
      </w:r>
      <w:r>
        <w:rPr>
          <w:rFonts w:ascii="Times New Roman" w:cs="Times New Roman" w:eastAsia="Times New Roman" w:hAnsi="Times New Roman"/>
          <w:b w:val="false"/>
          <w:bCs w:val="false"/>
          <w:i/>
          <w:iCs/>
          <w:sz w:val="20"/>
          <w:szCs w:val="20"/>
          <w:vertAlign w:val="superscript"/>
        </w:rPr>
        <w:t xml:space="preserve">-2</w:t>
      </w:r>
      <w:r>
        <w:rPr>
          <w:rFonts w:ascii="Times New Roman" w:cs="Times New Roman" w:eastAsia="Times New Roman" w:hAnsi="Times New Roman"/>
          <w:b w:val="false"/>
          <w:bCs w:val="false"/>
          <w:i w:val="false"/>
          <w:iCs w:val="false"/>
          <w:sz w:val="20"/>
          <w:szCs w:val="20"/>
        </w:rPr>
        <w:t xml:space="preserve">) and the RO energy per cycle rises 1.49</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at </w:t>
      </w:r>
      <w:r>
        <w:rPr>
          <w:rFonts w:ascii="Times New Roman" w:cs="Times New Roman" w:eastAsia="Times New Roman" w:hAnsi="Times New Roman"/>
          <w:b w:val="false"/>
          <w:bCs w:val="false"/>
          <w:i w:val="false"/>
          <w:iCs w:val="false"/>
          <w:sz w:val="20"/>
          <w:szCs w:val="20"/>
        </w:rPr>
        <w:t xml:space="preserve">2\</w:t>
      </w:r>
      <w:r>
        <w:rPr>
          <w:rFonts w:ascii="Times New Roman" w:cs="Times New Roman" w:eastAsia="Times New Roman" w:hAnsi="Times New Roman"/>
          <w:b w:val="false"/>
          <w:bCs w:val="false"/>
          <w:i/>
          <w:iCs/>
          <w:sz w:val="20"/>
          <w:szCs w:val="20"/>
        </w:rPr>
        <w:t xml:space="preserve">times</w:t>
      </w:r>
      <w:r>
        <w:rPr>
          <w:rFonts w:ascii="Times New Roman" w:cs="Times New Roman" w:eastAsia="Times New Roman" w:hAnsi="Times New Roman"/>
          <w:b w:val="false"/>
          <w:bCs w:val="false"/>
          <w:i w:val="false"/>
          <w:iCs w:val="false"/>
          <w:sz w:val="20"/>
          <w:szCs w:val="20"/>
        </w:rPr>
        <w:t xml:space="preserve">10</w:t>
      </w:r>
      <w:r>
        <w:rPr>
          <w:rFonts w:ascii="Times New Roman" w:cs="Times New Roman" w:eastAsia="Times New Roman" w:hAnsi="Times New Roman"/>
          <w:b w:val="false"/>
          <w:bCs w:val="false"/>
          <w:i/>
          <w:iCs/>
          <w:sz w:val="20"/>
          <w:szCs w:val="20"/>
          <w:vertAlign w:val="superscript"/>
        </w:rPr>
        <w:t xml:space="preserve">-2</w:t>
      </w:r>
      <w:r>
        <w:rPr>
          <w:rFonts w:ascii="Times New Roman" w:cs="Times New Roman" w:eastAsia="Times New Roman" w:hAnsi="Times New Roman"/>
          <w:b w:val="false"/>
          <w:bCs w:val="false"/>
          <w:i w:val="false"/>
          <w:iCs w:val="false"/>
          <w:sz w:val="20"/>
          <w:szCs w:val="20"/>
        </w:rPr>
        <w:t xml:space="preserve">. With the </w:t>
      </w:r>
      <w:r>
        <w:rPr>
          <w:rFonts w:ascii="Times New Roman" w:cs="Times New Roman" w:eastAsia="Times New Roman" w:hAnsi="Times New Roman"/>
          <w:b w:val="false"/>
          <w:bCs w:val="false"/>
          <w:i/>
          <w:iCs/>
          <w:sz w:val="20"/>
          <w:szCs w:val="20"/>
        </w:rPr>
        <w:t xml:space="preserve">A</w:t>
      </w:r>
      <w:r>
        <w:rPr>
          <w:rFonts w:ascii="Times New Roman" w:cs="Times New Roman" w:eastAsia="Times New Roman" w:hAnsi="Times New Roman"/>
          <w:b w:val="false"/>
          <w:bCs w:val="false"/>
          <w:i/>
          <w:iCs/>
          <w:sz w:val="20"/>
          <w:szCs w:val="20"/>
          <w:vertAlign w:val="subscript"/>
        </w:rPr>
        <w:t xml:space="preserve">V</w:t>
      </w:r>
      <w:r>
        <w:rPr>
          <w:rFonts w:ascii="Times New Roman" w:cs="Times New Roman" w:eastAsia="Times New Roman" w:hAnsi="Times New Roman"/>
          <w:b w:val="false"/>
          <w:bCs w:val="false"/>
          <w:i w:val="false"/>
          <w:iCs w:val="false"/>
          <w:sz w:val="20"/>
          <w:szCs w:val="20"/>
        </w:rPr>
        <w:t xml:space="preserve">&gt;10</w:t>
      </w:r>
      <w:r>
        <w:rPr>
          <w:rFonts w:ascii="Times New Roman" w:cs="Times New Roman" w:eastAsia="Times New Roman" w:hAnsi="Times New Roman"/>
          <w:b w:val="false"/>
          <w:bCs w:val="false"/>
          <w:i w:val="false"/>
          <w:iCs w:val="false"/>
          <w:sz w:val="20"/>
          <w:szCs w:val="20"/>
        </w:rPr>
        <w:t xml:space="preserve"> criterion the CNT CFET inverter stops being a logic gate between </w:t>
      </w:r>
      <w:r>
        <w:rPr>
          <w:rFonts w:ascii="Times New Roman" w:cs="Times New Roman" w:eastAsia="Times New Roman" w:hAnsi="Times New Roman"/>
          <w:b w:val="false"/>
          <w:bCs w:val="false"/>
          <w:i w:val="false"/>
          <w:iCs w:val="false"/>
          <w:sz w:val="20"/>
          <w:szCs w:val="20"/>
        </w:rPr>
        <w:t xml:space="preserve">5\</w:t>
      </w:r>
      <w:r>
        <w:rPr>
          <w:rFonts w:ascii="Times New Roman" w:cs="Times New Roman" w:eastAsia="Times New Roman" w:hAnsi="Times New Roman"/>
          <w:b w:val="false"/>
          <w:bCs w:val="false"/>
          <w:i/>
          <w:iCs/>
          <w:sz w:val="20"/>
          <w:szCs w:val="20"/>
        </w:rPr>
        <w:t xml:space="preserve">times</w:t>
      </w:r>
      <w:r>
        <w:rPr>
          <w:rFonts w:ascii="Times New Roman" w:cs="Times New Roman" w:eastAsia="Times New Roman" w:hAnsi="Times New Roman"/>
          <w:b w:val="false"/>
          <w:bCs w:val="false"/>
          <w:i w:val="false"/>
          <w:iCs w:val="false"/>
          <w:sz w:val="20"/>
          <w:szCs w:val="20"/>
        </w:rPr>
        <w:t xml:space="preserve">10</w:t>
      </w:r>
      <w:r>
        <w:rPr>
          <w:rFonts w:ascii="Times New Roman" w:cs="Times New Roman" w:eastAsia="Times New Roman" w:hAnsi="Times New Roman"/>
          <w:b w:val="false"/>
          <w:bCs w:val="false"/>
          <w:i/>
          <w:iCs/>
          <w:sz w:val="20"/>
          <w:szCs w:val="20"/>
          <w:vertAlign w:val="superscript"/>
        </w:rPr>
        <w:t xml:space="preserve">-3</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val="false"/>
          <w:iCs w:val="false"/>
          <w:sz w:val="20"/>
          <w:szCs w:val="20"/>
        </w:rPr>
        <w:t xml:space="preserve">10</w:t>
      </w:r>
      <w:r>
        <w:rPr>
          <w:rFonts w:ascii="Times New Roman" w:cs="Times New Roman" w:eastAsia="Times New Roman" w:hAnsi="Times New Roman"/>
          <w:b w:val="false"/>
          <w:bCs w:val="false"/>
          <w:i/>
          <w:iCs/>
          <w:sz w:val="20"/>
          <w:szCs w:val="20"/>
          <w:vertAlign w:val="superscript"/>
        </w:rPr>
        <w:t xml:space="preserve">-2</w:t>
      </w:r>
      <w:r>
        <w:rPr>
          <w:rFonts w:ascii="Times New Roman" w:cs="Times New Roman" w:eastAsia="Times New Roman" w:hAnsi="Times New Roman"/>
          <w:b w:val="false"/>
          <w:bCs w:val="false"/>
          <w:i w:val="false"/>
          <w:iCs w:val="false"/>
          <w:sz w:val="20"/>
          <w:szCs w:val="20"/>
        </w:rPr>
        <w:t xml:space="preserve"> metallic fraction, which quantifies why 99.99% semiconducting purity is a minimum and 99.9999% [11] is the practical target.</w:t>
      </w:r>
    </w:p>
    <w:p>
      <w:pPr>
        <w:pStyle w:val="Heading3"/>
        <w:keepNext/>
        <w:spacing w:after="40" w:before="100"/>
      </w:pPr>
      <w:r>
        <w:rPr>
          <w:rFonts w:ascii="Times New Roman" w:cs="Times New Roman" w:eastAsia="Times New Roman" w:hAnsi="Times New Roman"/>
          <w:i/>
          <w:iCs/>
          <w:sz w:val="20"/>
          <w:szCs w:val="20"/>
        </w:rPr>
        <w:t xml:space="preserve">4) </w:t>
      </w:r>
      <w:r>
        <w:rPr>
          <w:rFonts w:ascii="Times New Roman" w:cs="Times New Roman" w:eastAsia="Times New Roman" w:hAnsi="Times New Roman"/>
          <w:b w:val="false"/>
          <w:bCs w:val="false"/>
          <w:i/>
          <w:iCs/>
          <w:sz w:val="20"/>
          <w:szCs w:val="20"/>
        </w:rPr>
        <w:t xml:space="preserve">GaN</w:t>
      </w:r>
      <w:r>
        <w:rPr>
          <w:rFonts w:ascii="Times New Roman" w:cs="Times New Roman" w:eastAsia="Times New Roman" w:hAnsi="Times New Roman"/>
          <w:sz w:val="20"/>
          <w:szCs w:val="20"/>
        </w:rPr>
        <w:t xml:space="preserve">:</w:t>
      </w: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Fig. 15a compares the GaN and Si CFET ROs from 300 to 500 K. Both speed up (temperature inversion) with frequency temperature coefficients of 501 ppm/K (GaN) and 1338 ppm/K (Si) over the range; the smaller GaN coefficient follows from its larger overdrive at 1.2 V. The static power, however, rises faster for the GaN cell, whose projected p-channel device has the poorest subthreshold slope of the nine models: at 500 K the GaN inverter leaks 3.87 </w:t>
      </w:r>
      <w:r>
        <w:rPr>
          <w:rFonts w:ascii="Times New Roman" w:cs="Times New Roman" w:eastAsia="Times New Roman" w:hAnsi="Times New Roman"/>
          <w:b w:val="false"/>
          <w:bCs w:val="false"/>
          <w:i w:val="false"/>
          <w:iCs w:val="false"/>
          <w:sz w:val="20"/>
          <w:szCs w:val="20"/>
        </w:rPr>
        <w:t xml:space="preserve">µ</w:t>
      </w:r>
      <w:r>
        <w:rPr>
          <w:rFonts w:ascii="Times New Roman" w:cs="Times New Roman" w:eastAsia="Times New Roman" w:hAnsi="Times New Roman"/>
          <w:b w:val="false"/>
          <w:bCs w:val="false"/>
          <w:i w:val="false"/>
          <w:iCs w:val="false"/>
          <w:sz w:val="20"/>
          <w:szCs w:val="20"/>
        </w:rPr>
        <w:t xml:space="preserve">W against 261 nW for Si, its gain drops from 12.2 at 400 K to 8.9 at 450 K and </w:t>
      </w:r>
      <w:r>
        <w:rPr>
          <w:rFonts w:ascii="Times New Roman" w:cs="Times New Roman" w:eastAsia="Times New Roman" w:hAnsi="Times New Roman"/>
          <w:b w:val="false"/>
          <w:bCs w:val="false"/>
          <w:i/>
          <w:iCs/>
          <w:sz w:val="20"/>
          <w:szCs w:val="20"/>
        </w:rPr>
        <w:t xml:space="preserve">NM</w:t>
      </w:r>
      <w:r>
        <w:rPr>
          <w:rFonts w:ascii="Times New Roman" w:cs="Times New Roman" w:eastAsia="Times New Roman" w:hAnsi="Times New Roman"/>
          <w:b w:val="false"/>
          <w:bCs w:val="false"/>
          <w:i/>
          <w:iCs/>
          <w:sz w:val="20"/>
          <w:szCs w:val="20"/>
          <w:vertAlign w:val="subscript"/>
        </w:rPr>
        <w:t xml:space="preserve">L</w:t>
      </w:r>
      <w:r>
        <w:rPr>
          <w:rFonts w:ascii="Times New Roman" w:cs="Times New Roman" w:eastAsia="Times New Roman" w:hAnsi="Times New Roman"/>
          <w:b w:val="false"/>
          <w:bCs w:val="false"/>
          <w:i w:val="false"/>
          <w:iCs w:val="false"/>
          <w:sz w:val="20"/>
          <w:szCs w:val="20"/>
        </w:rPr>
        <w:t xml:space="preserve"> to 0.079</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val="false"/>
          <w:iCs w:val="false"/>
          <w:sz w:val="20"/>
          <w:szCs w:val="20"/>
        </w:rPr>
        <w:t xml:space="preserve">, while the Si cell still has </w:t>
      </w:r>
      <w:r>
        <w:rPr>
          <w:rFonts w:ascii="Times New Roman" w:cs="Times New Roman" w:eastAsia="Times New Roman" w:hAnsi="Times New Roman"/>
          <w:b w:val="false"/>
          <w:bCs w:val="false"/>
          <w:i/>
          <w:iCs/>
          <w:sz w:val="20"/>
          <w:szCs w:val="20"/>
        </w:rPr>
        <w:t xml:space="preserve">A</w:t>
      </w:r>
      <w:r>
        <w:rPr>
          <w:rFonts w:ascii="Times New Roman" w:cs="Times New Roman" w:eastAsia="Times New Roman" w:hAnsi="Times New Roman"/>
          <w:b w:val="false"/>
          <w:bCs w:val="false"/>
          <w:i/>
          <w:iCs/>
          <w:sz w:val="20"/>
          <w:szCs w:val="20"/>
          <w:vertAlign w:val="subscript"/>
        </w:rPr>
        <w:t xml:space="preserve">V</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11.9 and </w:t>
      </w:r>
      <w:r>
        <w:rPr>
          <w:rFonts w:ascii="Times New Roman" w:cs="Times New Roman" w:eastAsia="Times New Roman" w:hAnsi="Times New Roman"/>
          <w:b w:val="false"/>
          <w:bCs w:val="false"/>
          <w:i/>
          <w:iCs/>
          <w:sz w:val="20"/>
          <w:szCs w:val="20"/>
        </w:rPr>
        <w:t xml:space="preserve">NM</w:t>
      </w:r>
      <w:r>
        <w:rPr>
          <w:rFonts w:ascii="Times New Roman" w:cs="Times New Roman" w:eastAsia="Times New Roman" w:hAnsi="Times New Roman"/>
          <w:b w:val="false"/>
          <w:bCs w:val="false"/>
          <w:i/>
          <w:iCs/>
          <w:sz w:val="20"/>
          <w:szCs w:val="20"/>
          <w:vertAlign w:val="subscript"/>
        </w:rPr>
        <w:t xml:space="preserve">L</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0.30</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val="false"/>
          <w:iCs w:val="false"/>
          <w:sz w:val="20"/>
          <w:szCs w:val="20"/>
        </w:rPr>
        <w:t xml:space="preserve"> at 500 K. Within the subthreshold-only leakage model there is thus no GaN-to-Si crossover temperature below 500 K; the crossover that the wide band gap is expected to provide comes from junction and generation leakage in Si, which the present model does not contain and which is the first extension needed for a definitive high-temperature verdict. Self-heating at logic current levels is small (Fig. 15b): quadrupling the thermal resistance changes the stage delay by -0.7% at 300 K and 0.2% at 500 K, but at 500 K it moves the low noise margin from 0.026</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val="false"/>
          <w:iCs w:val="false"/>
          <w:sz w:val="20"/>
          <w:szCs w:val="20"/>
        </w:rPr>
        <w:t xml:space="preserve"> to -0.003</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val="false"/>
          <w:iCs w:val="false"/>
          <w:sz w:val="20"/>
          <w:szCs w:val="20"/>
        </w:rPr>
        <w:t xml:space="preserve">, i.e. it removes what little margin the p-GaN device leaves. A common threshold shift of </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pm</w:t>
      </w:r>
      <w:r>
        <w:rPr>
          <w:rFonts w:ascii="Times New Roman" w:cs="Times New Roman" w:eastAsia="Times New Roman" w:hAnsi="Times New Roman"/>
          <w:b w:val="false"/>
          <w:bCs w:val="false"/>
          <w:i w:val="false"/>
          <w:iCs w:val="false"/>
          <w:sz w:val="20"/>
          <w:szCs w:val="20"/>
        </w:rPr>
        <w:t xml:space="preserve">15</w:t>
      </w:r>
      <w:r>
        <w:rPr>
          <w:rFonts w:ascii="Times New Roman" w:cs="Times New Roman" w:eastAsia="Times New Roman" w:hAnsi="Times New Roman"/>
          <w:b w:val="false"/>
          <w:bCs w:val="false"/>
          <w:i w:val="false"/>
          <w:iCs w:val="false"/>
          <w:sz w:val="20"/>
          <w:szCs w:val="20"/>
        </w:rPr>
        <w:t xml:space="preserve">% moves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iCs/>
          <w:sz w:val="20"/>
          <w:szCs w:val="20"/>
          <w:vertAlign w:val="subscript"/>
        </w:rPr>
        <w:t xml:space="preserve">RO</w:t>
      </w:r>
      <w:r>
        <w:rPr>
          <w:rFonts w:ascii="Times New Roman" w:cs="Times New Roman" w:eastAsia="Times New Roman" w:hAnsi="Times New Roman"/>
          <w:b w:val="false"/>
          <w:bCs w:val="false"/>
          <w:i w:val="false"/>
          <w:iCs w:val="false"/>
          <w:sz w:val="20"/>
          <w:szCs w:val="20"/>
        </w:rPr>
        <w:t xml:space="preserve"> between 1.51 and 1.88 GHz and the static power by 19</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(Fig. 15c); a skewed shift (</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n, </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p) leaves the frequency within 1.2% but moves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M</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val="false"/>
          <w:iCs w:val="false"/>
          <w:sz w:val="20"/>
          <w:szCs w:val="20"/>
        </w:rPr>
        <w:t xml:space="preserve"> from 0.38 to 0.46, so for the GaN platform threshold </w:t>
      </w:r>
      <w:r>
        <w:rPr>
          <w:rFonts w:ascii="Times New Roman" w:cs="Times New Roman" w:eastAsia="Times New Roman" w:hAnsi="Times New Roman"/>
          <w:b w:val="false"/>
          <w:bCs w:val="false"/>
          <w:i/>
          <w:iCs/>
          <w:sz w:val="20"/>
          <w:szCs w:val="20"/>
        </w:rPr>
        <w:t xml:space="preserve">matching</w:t>
      </w:r>
      <w:r>
        <w:rPr>
          <w:rFonts w:ascii="Times New Roman" w:cs="Times New Roman" w:eastAsia="Times New Roman" w:hAnsi="Times New Roman"/>
          <w:b w:val="false"/>
          <w:bCs w:val="false"/>
          <w:i w:val="false"/>
          <w:iCs w:val="false"/>
          <w:sz w:val="20"/>
          <w:szCs w:val="20"/>
        </w:rPr>
        <w:t xml:space="preserve"> between tiers is a noise-margin issue rather than a speed issue.</w:t>
      </w:r>
    </w:p>
    <w:p>
      <w:pPr>
        <w:pStyle w:val="Heading2"/>
        <w:keepNext/>
        <w:spacing w:after="80" w:before="160"/>
      </w:pPr>
      <w:r>
        <w:rPr>
          <w:rFonts w:ascii="Times New Roman" w:cs="Times New Roman" w:eastAsia="Times New Roman" w:hAnsi="Times New Roman"/>
          <w:i/>
          <w:iCs/>
          <w:sz w:val="20"/>
          <w:szCs w:val="20"/>
        </w:rPr>
        <w:t xml:space="preserve">J. </w:t>
      </w:r>
      <w:r>
        <w:rPr>
          <w:rFonts w:ascii="Times New Roman" w:cs="Times New Roman" w:eastAsia="Times New Roman" w:hAnsi="Times New Roman"/>
          <w:b w:val="false"/>
          <w:bCs w:val="false"/>
          <w:i/>
          <w:iCs/>
          <w:sz w:val="20"/>
          <w:szCs w:val="20"/>
        </w:rPr>
        <w:t xml:space="preserve">Monte Carlo and yield</w:t>
      </w:r>
    </w:p>
    <w:p>
      <w:pPr>
        <w:sectPr>
          <w:type w:val="continuous"/>
          <w:pgSz w:w="11906" w:h="16838" w:orient="portrait"/>
          <w:pgMar w:top="1080" w:right="900" w:bottom="1080" w:left="900" w:header="708" w:footer="708" w:gutter="0"/>
          <w:pgNumType/>
          <w:cols w:space="360" w:num="2" w:equalWidth="true"/>
          <w:docGrid w:linePitch="360"/>
        </w:sectPr>
      </w:pPr>
    </w:p>
    <w:p>
      <w:pPr>
        <w:spacing w:after="60" w:before="60"/>
        <w:jc w:val="center"/>
      </w:pPr>
      <w:r>
        <w:drawing>
          <wp:inline distT="0" distB="0" distL="0" distR="0">
            <wp:extent cx="66294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629400" cy="401002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16. </w:t>
      </w:r>
      <w:r>
        <w:rPr>
          <w:rFonts w:ascii="Times New Roman" w:cs="Times New Roman" w:eastAsia="Times New Roman" w:hAnsi="Times New Roman"/>
          <w:b w:val="false"/>
          <w:bCs w:val="false"/>
          <w:i w:val="false"/>
          <w:iCs w:val="false"/>
          <w:sz w:val="16"/>
          <w:szCs w:val="16"/>
        </w:rPr>
        <w:t xml:space="preserve">Monte Carlo (200 RO samples and 1000 inverter samples per platform): (a) </w:t>
      </w:r>
      <w:r>
        <w:rPr>
          <w:rFonts w:ascii="Times New Roman" w:cs="Times New Roman" w:eastAsia="Times New Roman" w:hAnsi="Times New Roman"/>
          <w:b w:val="false"/>
          <w:bCs w:val="false"/>
          <w:i/>
          <w:iCs/>
          <w:sz w:val="16"/>
          <w:szCs w:val="16"/>
        </w:rPr>
        <w:t xml:space="preserve">f</w:t>
      </w:r>
      <w:r>
        <w:rPr>
          <w:rFonts w:ascii="Times New Roman" w:cs="Times New Roman" w:eastAsia="Times New Roman" w:hAnsi="Times New Roman"/>
          <w:b w:val="false"/>
          <w:bCs w:val="false"/>
          <w:i/>
          <w:iCs/>
          <w:sz w:val="16"/>
          <w:szCs w:val="16"/>
          <w:vertAlign w:val="subscript"/>
        </w:rPr>
        <w:t xml:space="preserve">RO</w:t>
      </w:r>
      <w:r>
        <w:rPr>
          <w:rFonts w:ascii="Times New Roman" w:cs="Times New Roman" w:eastAsia="Times New Roman" w:hAnsi="Times New Roman"/>
          <w:b w:val="false"/>
          <w:bCs w:val="false"/>
          <w:i w:val="false"/>
          <w:iCs w:val="false"/>
          <w:sz w:val="16"/>
          <w:szCs w:val="16"/>
        </w:rPr>
        <w:t xml:space="preserve"> normalised to nominal, (b) energy per cycle normalised to its median, (c) </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M</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DD</w:t>
      </w:r>
      <w:r>
        <w:rPr>
          <w:rFonts w:ascii="Times New Roman" w:cs="Times New Roman" w:eastAsia="Times New Roman" w:hAnsi="Times New Roman"/>
          <w:b w:val="false"/>
          <w:bCs w:val="false"/>
          <w:i w:val="false"/>
          <w:iCs w:val="false"/>
          <w:sz w:val="16"/>
          <w:szCs w:val="16"/>
        </w:rPr>
        <w:t xml:space="preserve">, (d) noise-margin scatter with the </w:t>
      </w:r>
      <w:r>
        <w:rPr>
          <w:rFonts w:ascii="Times New Roman" w:cs="Times New Roman" w:eastAsia="Times New Roman" w:hAnsi="Times New Roman"/>
          <w:b w:val="false"/>
          <w:bCs w:val="false"/>
          <w:i w:val="false"/>
          <w:iCs w:val="false"/>
          <w:sz w:val="16"/>
          <w:szCs w:val="16"/>
        </w:rPr>
        <w:t xml:space="preserve">0.1</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DD</w:t>
      </w:r>
      <w:r>
        <w:rPr>
          <w:rFonts w:ascii="Times New Roman" w:cs="Times New Roman" w:eastAsia="Times New Roman" w:hAnsi="Times New Roman"/>
          <w:b w:val="false"/>
          <w:bCs w:val="false"/>
          <w:i w:val="false"/>
          <w:iCs w:val="false"/>
          <w:sz w:val="16"/>
          <w:szCs w:val="16"/>
        </w:rPr>
        <w:t xml:space="preserve"> functional limits, (e) frequency yield </w:t>
      </w:r>
      <w:r>
        <w:rPr>
          <w:rFonts w:ascii="Times New Roman" w:cs="Times New Roman" w:eastAsia="Times New Roman" w:hAnsi="Times New Roman"/>
          <w:b w:val="false"/>
          <w:bCs w:val="false"/>
          <w:i/>
          <w:iCs/>
          <w:sz w:val="16"/>
          <w:szCs w:val="16"/>
        </w:rPr>
        <w:t xml:space="preserve">Y</w:t>
      </w:r>
      <w:r>
        <w:rPr>
          <w:rFonts w:ascii="Times New Roman" w:cs="Times New Roman" w:eastAsia="Times New Roman" w:hAnsi="Times New Roman"/>
          <w:b w:val="false"/>
          <w:bCs w:val="false"/>
          <w:i/>
          <w:iCs/>
          <w:sz w:val="16"/>
          <w:szCs w:val="16"/>
          <w:vertAlign w:val="subscript"/>
        </w:rPr>
        <w:t xml:space="preserve">f</w:t>
      </w:r>
      <w:r>
        <w:rPr>
          <w:rFonts w:ascii="Times New Roman" w:cs="Times New Roman" w:eastAsia="Times New Roman" w:hAnsi="Times New Roman"/>
          <w:b w:val="false"/>
          <w:bCs w:val="false"/>
          <w:i w:val="false"/>
          <w:iCs w:val="false"/>
          <w:sz w:val="16"/>
          <w:szCs w:val="16"/>
        </w:rPr>
        <w:t xml:space="preserve"> and functional yield, (f) relative frequency spread.</w:t>
      </w:r>
    </w:p>
    <w:p>
      <w:pPr>
        <w:sectPr>
          <w:type w:val="continuous"/>
          <w:pgSz w:w="11906" w:h="16838" w:orient="portrait"/>
          <w:pgMar w:top="1080" w:right="900" w:bottom="1080" w:left="900" w:header="708" w:footer="708" w:gutter="0"/>
          <w:pgNumType/>
          <w:cols w:num="1"/>
          <w:docGrid w:linePitch="360"/>
        </w:sectPr>
      </w:pPr>
    </w:p>
    <w:p>
      <w:pPr>
        <w:keepNext/>
        <w:spacing w:after="40" w:before="120"/>
        <w:jc w:val="center"/>
      </w:pPr>
      <w:r>
        <w:rPr>
          <w:rFonts w:ascii="Times New Roman" w:cs="Times New Roman" w:eastAsia="Times New Roman" w:hAnsi="Times New Roman"/>
          <w:sz w:val="16"/>
          <w:szCs w:val="16"/>
        </w:rPr>
        <w:t xml:space="preserve">TABLE V</w:t>
      </w:r>
    </w:p>
    <w:p>
      <w:pPr>
        <w:keepNext/>
        <w:spacing w:after="60"/>
        <w:jc w:val="center"/>
      </w:pPr>
      <w:r>
        <w:rPr>
          <w:rFonts w:ascii="Times New Roman" w:cs="Times New Roman" w:eastAsia="Times New Roman" w:hAnsi="Times New Roman"/>
          <w:b w:val="false"/>
          <w:bCs w:val="false"/>
          <w:i w:val="false"/>
          <w:iCs w:val="false"/>
          <w:sz w:val="16"/>
          <w:szCs w:val="16"/>
        </w:rPr>
        <w:t xml:space="preserve">Monte Carlo summary and yield (criteria: </w:t>
      </w:r>
      <w:r>
        <w:rPr>
          <w:rFonts w:ascii="Times New Roman" w:cs="Times New Roman" w:eastAsia="Times New Roman" w:hAnsi="Times New Roman"/>
          <w:b w:val="false"/>
          <w:bCs w:val="false"/>
          <w:i/>
          <w:iCs/>
          <w:sz w:val="16"/>
          <w:szCs w:val="16"/>
        </w:rPr>
        <w:t xml:space="preserve">f</w:t>
      </w:r>
      <w:r>
        <w:rPr>
          <w:rFonts w:ascii="Times New Roman" w:cs="Times New Roman" w:eastAsia="Times New Roman" w:hAnsi="Times New Roman"/>
          <w:b w:val="false"/>
          <w:bCs w:val="false"/>
          <w:i/>
          <w:iCs/>
          <w:sz w:val="16"/>
          <w:szCs w:val="16"/>
          <w:vertAlign w:val="subscript"/>
        </w:rPr>
        <w:t xml:space="preserve">RO</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geq</w:t>
      </w:r>
      <w:r>
        <w:rPr>
          <w:rFonts w:ascii="Times New Roman" w:cs="Times New Roman" w:eastAsia="Times New Roman" w:hAnsi="Times New Roman"/>
          <w:b w:val="false"/>
          <w:bCs w:val="false"/>
          <w:i w:val="false"/>
          <w:iCs w:val="false"/>
          <w:sz w:val="16"/>
          <w:szCs w:val="16"/>
        </w:rPr>
        <w:t xml:space="preserve">0.9</w:t>
      </w:r>
      <w:r>
        <w:rPr>
          <w:rFonts w:ascii="Times New Roman" w:cs="Times New Roman" w:eastAsia="Times New Roman" w:hAnsi="Times New Roman"/>
          <w:b w:val="false"/>
          <w:bCs w:val="false"/>
          <w:i/>
          <w:iCs/>
          <w:sz w:val="16"/>
          <w:szCs w:val="16"/>
        </w:rPr>
        <w:t xml:space="preserve">f</w:t>
      </w:r>
      <w:r>
        <w:rPr>
          <w:rFonts w:ascii="Times New Roman" w:cs="Times New Roman" w:eastAsia="Times New Roman" w:hAnsi="Times New Roman"/>
          <w:b w:val="false"/>
          <w:bCs w:val="false"/>
          <w:i/>
          <w:iCs/>
          <w:sz w:val="16"/>
          <w:szCs w:val="16"/>
          <w:vertAlign w:val="subscript"/>
        </w:rPr>
        <w:t xml:space="preserve">RO,nom</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NM</w:t>
      </w:r>
      <w:r>
        <w:rPr>
          <w:rFonts w:ascii="Times New Roman" w:cs="Times New Roman" w:eastAsia="Times New Roman" w:hAnsi="Times New Roman"/>
          <w:b w:val="false"/>
          <w:bCs w:val="false"/>
          <w:i/>
          <w:iCs/>
          <w:sz w:val="16"/>
          <w:szCs w:val="16"/>
          <w:vertAlign w:val="subscript"/>
        </w:rPr>
        <w:t xml:space="preserve">L,H</w:t>
      </w:r>
      <w:r>
        <w:rPr>
          <w:rFonts w:ascii="Times New Roman" w:cs="Times New Roman" w:eastAsia="Times New Roman" w:hAnsi="Times New Roman"/>
          <w:b w:val="false"/>
          <w:bCs w:val="false"/>
          <w:i w:val="false"/>
          <w:iCs w:val="false"/>
          <w:sz w:val="16"/>
          <w:szCs w:val="16"/>
        </w:rPr>
        <w:t xml:space="preserve">&gt;0.1</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DD</w:t>
      </w:r>
      <w:r>
        <w:rPr>
          <w:rFonts w:ascii="Times New Roman" w:cs="Times New Roman" w:eastAsia="Times New Roman" w:hAnsi="Times New Roman"/>
          <w:b w:val="false"/>
          <w:bCs w:val="false"/>
          <w:i w:val="false"/>
          <w:iCs w:val="false"/>
          <w:sz w:val="16"/>
          <w:szCs w:val="16"/>
        </w:rPr>
        <w:t xml:space="preserve"> and </w:t>
      </w:r>
      <w:r>
        <w:rPr>
          <w:rFonts w:ascii="Times New Roman" w:cs="Times New Roman" w:eastAsia="Times New Roman" w:hAnsi="Times New Roman"/>
          <w:b w:val="false"/>
          <w:bCs w:val="false"/>
          <w:i/>
          <w:iCs/>
          <w:sz w:val="16"/>
          <w:szCs w:val="16"/>
        </w:rPr>
        <w:t xml:space="preserve">A</w:t>
      </w:r>
      <w:r>
        <w:rPr>
          <w:rFonts w:ascii="Times New Roman" w:cs="Times New Roman" w:eastAsia="Times New Roman" w:hAnsi="Times New Roman"/>
          <w:b w:val="false"/>
          <w:bCs w:val="false"/>
          <w:i/>
          <w:iCs/>
          <w:sz w:val="16"/>
          <w:szCs w:val="16"/>
          <w:vertAlign w:val="subscript"/>
        </w:rPr>
        <w:t xml:space="preserve">V</w:t>
      </w:r>
      <w:r>
        <w:rPr>
          <w:rFonts w:ascii="Times New Roman" w:cs="Times New Roman" w:eastAsia="Times New Roman" w:hAnsi="Times New Roman"/>
          <w:b w:val="false"/>
          <w:bCs w:val="false"/>
          <w:i w:val="false"/>
          <w:iCs w:val="false"/>
          <w:sz w:val="16"/>
          <w:szCs w:val="16"/>
        </w:rPr>
        <w:t xml:space="preserve">&gt;10</w:t>
      </w:r>
      <w:r>
        <w:rPr>
          <w:rFonts w:ascii="Times New Roman" w:cs="Times New Roman" w:eastAsia="Times New Roman" w:hAnsi="Times New Roman"/>
          <w:b w:val="false"/>
          <w:bCs w:val="false"/>
          <w:i w:val="false"/>
          <w:iCs w:val="false"/>
          <w:sz w:val="16"/>
          <w:szCs w:val="16"/>
        </w:rPr>
        <w:t xml:space="preserve">).</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630"/>
        <w:gridCol w:w="630"/>
        <w:gridCol w:w="630"/>
        <w:gridCol w:w="630"/>
        <w:gridCol w:w="630"/>
        <w:gridCol w:w="630"/>
        <w:gridCol w:w="630"/>
        <w:gridCol w:w="630"/>
      </w:tblGrid>
      <w:tr>
        <w:tc>
          <w:tcPr>
            <w:tcW w:type="dxa" w:w="63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lrrrrrrr@{}}
Platform</w:t>
            </w:r>
          </w:p>
        </w:tc>
        <w:tc>
          <w:tcPr>
            <w:tcW w:type="dxa" w:w="63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i/>
                <w:iCs/>
                <w:sz w:val="14"/>
                <w:szCs w:val="14"/>
                <w:vertAlign w:val="subscript"/>
              </w:rPr>
              <w:t xml:space="preserve">RO</w:t>
            </w:r>
          </w:p>
        </w:tc>
        <w:tc>
          <w:tcPr>
            <w:tcW w:type="dxa" w:w="63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f</w:t>
            </w:r>
            <w:r>
              <w:rPr>
                <w:rFonts w:ascii="Times New Roman" w:cs="Times New Roman" w:eastAsia="Times New Roman" w:hAnsi="Times New Roman"/>
                <w:b w:val="false"/>
                <w:bCs w:val="false"/>
                <w:i w:val="false"/>
                <w:iCs w:val="false"/>
                <w:sz w:val="14"/>
                <w:szCs w:val="14"/>
              </w:rPr>
              <w:t xml:space="preserve">̄</w:t>
            </w:r>
            <w:r>
              <w:rPr>
                <w:rFonts w:ascii="Times New Roman" w:cs="Times New Roman" w:eastAsia="Times New Roman" w:hAnsi="Times New Roman"/>
                <w:b w:val="false"/>
                <w:bCs w:val="false"/>
                <w:i/>
                <w:iCs/>
                <w:sz w:val="14"/>
                <w:szCs w:val="14"/>
                <w:vertAlign w:val="subscript"/>
              </w:rPr>
              <w:t xml:space="preserve">RO</w:t>
            </w:r>
          </w:p>
        </w:tc>
        <w:tc>
          <w:tcPr>
            <w:tcW w:type="dxa" w:w="63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w:t>
            </w:r>
            <w:r>
              <w:rPr>
                <w:rFonts w:ascii="Times New Roman" w:cs="Times New Roman" w:eastAsia="Times New Roman" w:hAnsi="Times New Roman"/>
                <w:b w:val="false"/>
                <w:bCs w:val="false"/>
                <w:i/>
                <w:iCs/>
                <w:sz w:val="14"/>
                <w:szCs w:val="14"/>
              </w:rPr>
              <w:t xml:space="preserve">sigma</w:t>
            </w:r>
            <w:r>
              <w:rPr>
                <w:rFonts w:ascii="Times New Roman" w:cs="Times New Roman" w:eastAsia="Times New Roman" w:hAnsi="Times New Roman"/>
                <w:b w:val="false"/>
                <w:bCs w:val="false"/>
                <w:i/>
                <w:iCs/>
                <w:sz w:val="14"/>
                <w:szCs w:val="14"/>
                <w:vertAlign w:val="subscript"/>
              </w:rPr>
              <w:t xml:space="preserve">f</w:t>
            </w:r>
            <w:r>
              <w:rPr>
                <w:rFonts w:ascii="Times New Roman" w:cs="Times New Roman" w:eastAsia="Times New Roman" w:hAnsi="Times New Roman"/>
                <w:b w:val="false"/>
                <w:bCs w:val="false"/>
                <w:i w:val="false"/>
                <w:iCs w:val="false"/>
                <w:sz w:val="14"/>
                <w:szCs w:val="14"/>
              </w:rPr>
              <w:t xml:space="preserve">/</w:t>
            </w:r>
            <w:r>
              <w:rPr>
                <w:rFonts w:ascii="Times New Roman" w:cs="Times New Roman" w:eastAsia="Times New Roman" w:hAnsi="Times New Roman"/>
                <w:b w:val="false"/>
                <w:bCs w:val="false"/>
                <w:i/>
                <w:iCs/>
                <w:sz w:val="14"/>
                <w:szCs w:val="14"/>
              </w:rPr>
              <w:t xml:space="preserve">f</w:t>
            </w:r>
            <w:r>
              <w:rPr>
                <w:rFonts w:ascii="Times New Roman" w:cs="Times New Roman" w:eastAsia="Times New Roman" w:hAnsi="Times New Roman"/>
                <w:b w:val="false"/>
                <w:bCs w:val="false"/>
                <w:i w:val="false"/>
                <w:iCs w:val="false"/>
                <w:sz w:val="14"/>
                <w:szCs w:val="14"/>
              </w:rPr>
              <w:t xml:space="preserve">̄</w:t>
            </w:r>
          </w:p>
        </w:tc>
        <w:tc>
          <w:tcPr>
            <w:tcW w:type="dxa" w:w="63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Y</w:t>
            </w:r>
            <w:r>
              <w:rPr>
                <w:rFonts w:ascii="Times New Roman" w:cs="Times New Roman" w:eastAsia="Times New Roman" w:hAnsi="Times New Roman"/>
                <w:b w:val="false"/>
                <w:bCs w:val="false"/>
                <w:i/>
                <w:iCs/>
                <w:sz w:val="14"/>
                <w:szCs w:val="14"/>
                <w:vertAlign w:val="subscript"/>
              </w:rPr>
              <w:t xml:space="preserve">f</w:t>
            </w:r>
          </w:p>
        </w:tc>
        <w:tc>
          <w:tcPr>
            <w:tcW w:type="dxa" w:w="63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E</w:t>
            </w:r>
            <w:r>
              <w:rPr>
                <w:rFonts w:ascii="Times New Roman" w:cs="Times New Roman" w:eastAsia="Times New Roman" w:hAnsi="Times New Roman"/>
                <w:b w:val="false"/>
                <w:bCs w:val="false"/>
                <w:i w:val="false"/>
                <w:iCs w:val="false"/>
                <w:sz w:val="14"/>
                <w:szCs w:val="14"/>
              </w:rPr>
              <w:t xml:space="preserve">̄</w:t>
            </w:r>
            <w:r>
              <w:rPr>
                <w:rFonts w:ascii="Times New Roman" w:cs="Times New Roman" w:eastAsia="Times New Roman" w:hAnsi="Times New Roman"/>
                <w:b w:val="false"/>
                <w:bCs w:val="false"/>
                <w:i/>
                <w:iCs/>
                <w:sz w:val="14"/>
                <w:szCs w:val="14"/>
                <w:vertAlign w:val="subscript"/>
              </w:rPr>
              <w:t xml:space="preserve">cycle</w:t>
            </w:r>
          </w:p>
        </w:tc>
        <w:tc>
          <w:tcPr>
            <w:tcW w:type="dxa" w:w="63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N</w:t>
            </w:r>
            <w:r>
              <w:rPr>
                <w:rFonts w:ascii="Times New Roman" w:cs="Times New Roman" w:eastAsia="Times New Roman" w:hAnsi="Times New Roman"/>
                <w:b w:val="false"/>
                <w:bCs w:val="false"/>
                <w:i/>
                <w:iCs/>
                <w:sz w:val="14"/>
                <w:szCs w:val="14"/>
                <w:vertAlign w:val="subscript"/>
              </w:rPr>
              <w:t xml:space="preserve">inv</w:t>
            </w:r>
          </w:p>
        </w:tc>
        <w:tc>
          <w:tcPr>
            <w:tcW w:type="dxa" w:w="63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iCs/>
                <w:sz w:val="14"/>
                <w:szCs w:val="14"/>
              </w:rPr>
              <w:t xml:space="preserve">Y</w:t>
            </w:r>
            <w:r>
              <w:rPr>
                <w:rFonts w:ascii="Times New Roman" w:cs="Times New Roman" w:eastAsia="Times New Roman" w:hAnsi="Times New Roman"/>
                <w:b w:val="false"/>
                <w:bCs w:val="false"/>
                <w:i/>
                <w:iCs/>
                <w:sz w:val="14"/>
                <w:szCs w:val="14"/>
                <w:vertAlign w:val="subscript"/>
              </w:rPr>
              <w:t xml:space="preserve">func</w:t>
            </w:r>
          </w:p>
        </w:tc>
      </w:tr>
      <w:tr>
        <w:tc>
          <w:tcPr>
            <w:tcW w:type="dxa" w:w="63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left"/>
            </w:pPr>
          </w:p>
        </w:tc>
        <w:tc>
          <w:tcPr>
            <w:tcW w:type="dxa" w:w="63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p>
        </w:tc>
        <w:tc>
          <w:tcPr>
            <w:tcW w:type="dxa" w:w="63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(GHz)</w:t>
            </w:r>
          </w:p>
        </w:tc>
        <w:tc>
          <w:tcPr>
            <w:tcW w:type="dxa" w:w="63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w:t>
            </w:r>
          </w:p>
        </w:tc>
        <w:tc>
          <w:tcPr>
            <w:tcW w:type="dxa" w:w="63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w:t>
            </w:r>
          </w:p>
        </w:tc>
        <w:tc>
          <w:tcPr>
            <w:tcW w:type="dxa" w:w="63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(fJ)</w:t>
            </w:r>
          </w:p>
        </w:tc>
        <w:tc>
          <w:tcPr>
            <w:tcW w:type="dxa" w:w="63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p>
        </w:tc>
        <w:tc>
          <w:tcPr>
            <w:tcW w:type="dxa" w:w="63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w:t>
            </w:r>
          </w:p>
        </w:tc>
      </w:tr>
      <w:tr>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CFET-Si</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150</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19.35</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6.9</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91.3</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2.10</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1000</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100.0</w:t>
            </w:r>
          </w:p>
        </w:tc>
      </w:tr>
      <w:tr>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CFET-SiGe</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150</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21.43</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6.5</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94.0</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2.12</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1000</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100.0</w:t>
            </w:r>
          </w:p>
        </w:tc>
      </w:tr>
      <w:tr>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CFET-TMD</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150</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2.42</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33.5</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48.7</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0.67</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1000</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100.0</w:t>
            </w:r>
          </w:p>
        </w:tc>
      </w:tr>
      <w:tr>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CFET-CNT</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150</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44.87</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10.4</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79.3</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0.84</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1000</w:t>
            </w:r>
          </w:p>
        </w:tc>
        <w:tc>
          <w:tcPr>
            <w:tcW w:type="dxa" w:w="63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100.0</w:t>
            </w:r>
          </w:p>
        </w:tc>
      </w:tr>
      <w:tr>
        <w:tc>
          <w:tcPr>
            <w:tcW w:type="dxa" w:w="63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CFET-GaN</w:t>
            </w:r>
          </w:p>
        </w:tc>
        <w:tc>
          <w:tcPr>
            <w:tcW w:type="dxa" w:w="63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150</w:t>
            </w:r>
          </w:p>
        </w:tc>
        <w:tc>
          <w:tcPr>
            <w:tcW w:type="dxa" w:w="63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1.67</w:t>
            </w:r>
          </w:p>
        </w:tc>
        <w:tc>
          <w:tcPr>
            <w:tcW w:type="dxa" w:w="63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9.4</w:t>
            </w:r>
          </w:p>
        </w:tc>
        <w:tc>
          <w:tcPr>
            <w:tcW w:type="dxa" w:w="63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79.3</w:t>
            </w:r>
          </w:p>
        </w:tc>
        <w:tc>
          <w:tcPr>
            <w:tcW w:type="dxa" w:w="63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94.23</w:t>
            </w:r>
          </w:p>
        </w:tc>
        <w:tc>
          <w:tcPr>
            <w:tcW w:type="dxa" w:w="63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1000</w:t>
            </w:r>
          </w:p>
        </w:tc>
        <w:tc>
          <w:tcPr>
            <w:tcW w:type="dxa" w:w="63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99.9</w:t>
            </w:r>
          </w:p>
        </w:tc>
      </w:tr>
    </w:tbl>
    <w:p>
      <w:pPr>
        <w:spacing w:after="120"/>
      </w:pP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Monte Carlo was run only after the nominal VTCs, RO start-up and extraction had been verified for all platforms. The random variables are the physical model parameters listed in Section III (Si: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TH0</w:t>
      </w:r>
      <w:r>
        <w:rPr>
          <w:rFonts w:ascii="Times New Roman" w:cs="Times New Roman" w:eastAsia="Times New Roman" w:hAnsi="Times New Roman"/>
          <w:b w:val="false"/>
          <w:bCs w:val="false"/>
          <w:i w:val="false"/>
          <w:iCs w:val="false"/>
          <w:sz w:val="20"/>
          <w:szCs w:val="20"/>
        </w:rPr>
        <w:t xml:space="preserve"> with </w:t>
      </w:r>
      <w:r>
        <w:rPr>
          <w:rFonts w:ascii="Times New Roman" w:cs="Times New Roman" w:eastAsia="Times New Roman" w:hAnsi="Times New Roman"/>
          <w:b w:val="false"/>
          <w:bCs w:val="false"/>
          <w:i w:val="false"/>
          <w:iCs w:val="false"/>
          <w:sz w:val="20"/>
          <w:szCs w:val="20"/>
        </w:rPr>
        <w:t xml:space="preserve">σ=20</w:t>
      </w:r>
      <w:r>
        <w:rPr>
          <w:rFonts w:ascii="Times New Roman" w:cs="Times New Roman" w:eastAsia="Times New Roman" w:hAnsi="Times New Roman"/>
          <w:b w:val="false"/>
          <w:bCs w:val="false"/>
          <w:i w:val="false"/>
          <w:iCs w:val="false"/>
          <w:sz w:val="20"/>
          <w:szCs w:val="20"/>
        </w:rPr>
        <w:t xml:space="preserve"> mV including work-function shift, </w:t>
      </w:r>
      <w:r>
        <w:rPr>
          <w:rFonts w:ascii="Times New Roman" w:cs="Times New Roman" w:eastAsia="Times New Roman" w:hAnsi="Times New Roman"/>
          <w:b w:val="false"/>
          <w:bCs w:val="false"/>
          <w:i/>
          <w:iCs/>
          <w:sz w:val="20"/>
          <w:szCs w:val="20"/>
        </w:rPr>
        <w:t xml:space="preserve">W</w:t>
      </w:r>
      <w:r>
        <w:rPr>
          <w:rFonts w:ascii="Times New Roman" w:cs="Times New Roman" w:eastAsia="Times New Roman" w:hAnsi="Times New Roman"/>
          <w:b w:val="false"/>
          <w:bCs w:val="false"/>
          <w:i/>
          <w:iCs/>
          <w:sz w:val="20"/>
          <w:szCs w:val="20"/>
          <w:vertAlign w:val="subscript"/>
        </w:rPr>
        <w:t xml:space="preserve">NS</w:t>
      </w:r>
      <w:r>
        <w:rPr>
          <w:rFonts w:ascii="Times New Roman" w:cs="Times New Roman" w:eastAsia="Times New Roman" w:hAnsi="Times New Roman"/>
          <w:b w:val="false"/>
          <w:bCs w:val="false"/>
          <w:i w:val="false"/>
          <w:iCs w:val="false"/>
          <w:sz w:val="20"/>
          <w:szCs w:val="20"/>
        </w:rPr>
        <w:t xml:space="preserve"> with </w:t>
      </w:r>
      <w:r>
        <w:rPr>
          <w:rFonts w:ascii="Times New Roman" w:cs="Times New Roman" w:eastAsia="Times New Roman" w:hAnsi="Times New Roman"/>
          <w:b w:val="false"/>
          <w:bCs w:val="false"/>
          <w:i w:val="false"/>
          <w:iCs w:val="false"/>
          <w:sz w:val="20"/>
          <w:szCs w:val="20"/>
        </w:rPr>
        <w:t xml:space="preserve">σ=1</w:t>
      </w:r>
      <w:r>
        <w:rPr>
          <w:rFonts w:ascii="Times New Roman" w:cs="Times New Roman" w:eastAsia="Times New Roman" w:hAnsi="Times New Roman"/>
          <w:b w:val="false"/>
          <w:bCs w:val="false"/>
          <w:i w:val="false"/>
          <w:iCs w:val="false"/>
          <w:sz w:val="20"/>
          <w:szCs w:val="20"/>
        </w:rPr>
        <w:t xml:space="preserve"> nm,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iCs/>
          <w:sz w:val="20"/>
          <w:szCs w:val="20"/>
          <w:vertAlign w:val="subscript"/>
        </w:rPr>
        <w:t xml:space="preserve">SD</w:t>
      </w:r>
      <w:r>
        <w:rPr>
          <w:rFonts w:ascii="Times New Roman" w:cs="Times New Roman" w:eastAsia="Times New Roman" w:hAnsi="Times New Roman"/>
          <w:b w:val="false"/>
          <w:bCs w:val="false"/>
          <w:i w:val="false"/>
          <w:iCs w:val="false"/>
          <w:sz w:val="20"/>
          <w:szCs w:val="20"/>
        </w:rPr>
        <w:t xml:space="preserve"> 10%; SiGe adds 10% on the p-mobility as a composition proxy; TMD: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iCs/>
          <w:sz w:val="20"/>
          <w:szCs w:val="20"/>
          <w:vertAlign w:val="subscript"/>
        </w:rPr>
        <w:t xml:space="preserve">C</w:t>
      </w:r>
      <w:r>
        <w:rPr>
          <w:rFonts w:ascii="Times New Roman" w:cs="Times New Roman" w:eastAsia="Times New Roman" w:hAnsi="Times New Roman"/>
          <w:b w:val="false"/>
          <w:bCs w:val="false"/>
          <w:i w:val="false"/>
          <w:iCs w:val="false"/>
          <w:sz w:val="20"/>
          <w:szCs w:val="20"/>
        </w:rPr>
        <w:t xml:space="preserve"> 30% log-normal,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TH0</w:t>
      </w:r>
      <w:r>
        <w:rPr>
          <w:rFonts w:ascii="Times New Roman" w:cs="Times New Roman" w:eastAsia="Times New Roman" w:hAnsi="Times New Roman"/>
          <w:b w:val="false"/>
          <w:bCs w:val="false"/>
          <w:i w:val="false"/>
          <w:iCs w:val="false"/>
          <w:sz w:val="20"/>
          <w:szCs w:val="20"/>
        </w:rPr>
        <w:t xml:space="preserve"> 50 mV, mobility 20%,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iCs/>
          <w:sz w:val="20"/>
          <w:szCs w:val="20"/>
          <w:vertAlign w:val="subscript"/>
        </w:rPr>
        <w:t xml:space="preserve">it</w:t>
      </w:r>
      <w:r>
        <w:rPr>
          <w:rFonts w:ascii="Times New Roman" w:cs="Times New Roman" w:eastAsia="Times New Roman" w:hAnsi="Times New Roman"/>
          <w:b w:val="false"/>
          <w:bCs w:val="false"/>
          <w:i w:val="false"/>
          <w:iCs w:val="false"/>
          <w:sz w:val="20"/>
          <w:szCs w:val="20"/>
        </w:rPr>
        <w:t xml:space="preserve"> 0.3 decades; CNT: density 15%, metallic fraction log-normal around </w:t>
      </w:r>
      <w:r>
        <w:rPr>
          <w:rFonts w:ascii="Times New Roman" w:cs="Times New Roman" w:eastAsia="Times New Roman" w:hAnsi="Times New Roman"/>
          <w:b w:val="false"/>
          <w:bCs w:val="false"/>
          <w:i w:val="false"/>
          <w:iCs w:val="false"/>
          <w:sz w:val="20"/>
          <w:szCs w:val="20"/>
        </w:rPr>
        <w:t xml:space="preserve">10</w:t>
      </w:r>
      <w:r>
        <w:rPr>
          <w:rFonts w:ascii="Times New Roman" w:cs="Times New Roman" w:eastAsia="Times New Roman" w:hAnsi="Times New Roman"/>
          <w:b w:val="false"/>
          <w:bCs w:val="false"/>
          <w:i/>
          <w:iCs/>
          <w:sz w:val="20"/>
          <w:szCs w:val="20"/>
          <w:vertAlign w:val="superscript"/>
        </w:rPr>
        <w:t xml:space="preserve">-6</w:t>
      </w:r>
      <w:r>
        <w:rPr>
          <w:rFonts w:ascii="Times New Roman" w:cs="Times New Roman" w:eastAsia="Times New Roman" w:hAnsi="Times New Roman"/>
          <w:b w:val="false"/>
          <w:bCs w:val="false"/>
          <w:i w:val="false"/>
          <w:iCs w:val="false"/>
          <w:sz w:val="20"/>
          <w:szCs w:val="20"/>
        </w:rPr>
        <w:t xml:space="preserve"> with 0.5 decades,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iCs/>
          <w:sz w:val="20"/>
          <w:szCs w:val="20"/>
          <w:vertAlign w:val="subscript"/>
        </w:rPr>
        <w:t xml:space="preserve">C</w:t>
      </w:r>
      <w:r>
        <w:rPr>
          <w:rFonts w:ascii="Times New Roman" w:cs="Times New Roman" w:eastAsia="Times New Roman" w:hAnsi="Times New Roman"/>
          <w:b w:val="false"/>
          <w:bCs w:val="false"/>
          <w:i w:val="false"/>
          <w:iCs w:val="false"/>
          <w:sz w:val="20"/>
          <w:szCs w:val="20"/>
        </w:rPr>
        <w:t xml:space="preserve"> 30%; GaN: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TH0</w:t>
      </w:r>
      <w:r>
        <w:rPr>
          <w:rFonts w:ascii="Times New Roman" w:cs="Times New Roman" w:eastAsia="Times New Roman" w:hAnsi="Times New Roman"/>
          <w:b w:val="false"/>
          <w:bCs w:val="false"/>
          <w:i w:val="false"/>
          <w:iCs w:val="false"/>
          <w:sz w:val="20"/>
          <w:szCs w:val="20"/>
        </w:rPr>
        <w:t xml:space="preserve"> 50 mV including trap shift, mobility 10%,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iCs/>
          <w:sz w:val="20"/>
          <w:szCs w:val="20"/>
          <w:vertAlign w:val="subscript"/>
        </w:rPr>
        <w:t xml:space="preserve">th</w:t>
      </w:r>
      <w:r>
        <w:rPr>
          <w:rFonts w:ascii="Times New Roman" w:cs="Times New Roman" w:eastAsia="Times New Roman" w:hAnsi="Times New Roman"/>
          <w:b w:val="false"/>
          <w:bCs w:val="false"/>
          <w:i w:val="false"/>
          <w:iCs w:val="false"/>
          <w:sz w:val="20"/>
          <w:szCs w:val="20"/>
        </w:rPr>
        <w:t xml:space="preserve"> 20%), drawn independently for the n- and p-device, with the same seeded generator for every platform. Table V and Fig. 16 give the outcome. All 150 RO samples of every platform oscillate and all five inverter populations pass the functional criterion in </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geq</w:t>
      </w:r>
      <w:r>
        <w:rPr>
          <w:rFonts w:ascii="Times New Roman" w:cs="Times New Roman" w:eastAsia="Times New Roman" w:hAnsi="Times New Roman"/>
          <w:b w:val="false"/>
          <w:bCs w:val="false"/>
          <w:i w:val="false"/>
          <w:iCs w:val="false"/>
          <w:sz w:val="20"/>
          <w:szCs w:val="20"/>
        </w:rPr>
        <w:t xml:space="preserve">99.9</w:t>
      </w:r>
      <w:r>
        <w:rPr>
          <w:rFonts w:ascii="Times New Roman" w:cs="Times New Roman" w:eastAsia="Times New Roman" w:hAnsi="Times New Roman"/>
          <w:b w:val="false"/>
          <w:bCs w:val="false"/>
          <w:i w:val="false"/>
          <w:iCs w:val="false"/>
          <w:sz w:val="20"/>
          <w:szCs w:val="20"/>
        </w:rPr>
        <w:t xml:space="preserve">% of the 1000 samples (the single GaN failure is a low-</w:t>
      </w:r>
      <w:r>
        <w:rPr>
          <w:rFonts w:ascii="Times New Roman" w:cs="Times New Roman" w:eastAsia="Times New Roman" w:hAnsi="Times New Roman"/>
          <w:b w:val="false"/>
          <w:bCs w:val="false"/>
          <w:i/>
          <w:iCs/>
          <w:sz w:val="20"/>
          <w:szCs w:val="20"/>
        </w:rPr>
        <w:t xml:space="preserve">NM</w:t>
      </w:r>
      <w:r>
        <w:rPr>
          <w:rFonts w:ascii="Times New Roman" w:cs="Times New Roman" w:eastAsia="Times New Roman" w:hAnsi="Times New Roman"/>
          <w:b w:val="false"/>
          <w:bCs w:val="false"/>
          <w:i/>
          <w:iCs/>
          <w:sz w:val="20"/>
          <w:szCs w:val="20"/>
          <w:vertAlign w:val="subscript"/>
        </w:rPr>
        <w:t xml:space="preserve">L</w:t>
      </w:r>
      <w:r>
        <w:rPr>
          <w:rFonts w:ascii="Times New Roman" w:cs="Times New Roman" w:eastAsia="Times New Roman" w:hAnsi="Times New Roman"/>
          <w:b w:val="false"/>
          <w:bCs w:val="false"/>
          <w:i w:val="false"/>
          <w:iCs w:val="false"/>
          <w:sz w:val="20"/>
          <w:szCs w:val="20"/>
        </w:rPr>
        <w:t xml:space="preserve"> sample at </w:t>
      </w:r>
      <w:r>
        <w:rPr>
          <w:rFonts w:ascii="Times New Roman" w:cs="Times New Roman" w:eastAsia="Times New Roman" w:hAnsi="Times New Roman"/>
          <w:b w:val="false"/>
          <w:bCs w:val="false"/>
          <w:i w:val="false"/>
          <w:iCs w:val="false"/>
          <w:sz w:val="20"/>
          <w:szCs w:val="20"/>
        </w:rPr>
        <w:t xml:space="preserve">0.095</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val="false"/>
          <w:iCs w:val="false"/>
          <w:sz w:val="20"/>
          <w:szCs w:val="20"/>
        </w:rPr>
        <w:t xml:space="preserve">). The frequency spread separates the platforms: </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sigma</w:t>
      </w:r>
      <w:r>
        <w:rPr>
          <w:rFonts w:ascii="Times New Roman" w:cs="Times New Roman" w:eastAsia="Times New Roman" w:hAnsi="Times New Roman"/>
          <w:b w:val="false"/>
          <w:bCs w:val="false"/>
          <w:i/>
          <w:iCs/>
          <w:sz w:val="20"/>
          <w:szCs w:val="20"/>
          <w:vertAlign w:val="subscript"/>
        </w:rPr>
        <w:t xml:space="preserve">f</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val="false"/>
          <w:iCs w:val="false"/>
          <w:sz w:val="20"/>
          <w:szCs w:val="20"/>
        </w:rPr>
        <w:t xml:space="preserve">̄</w:t>
      </w:r>
      <w:r>
        <w:rPr>
          <w:rFonts w:ascii="Times New Roman" w:cs="Times New Roman" w:eastAsia="Times New Roman" w:hAnsi="Times New Roman"/>
          <w:b w:val="false"/>
          <w:bCs w:val="false"/>
          <w:i w:val="false"/>
          <w:iCs w:val="false"/>
          <w:sz w:val="20"/>
          <w:szCs w:val="20"/>
        </w:rPr>
        <w:t xml:space="preserve"> is 6.5% and 6.9% for the SiGe and Si cells, 9.4% for GaN, 10.4% for CNT and 33.5% for TMD, and the frequency yield at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iCs/>
          <w:sz w:val="20"/>
          <w:szCs w:val="20"/>
          <w:vertAlign w:val="subscript"/>
        </w:rPr>
        <w:t xml:space="preserve">target</w:t>
      </w:r>
      <w:r>
        <w:rPr>
          <w:rFonts w:ascii="Times New Roman" w:cs="Times New Roman" w:eastAsia="Times New Roman" w:hAnsi="Times New Roman"/>
          <w:b w:val="false"/>
          <w:bCs w:val="false"/>
          <w:i w:val="false"/>
          <w:iCs w:val="false"/>
          <w:sz w:val="20"/>
          <w:szCs w:val="20"/>
        </w:rPr>
        <w:t xml:space="preserve">=0.9</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iCs/>
          <w:sz w:val="20"/>
          <w:szCs w:val="20"/>
          <w:vertAlign w:val="subscript"/>
        </w:rPr>
        <w:t xml:space="preserve">RO,nom</w:t>
      </w:r>
      <w:r>
        <w:rPr>
          <w:rFonts w:ascii="Times New Roman" w:cs="Times New Roman" w:eastAsia="Times New Roman" w:hAnsi="Times New Roman"/>
          <w:b w:val="false"/>
          <w:bCs w:val="false"/>
          <w:i w:val="false"/>
          <w:iCs w:val="false"/>
          <w:sz w:val="20"/>
          <w:szCs w:val="20"/>
        </w:rPr>
        <w:t xml:space="preserve"> follows the same order (94, 91, 79, 79 and 49%). The TMD spread is dominated by the log-normal contact-resistance variation (a 30%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iCs/>
          <w:sz w:val="20"/>
          <w:szCs w:val="20"/>
          <w:vertAlign w:val="subscript"/>
        </w:rPr>
        <w:t xml:space="preserve">C</w:t>
      </w:r>
      <w:r>
        <w:rPr>
          <w:rFonts w:ascii="Times New Roman" w:cs="Times New Roman" w:eastAsia="Times New Roman" w:hAnsi="Times New Roman"/>
          <w:b w:val="false"/>
          <w:bCs w:val="false"/>
          <w:i w:val="false"/>
          <w:iCs w:val="false"/>
          <w:sz w:val="20"/>
          <w:szCs w:val="20"/>
        </w:rPr>
        <w:t xml:space="preserve"> change moves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iCs/>
          <w:sz w:val="20"/>
          <w:szCs w:val="20"/>
          <w:vertAlign w:val="subscript"/>
        </w:rPr>
        <w:t xml:space="preserve">RO</w:t>
      </w:r>
      <w:r>
        <w:rPr>
          <w:rFonts w:ascii="Times New Roman" w:cs="Times New Roman" w:eastAsia="Times New Roman" w:hAnsi="Times New Roman"/>
          <w:b w:val="false"/>
          <w:bCs w:val="false"/>
          <w:i w:val="false"/>
          <w:iCs w:val="false"/>
          <w:sz w:val="20"/>
          <w:szCs w:val="20"/>
        </w:rPr>
        <w:t xml:space="preserve"> by about 20%, Fig. 13b) and by the 50 mV threshold variation on a 0.5 V supply; the CNT spread comes from the tube-density term, which enters the drive current linearly; the GaN spread is a threshold-voltage effect. The energy per cycle is far less sensitive than the frequency for every platform (Fig. 16b), as expected for a quantity set by the switched charge, so the variability penalty of the emerging platforms is a timing-closure penalty rather than an energy penalty.</w:t>
      </w:r>
    </w:p>
    <w:p>
      <w:pPr>
        <w:pStyle w:val="Heading2"/>
        <w:keepNext/>
        <w:spacing w:after="80" w:before="160"/>
      </w:pPr>
      <w:r>
        <w:rPr>
          <w:rFonts w:ascii="Times New Roman" w:cs="Times New Roman" w:eastAsia="Times New Roman" w:hAnsi="Times New Roman"/>
          <w:i/>
          <w:iCs/>
          <w:sz w:val="20"/>
          <w:szCs w:val="20"/>
        </w:rPr>
        <w:t xml:space="preserve">K. </w:t>
      </w:r>
      <w:r>
        <w:rPr>
          <w:rFonts w:ascii="Times New Roman" w:cs="Times New Roman" w:eastAsia="Times New Roman" w:hAnsi="Times New Roman"/>
          <w:b w:val="false"/>
          <w:bCs w:val="false"/>
          <w:i/>
          <w:iCs/>
          <w:sz w:val="20"/>
          <w:szCs w:val="20"/>
        </w:rPr>
        <w:t xml:space="preserve">Conceptual layout</w:t>
      </w:r>
    </w:p>
    <w:p>
      <w:pPr>
        <w:sectPr>
          <w:type w:val="continuous"/>
          <w:pgSz w:w="11906" w:h="16838" w:orient="portrait"/>
          <w:pgMar w:top="1080" w:right="900" w:bottom="1080" w:left="900" w:header="708" w:footer="708" w:gutter="0"/>
          <w:pgNumType/>
          <w:cols w:space="360" w:num="2" w:equalWidth="true"/>
          <w:docGrid w:linePitch="360"/>
        </w:sectPr>
      </w:pPr>
    </w:p>
    <w:p>
      <w:pPr>
        <w:spacing w:after="60" w:before="60"/>
        <w:jc w:val="center"/>
      </w:pPr>
      <w:r>
        <w:drawing>
          <wp:inline distT="0" distB="0" distL="0" distR="0">
            <wp:extent cx="66294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629400" cy="25431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17. </w:t>
      </w:r>
      <w:r>
        <w:rPr>
          <w:rFonts w:ascii="Times New Roman" w:cs="Times New Roman" w:eastAsia="Times New Roman" w:hAnsi="Times New Roman"/>
          <w:b w:val="false"/>
          <w:bCs w:val="false"/>
          <w:i w:val="false"/>
          <w:iCs w:val="false"/>
          <w:sz w:val="16"/>
          <w:szCs w:val="16"/>
        </w:rPr>
        <w:t xml:space="preserve">Conceptual, DRC-clean GDSII layouts of the five CFET inverter cells (plan view; tiers drawn as separate layers): Si and SiGe at </w:t>
      </w:r>
      <w:r>
        <w:rPr>
          <w:rFonts w:ascii="Times New Roman" w:cs="Times New Roman" w:eastAsia="Times New Roman" w:hAnsi="Times New Roman"/>
          <w:b w:val="false"/>
          <w:bCs w:val="false"/>
          <w:i/>
          <w:iCs/>
          <w:sz w:val="16"/>
          <w:szCs w:val="16"/>
        </w:rPr>
        <w:t xml:space="preserve">L</w:t>
      </w:r>
      <w:r>
        <w:rPr>
          <w:rFonts w:ascii="Times New Roman" w:cs="Times New Roman" w:eastAsia="Times New Roman" w:hAnsi="Times New Roman"/>
          <w:b w:val="false"/>
          <w:bCs w:val="false"/>
          <w:i/>
          <w:iCs/>
          <w:sz w:val="16"/>
          <w:szCs w:val="16"/>
          <w:vertAlign w:val="subscript"/>
        </w:rPr>
        <w:t xml:space="preserve">g</w:t>
      </w:r>
      <w:r>
        <w:rPr>
          <w:rFonts w:ascii="Times New Roman" w:cs="Times New Roman" w:eastAsia="Times New Roman" w:hAnsi="Times New Roman"/>
          <w:b w:val="false"/>
          <w:bCs w:val="false"/>
          <w:i w:val="false"/>
          <w:iCs w:val="false"/>
          <w:sz w:val="16"/>
          <w:szCs w:val="16"/>
        </w:rPr>
        <w:t xml:space="preserve">=16</w:t>
      </w:r>
      <w:r>
        <w:rPr>
          <w:rFonts w:ascii="Times New Roman" w:cs="Times New Roman" w:eastAsia="Times New Roman" w:hAnsi="Times New Roman"/>
          <w:b w:val="false"/>
          <w:bCs w:val="false"/>
          <w:i w:val="false"/>
          <w:iCs w:val="false"/>
          <w:sz w:val="16"/>
          <w:szCs w:val="16"/>
        </w:rPr>
        <w:t xml:space="preserve"> nm, CPP = 45 nm, 90</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val="false"/>
          <w:iCs w:val="false"/>
          <w:sz w:val="16"/>
          <w:szCs w:val="16"/>
        </w:rPr>
        <w:t xml:space="preserve">96 nm cell; TMD and CNT projected at </w:t>
      </w:r>
      <w:r>
        <w:rPr>
          <w:rFonts w:ascii="Times New Roman" w:cs="Times New Roman" w:eastAsia="Times New Roman" w:hAnsi="Times New Roman"/>
          <w:b w:val="false"/>
          <w:bCs w:val="false"/>
          <w:i/>
          <w:iCs/>
          <w:sz w:val="16"/>
          <w:szCs w:val="16"/>
        </w:rPr>
        <w:t xml:space="preserve">L</w:t>
      </w:r>
      <w:r>
        <w:rPr>
          <w:rFonts w:ascii="Times New Roman" w:cs="Times New Roman" w:eastAsia="Times New Roman" w:hAnsi="Times New Roman"/>
          <w:b w:val="false"/>
          <w:bCs w:val="false"/>
          <w:i/>
          <w:iCs/>
          <w:sz w:val="16"/>
          <w:szCs w:val="16"/>
          <w:vertAlign w:val="subscript"/>
        </w:rPr>
        <w:t xml:space="preserve">g</w:t>
      </w:r>
      <w:r>
        <w:rPr>
          <w:rFonts w:ascii="Times New Roman" w:cs="Times New Roman" w:eastAsia="Times New Roman" w:hAnsi="Times New Roman"/>
          <w:b w:val="false"/>
          <w:bCs w:val="false"/>
          <w:i w:val="false"/>
          <w:iCs w:val="false"/>
          <w:sz w:val="16"/>
          <w:szCs w:val="16"/>
        </w:rPr>
        <w:t xml:space="preserve">=20</w:t>
      </w:r>
      <w:r>
        <w:rPr>
          <w:rFonts w:ascii="Times New Roman" w:cs="Times New Roman" w:eastAsia="Times New Roman" w:hAnsi="Times New Roman"/>
          <w:b w:val="false"/>
          <w:bCs w:val="false"/>
          <w:i w:val="false"/>
          <w:iCs w:val="false"/>
          <w:sz w:val="16"/>
          <w:szCs w:val="16"/>
        </w:rPr>
        <w:t xml:space="preserve"> nm, CPP = 54 nm; GaN projected at </w:t>
      </w:r>
      <w:r>
        <w:rPr>
          <w:rFonts w:ascii="Times New Roman" w:cs="Times New Roman" w:eastAsia="Times New Roman" w:hAnsi="Times New Roman"/>
          <w:b w:val="false"/>
          <w:bCs w:val="false"/>
          <w:i/>
          <w:iCs/>
          <w:sz w:val="16"/>
          <w:szCs w:val="16"/>
        </w:rPr>
        <w:t xml:space="preserve">L</w:t>
      </w:r>
      <w:r>
        <w:rPr>
          <w:rFonts w:ascii="Times New Roman" w:cs="Times New Roman" w:eastAsia="Times New Roman" w:hAnsi="Times New Roman"/>
          <w:b w:val="false"/>
          <w:bCs w:val="false"/>
          <w:i/>
          <w:iCs/>
          <w:sz w:val="16"/>
          <w:szCs w:val="16"/>
          <w:vertAlign w:val="subscript"/>
        </w:rPr>
        <w:t xml:space="preserve">g</w:t>
      </w:r>
      <w:r>
        <w:rPr>
          <w:rFonts w:ascii="Times New Roman" w:cs="Times New Roman" w:eastAsia="Times New Roman" w:hAnsi="Times New Roman"/>
          <w:b w:val="false"/>
          <w:bCs w:val="false"/>
          <w:i w:val="false"/>
          <w:iCs w:val="false"/>
          <w:sz w:val="16"/>
          <w:szCs w:val="16"/>
        </w:rPr>
        <w:t xml:space="preserve">=100</w:t>
      </w:r>
      <w:r>
        <w:rPr>
          <w:rFonts w:ascii="Times New Roman" w:cs="Times New Roman" w:eastAsia="Times New Roman" w:hAnsi="Times New Roman"/>
          <w:b w:val="false"/>
          <w:bCs w:val="false"/>
          <w:i w:val="false"/>
          <w:iCs w:val="false"/>
          <w:sz w:val="16"/>
          <w:szCs w:val="16"/>
        </w:rPr>
        <w:t xml:space="preserve"> nm, CPP = 200 nm.</w:t>
      </w:r>
    </w:p>
    <w:p>
      <w:pPr>
        <w:sectPr>
          <w:type w:val="continuous"/>
          <w:pgSz w:w="11906" w:h="16838" w:orient="portrait"/>
          <w:pgMar w:top="1080" w:right="900" w:bottom="1080" w:left="900" w:header="708" w:footer="708" w:gutter="0"/>
          <w:pgNumType/>
          <w:cols w:num="1"/>
          <w:docGrid w:linePitch="360"/>
        </w:sectPr>
      </w:pP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Fig. 17 shows conceptual layouts generated with a generic 3-nm-class CFET rule set (contacted gate pitch 45 nm, metal pitch 24 nm, 20-nm-wide nanosheets, four-track cell height because the p-tier folds over the n-tier). The bottom n-sheets, top p-sheets, common gate, tier contacts, inter-tier via joining the two drains and the M0 power rails are separate layers; a boolean DRC (minimum width and spacing per layer, gate-to-contact spacing, via enclosure) reports zero violations for the five inverters, the five 5-stage ROs and the top cell. The Si/SiGe inverter occupies </w:t>
      </w:r>
      <w:r>
        <w:rPr>
          <w:rFonts w:ascii="Times New Roman" w:cs="Times New Roman" w:eastAsia="Times New Roman" w:hAnsi="Times New Roman"/>
          <w:b w:val="false"/>
          <w:bCs w:val="false"/>
          <w:i w:val="false"/>
          <w:iCs w:val="false"/>
          <w:sz w:val="20"/>
          <w:szCs w:val="20"/>
        </w:rPr>
        <w:t xml:space="preserve">90\</w:t>
      </w:r>
      <w:r>
        <w:rPr>
          <w:rFonts w:ascii="Times New Roman" w:cs="Times New Roman" w:eastAsia="Times New Roman" w:hAnsi="Times New Roman"/>
          <w:b w:val="false"/>
          <w:bCs w:val="false"/>
          <w:i/>
          <w:iCs/>
          <w:sz w:val="20"/>
          <w:szCs w:val="20"/>
        </w:rPr>
        <w:t xml:space="preserve">times</w:t>
      </w:r>
      <w:r>
        <w:rPr>
          <w:rFonts w:ascii="Times New Roman" w:cs="Times New Roman" w:eastAsia="Times New Roman" w:hAnsi="Times New Roman"/>
          <w:b w:val="false"/>
          <w:bCs w:val="false"/>
          <w:i w:val="false"/>
          <w:iCs w:val="false"/>
          <w:sz w:val="20"/>
          <w:szCs w:val="20"/>
        </w:rPr>
        <w:t xml:space="preserve">96</w:t>
      </w:r>
      <w:r>
        <w:rPr>
          <w:rFonts w:ascii="Times New Roman" w:cs="Times New Roman" w:eastAsia="Times New Roman" w:hAnsi="Times New Roman"/>
          <w:b w:val="false"/>
          <w:bCs w:val="false"/>
          <w:i w:val="false"/>
          <w:iCs w:val="false"/>
          <w:sz w:val="20"/>
          <w:szCs w:val="20"/>
        </w:rPr>
        <w:t xml:space="preserve"> nm</w:t>
      </w:r>
      <w:r>
        <w:rPr>
          <w:rFonts w:ascii="Times New Roman" w:cs="Times New Roman" w:eastAsia="Times New Roman" w:hAnsi="Times New Roman"/>
          <w:b w:val="false"/>
          <w:bCs w:val="false"/>
          <w:i w:val="false"/>
          <w:iCs w:val="false"/>
          <w:sz w:val="20"/>
          <w:szCs w:val="20"/>
          <w:vertAlign w:val="superscript"/>
        </w:rPr>
        <w:t xml:space="preserve">2</w:t>
      </w:r>
      <w:r>
        <w:rPr>
          <w:rFonts w:ascii="Times New Roman" w:cs="Times New Roman" w:eastAsia="Times New Roman" w:hAnsi="Times New Roman"/>
          <w:b w:val="false"/>
          <w:bCs w:val="false"/>
          <w:i w:val="false"/>
          <w:iCs w:val="false"/>
          <w:sz w:val="20"/>
          <w:szCs w:val="20"/>
        </w:rPr>
        <w:t xml:space="preserve">; the TMD/CNT projections </w:t>
      </w:r>
      <w:r>
        <w:rPr>
          <w:rFonts w:ascii="Times New Roman" w:cs="Times New Roman" w:eastAsia="Times New Roman" w:hAnsi="Times New Roman"/>
          <w:b w:val="false"/>
          <w:bCs w:val="false"/>
          <w:i w:val="false"/>
          <w:iCs w:val="false"/>
          <w:sz w:val="20"/>
          <w:szCs w:val="20"/>
        </w:rPr>
        <w:t xml:space="preserve">108\</w:t>
      </w:r>
      <w:r>
        <w:rPr>
          <w:rFonts w:ascii="Times New Roman" w:cs="Times New Roman" w:eastAsia="Times New Roman" w:hAnsi="Times New Roman"/>
          <w:b w:val="false"/>
          <w:bCs w:val="false"/>
          <w:i/>
          <w:iCs/>
          <w:sz w:val="20"/>
          <w:szCs w:val="20"/>
        </w:rPr>
        <w:t xml:space="preserve">times</w:t>
      </w:r>
      <w:r>
        <w:rPr>
          <w:rFonts w:ascii="Times New Roman" w:cs="Times New Roman" w:eastAsia="Times New Roman" w:hAnsi="Times New Roman"/>
          <w:b w:val="false"/>
          <w:bCs w:val="false"/>
          <w:i w:val="false"/>
          <w:iCs w:val="false"/>
          <w:sz w:val="20"/>
          <w:szCs w:val="20"/>
        </w:rPr>
        <w:t xml:space="preserve">96</w:t>
      </w:r>
      <w:r>
        <w:rPr>
          <w:rFonts w:ascii="Times New Roman" w:cs="Times New Roman" w:eastAsia="Times New Roman" w:hAnsi="Times New Roman"/>
          <w:b w:val="false"/>
          <w:bCs w:val="false"/>
          <w:i w:val="false"/>
          <w:iCs w:val="false"/>
          <w:sz w:val="20"/>
          <w:szCs w:val="20"/>
        </w:rPr>
        <w:t xml:space="preserve"> nm</w:t>
      </w:r>
      <w:r>
        <w:rPr>
          <w:rFonts w:ascii="Times New Roman" w:cs="Times New Roman" w:eastAsia="Times New Roman" w:hAnsi="Times New Roman"/>
          <w:b w:val="false"/>
          <w:bCs w:val="false"/>
          <w:i w:val="false"/>
          <w:iCs w:val="false"/>
          <w:sz w:val="20"/>
          <w:szCs w:val="20"/>
          <w:vertAlign w:val="superscript"/>
        </w:rPr>
        <w:t xml:space="preserve">2</w:t>
      </w:r>
      <w:r>
        <w:rPr>
          <w:rFonts w:ascii="Times New Roman" w:cs="Times New Roman" w:eastAsia="Times New Roman" w:hAnsi="Times New Roman"/>
          <w:b w:val="false"/>
          <w:bCs w:val="false"/>
          <w:i w:val="false"/>
          <w:iCs w:val="false"/>
          <w:sz w:val="20"/>
          <w:szCs w:val="20"/>
        </w:rPr>
        <w:t xml:space="preserve">; the GaN projection </w:t>
      </w:r>
      <w:r>
        <w:rPr>
          <w:rFonts w:ascii="Times New Roman" w:cs="Times New Roman" w:eastAsia="Times New Roman" w:hAnsi="Times New Roman"/>
          <w:b w:val="false"/>
          <w:bCs w:val="false"/>
          <w:i w:val="false"/>
          <w:iCs w:val="false"/>
          <w:sz w:val="20"/>
          <w:szCs w:val="20"/>
        </w:rPr>
        <w:t xml:space="preserve">400\</w:t>
      </w:r>
      <w:r>
        <w:rPr>
          <w:rFonts w:ascii="Times New Roman" w:cs="Times New Roman" w:eastAsia="Times New Roman" w:hAnsi="Times New Roman"/>
          <w:b w:val="false"/>
          <w:bCs w:val="false"/>
          <w:i/>
          <w:iCs/>
          <w:sz w:val="20"/>
          <w:szCs w:val="20"/>
        </w:rPr>
        <w:t xml:space="preserve">times</w:t>
      </w:r>
      <w:r>
        <w:rPr>
          <w:rFonts w:ascii="Times New Roman" w:cs="Times New Roman" w:eastAsia="Times New Roman" w:hAnsi="Times New Roman"/>
          <w:b w:val="false"/>
          <w:bCs w:val="false"/>
          <w:i w:val="false"/>
          <w:iCs w:val="false"/>
          <w:sz w:val="20"/>
          <w:szCs w:val="20"/>
        </w:rPr>
        <w:t xml:space="preserve">400</w:t>
      </w:r>
      <w:r>
        <w:rPr>
          <w:rFonts w:ascii="Times New Roman" w:cs="Times New Roman" w:eastAsia="Times New Roman" w:hAnsi="Times New Roman"/>
          <w:b w:val="false"/>
          <w:bCs w:val="false"/>
          <w:i w:val="false"/>
          <w:iCs w:val="false"/>
          <w:sz w:val="20"/>
          <w:szCs w:val="20"/>
        </w:rPr>
        <w:t xml:space="preserve"> nm</w:t>
      </w:r>
      <w:r>
        <w:rPr>
          <w:rFonts w:ascii="Times New Roman" w:cs="Times New Roman" w:eastAsia="Times New Roman" w:hAnsi="Times New Roman"/>
          <w:b w:val="false"/>
          <w:bCs w:val="false"/>
          <w:i w:val="false"/>
          <w:iCs w:val="false"/>
          <w:sz w:val="20"/>
          <w:szCs w:val="20"/>
          <w:vertAlign w:val="superscript"/>
        </w:rPr>
        <w:t xml:space="preserve">2</w:t>
      </w:r>
      <w:r>
        <w:rPr>
          <w:rFonts w:ascii="Times New Roman" w:cs="Times New Roman" w:eastAsia="Times New Roman" w:hAnsi="Times New Roman"/>
          <w:b w:val="false"/>
          <w:bCs w:val="false"/>
          <w:i w:val="false"/>
          <w:iCs w:val="false"/>
          <w:sz w:val="20"/>
          <w:szCs w:val="20"/>
        </w:rPr>
        <w:t xml:space="preserve">. These layouts annotate the gate length, sheet pitch, tier spacing and the location of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iCs/>
          <w:sz w:val="20"/>
          <w:szCs w:val="20"/>
          <w:vertAlign w:val="subscript"/>
        </w:rPr>
        <w:t xml:space="preserve">stack</w:t>
      </w:r>
      <w:r>
        <w:rPr>
          <w:rFonts w:ascii="Times New Roman" w:cs="Times New Roman" w:eastAsia="Times New Roman" w:hAnsi="Times New Roman"/>
          <w:b w:val="false"/>
          <w:bCs w:val="false"/>
          <w:i w:val="false"/>
          <w:iCs w:val="false"/>
          <w:sz w:val="20"/>
          <w:szCs w:val="20"/>
        </w:rPr>
        <w:t xml:space="preserve">; they are not tape-out-ready, which would require a real CFET PDK with DRC/LVS decks.</w:t>
      </w:r>
    </w:p>
    <w:p>
      <w:pPr>
        <w:pStyle w:val="Heading1"/>
        <w:keepNext/>
        <w:spacing w:after="120" w:before="240"/>
        <w:jc w:val="center"/>
      </w:pPr>
      <w:r>
        <w:rPr>
          <w:rFonts w:ascii="Times New Roman" w:cs="Times New Roman" w:eastAsia="Times New Roman" w:hAnsi="Times New Roman"/>
          <w:b w:val="false"/>
          <w:bCs w:val="false"/>
          <w:sz w:val="20"/>
          <w:szCs w:val="20"/>
        </w:rPr>
        <w:t xml:space="preserve">VI. MATERIAL-SELECTION MAP</w:t>
      </w:r>
    </w:p>
    <w:p>
      <w:pPr>
        <w:spacing w:after="60" w:before="60"/>
        <w:jc w:val="center"/>
      </w:pPr>
      <w:r>
        <w:drawing>
          <wp:inline distT="0" distB="0" distL="0" distR="0">
            <wp:extent cx="32004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00400" cy="260032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18. </w:t>
      </w:r>
      <w:r>
        <w:rPr>
          <w:rFonts w:ascii="Times New Roman" w:cs="Times New Roman" w:eastAsia="Times New Roman" w:hAnsi="Times New Roman"/>
          <w:b w:val="false"/>
          <w:bCs w:val="false"/>
          <w:i w:val="false"/>
          <w:iCs w:val="false"/>
          <w:sz w:val="16"/>
          <w:szCs w:val="16"/>
        </w:rPr>
        <w:t xml:space="preserve">Material-selection chart: speed, energy efficiency, low-</w:t>
      </w:r>
      <w:r>
        <w:rPr>
          <w:rFonts w:ascii="Times New Roman" w:cs="Times New Roman" w:eastAsia="Times New Roman" w:hAnsi="Times New Roman"/>
          <w:b w:val="false"/>
          <w:bCs w:val="false"/>
          <w:i/>
          <w:iCs/>
          <w:sz w:val="16"/>
          <w:szCs w:val="16"/>
        </w:rPr>
        <w:t xml:space="preserve">V</w:t>
      </w:r>
      <w:r>
        <w:rPr>
          <w:rFonts w:ascii="Times New Roman" w:cs="Times New Roman" w:eastAsia="Times New Roman" w:hAnsi="Times New Roman"/>
          <w:b w:val="false"/>
          <w:bCs w:val="false"/>
          <w:i/>
          <w:iCs/>
          <w:sz w:val="16"/>
          <w:szCs w:val="16"/>
          <w:vertAlign w:val="subscript"/>
        </w:rPr>
        <w:t xml:space="preserve">DD</w:t>
      </w:r>
      <w:r>
        <w:rPr>
          <w:rFonts w:ascii="Times New Roman" w:cs="Times New Roman" w:eastAsia="Times New Roman" w:hAnsi="Times New Roman"/>
          <w:b w:val="false"/>
          <w:bCs w:val="false"/>
          <w:i w:val="false"/>
          <w:iCs w:val="false"/>
          <w:sz w:val="16"/>
          <w:szCs w:val="16"/>
        </w:rPr>
        <w:t xml:space="preserve"> capability, temperature stability (</w:t>
      </w:r>
      <w:r>
        <w:rPr>
          <w:rFonts w:ascii="Times New Roman" w:cs="Times New Roman" w:eastAsia="Times New Roman" w:hAnsi="Times New Roman"/>
          <w:b w:val="false"/>
          <w:bCs w:val="false"/>
          <w:i w:val="false"/>
          <w:iCs w:val="false"/>
          <w:sz w:val="16"/>
          <w:szCs w:val="16"/>
        </w:rPr>
        <w:t xml:space="preserve">1/|Δ </w:t>
      </w:r>
      <w:r>
        <w:rPr>
          <w:rFonts w:ascii="Times New Roman" w:cs="Times New Roman" w:eastAsia="Times New Roman" w:hAnsi="Times New Roman"/>
          <w:b w:val="false"/>
          <w:bCs w:val="false"/>
          <w:i/>
          <w:iCs/>
          <w:sz w:val="16"/>
          <w:szCs w:val="16"/>
        </w:rPr>
        <w:t xml:space="preserve">f</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iCs/>
          <w:sz w:val="16"/>
          <w:szCs w:val="16"/>
        </w:rPr>
        <w:t xml:space="preserve">f</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val="false"/>
          <w:bCs w:val="false"/>
          <w:i w:val="false"/>
          <w:iCs w:val="false"/>
          <w:sz w:val="16"/>
          <w:szCs w:val="16"/>
        </w:rPr>
        <w:t xml:space="preserve"> between 27 and 125</w:t>
      </w:r>
      <w:r>
        <w:rPr>
          <w:rFonts w:ascii="Times New Roman" w:cs="Times New Roman" w:eastAsia="Times New Roman" w:hAnsi="Times New Roman"/>
          <w:b w:val="false"/>
          <w:bCs w:val="false"/>
          <w:i/>
          <w:iCs/>
          <w:sz w:val="16"/>
          <w:szCs w:val="16"/>
          <w:vertAlign w:val="superscript"/>
        </w:rPr>
        <w:t xml:space="preserve">°</w:t>
      </w:r>
      <w:r>
        <w:rPr>
          <w:rFonts w:ascii="Times New Roman" w:cs="Times New Roman" w:eastAsia="Times New Roman" w:hAnsi="Times New Roman"/>
          <w:b w:val="false"/>
          <w:bCs w:val="false"/>
          <w:i w:val="false"/>
          <w:iCs w:val="false"/>
          <w:sz w:val="16"/>
          <w:szCs w:val="16"/>
        </w:rPr>
        <w:t xml:space="preserve">C) and variability (</w:t>
      </w:r>
      <w:r>
        <w:rPr>
          <w:rFonts w:ascii="Times New Roman" w:cs="Times New Roman" w:eastAsia="Times New Roman" w:hAnsi="Times New Roman"/>
          <w:b w:val="false"/>
          <w:bCs w:val="false"/>
          <w:i w:val="false"/>
          <w:iCs w:val="false"/>
          <w:sz w:val="16"/>
          <w:szCs w:val="16"/>
        </w:rPr>
        <w:t xml:space="preserve">1/\</w:t>
      </w:r>
      <w:r>
        <w:rPr>
          <w:rFonts w:ascii="Times New Roman" w:cs="Times New Roman" w:eastAsia="Times New Roman" w:hAnsi="Times New Roman"/>
          <w:b w:val="false"/>
          <w:bCs w:val="false"/>
          <w:i/>
          <w:iCs/>
          <w:sz w:val="16"/>
          <w:szCs w:val="16"/>
        </w:rPr>
        <w:t xml:space="preserve">sigma</w:t>
      </w:r>
      <w:r>
        <w:rPr>
          <w:rFonts w:ascii="Times New Roman" w:cs="Times New Roman" w:eastAsia="Times New Roman" w:hAnsi="Times New Roman"/>
          <w:b w:val="false"/>
          <w:bCs w:val="false"/>
          <w:i/>
          <w:iCs/>
          <w:sz w:val="16"/>
          <w:szCs w:val="16"/>
          <w:vertAlign w:val="subscript"/>
        </w:rPr>
        <w:t xml:space="preserve">f</w:t>
      </w:r>
      <w:r>
        <w:rPr>
          <w:rFonts w:ascii="Times New Roman" w:cs="Times New Roman" w:eastAsia="Times New Roman" w:hAnsi="Times New Roman"/>
          <w:b w:val="false"/>
          <w:bCs w:val="false"/>
          <w:i w:val="false"/>
          <w:iCs w:val="false"/>
          <w:sz w:val="16"/>
          <w:szCs w:val="16"/>
        </w:rPr>
        <w:t xml:space="preserve">), each normalised to the best platform.</w:t>
      </w: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Fig. 18 condenses the results on five normalised axes, and Table VI states the resulting recommendations. No platform dominates. The CNT CFET has the highest speed and the second-lowest energy but needs a metallic-tube fraction below </w:t>
      </w:r>
      <w:r>
        <w:rPr>
          <w:rFonts w:ascii="Times New Roman" w:cs="Times New Roman" w:eastAsia="Times New Roman" w:hAnsi="Times New Roman"/>
          <w:b w:val="false"/>
          <w:bCs w:val="false"/>
          <w:i w:val="false"/>
          <w:iCs w:val="false"/>
          <w:sz w:val="20"/>
          <w:szCs w:val="20"/>
        </w:rPr>
        <w:t xml:space="preserve">5\</w:t>
      </w:r>
      <w:r>
        <w:rPr>
          <w:rFonts w:ascii="Times New Roman" w:cs="Times New Roman" w:eastAsia="Times New Roman" w:hAnsi="Times New Roman"/>
          <w:b w:val="false"/>
          <w:bCs w:val="false"/>
          <w:i/>
          <w:iCs/>
          <w:sz w:val="20"/>
          <w:szCs w:val="20"/>
        </w:rPr>
        <w:t xml:space="preserve">times</w:t>
      </w:r>
      <w:r>
        <w:rPr>
          <w:rFonts w:ascii="Times New Roman" w:cs="Times New Roman" w:eastAsia="Times New Roman" w:hAnsi="Times New Roman"/>
          <w:b w:val="false"/>
          <w:bCs w:val="false"/>
          <w:i w:val="false"/>
          <w:iCs w:val="false"/>
          <w:sz w:val="20"/>
          <w:szCs w:val="20"/>
        </w:rPr>
        <w:t xml:space="preserve">10</w:t>
      </w:r>
      <w:r>
        <w:rPr>
          <w:rFonts w:ascii="Times New Roman" w:cs="Times New Roman" w:eastAsia="Times New Roman" w:hAnsi="Times New Roman"/>
          <w:b w:val="false"/>
          <w:bCs w:val="false"/>
          <w:i/>
          <w:iCs/>
          <w:sz w:val="20"/>
          <w:szCs w:val="20"/>
          <w:vertAlign w:val="superscript"/>
        </w:rPr>
        <w:t xml:space="preserve">-3</w:t>
      </w:r>
      <w:r>
        <w:rPr>
          <w:rFonts w:ascii="Times New Roman" w:cs="Times New Roman" w:eastAsia="Times New Roman" w:hAnsi="Times New Roman"/>
          <w:b w:val="false"/>
          <w:bCs w:val="false"/>
          <w:i w:val="false"/>
          <w:iCs w:val="false"/>
          <w:sz w:val="20"/>
          <w:szCs w:val="20"/>
        </w:rPr>
        <w:t xml:space="preserve"> and carries a 10% frequency spread from density variation. The TMD CFET has the lowest absolute energy per cycle and the lowest supply, but at equal frequency it beats Si only with contacts below 0.32 k</w:t>
      </w:r>
      <w:r>
        <w:rPr>
          <w:rFonts w:ascii="Times New Roman" w:cs="Times New Roman" w:eastAsia="Times New Roman" w:hAnsi="Times New Roman"/>
          <w:b w:val="false"/>
          <w:bCs w:val="false"/>
          <w:i w:val="false"/>
          <w:iCs w:val="false"/>
          <w:sz w:val="20"/>
          <w:szCs w:val="20"/>
        </w:rPr>
        <w:t xml:space="preserve">Ω·µ</w:t>
      </w:r>
      <w:r>
        <w:rPr>
          <w:rFonts w:ascii="Times New Roman" w:cs="Times New Roman" w:eastAsia="Times New Roman" w:hAnsi="Times New Roman"/>
          <w:b w:val="false"/>
          <w:bCs w:val="false"/>
          <w:i w:val="false"/>
          <w:iCs w:val="false"/>
          <w:sz w:val="20"/>
          <w:szCs w:val="20"/>
        </w:rPr>
        <w:t xml:space="preserve">m per side, and its 34% frequency spread makes it the hardest platform to close timing on. The Si and SiGe CFETs are the reference: SiGe buys 6–10% speed and a balanced inverter at no energy cost and with the lowest variability of all platforms. The GaN CFET has the best temperature stability of the frequency (501 ppm/K) and keeps a functional inverter to 150</w:t>
      </w:r>
      <w:r>
        <w:rPr>
          <w:rFonts w:ascii="Times New Roman" w:cs="Times New Roman" w:eastAsia="Times New Roman" w:hAnsi="Times New Roman"/>
          <w:b w:val="false"/>
          <w:bCs w:val="false"/>
          <w:i/>
          <w:iCs/>
          <w:sz w:val="20"/>
          <w:szCs w:val="20"/>
          <w:vertAlign w:val="superscript"/>
        </w:rPr>
        <w:t xml:space="preserve">°</w:t>
      </w:r>
      <w:r>
        <w:rPr>
          <w:rFonts w:ascii="Times New Roman" w:cs="Times New Roman" w:eastAsia="Times New Roman" w:hAnsi="Times New Roman"/>
          <w:b w:val="false"/>
          <w:bCs w:val="false"/>
          <w:i w:val="false"/>
          <w:iCs w:val="false"/>
          <w:sz w:val="20"/>
          <w:szCs w:val="20"/>
        </w:rPr>
        <w:t xml:space="preserve">C, but with the projected p-GaN device it pays 1–2 orders of magnitude in energy per cycle and, within a subthreshold-only leakage model, does not out-leak Si at high temperature; it is the platform whose ranking depends most on a device (the p-channel) that does not yet exist in the required form.</w:t>
      </w:r>
    </w:p>
    <w:p>
      <w:pPr>
        <w:keepNext/>
        <w:spacing w:after="40" w:before="120"/>
        <w:jc w:val="center"/>
      </w:pPr>
      <w:r>
        <w:rPr>
          <w:rFonts w:ascii="Times New Roman" w:cs="Times New Roman" w:eastAsia="Times New Roman" w:hAnsi="Times New Roman"/>
          <w:sz w:val="16"/>
          <w:szCs w:val="16"/>
        </w:rPr>
        <w:t xml:space="preserve">TABLE VI</w:t>
      </w:r>
    </w:p>
    <w:p>
      <w:pPr>
        <w:keepNext/>
        <w:spacing w:after="60"/>
        <w:jc w:val="center"/>
      </w:pPr>
      <w:r>
        <w:rPr>
          <w:rFonts w:ascii="Times New Roman" w:cs="Times New Roman" w:eastAsia="Times New Roman" w:hAnsi="Times New Roman"/>
          <w:b w:val="false"/>
          <w:bCs w:val="false"/>
          <w:i w:val="false"/>
          <w:iCs w:val="false"/>
          <w:sz w:val="16"/>
          <w:szCs w:val="16"/>
        </w:rPr>
        <w:t xml:space="preserve">Selection map derived from the simulations.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p{0.46\columnwidth}}
Design need</w:t>
            </w:r>
          </w:p>
        </w:tc>
        <w:tc>
          <w:tcPr>
            <w:tcW w:type="dxa" w:w="252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Preferred CFET family</w:t>
            </w:r>
          </w:p>
        </w:tc>
      </w:tr>
      <w:tr>
        <w:tc>
          <w:tcPr>
            <w:tcW w:type="dxa" w:w="252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Highest maturity / main logic baseline</w:t>
            </w:r>
          </w:p>
        </w:tc>
        <w:tc>
          <w:tcPr>
            <w:tcW w:type="dxa" w:w="252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CFET-Si</w:t>
            </w:r>
          </w:p>
        </w:tc>
      </w:tr>
      <w:tr>
        <w:tc>
          <w:tcPr>
            <w:tcW w:type="dxa" w:w="252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Better p/n balance with Si-compatible processing</w:t>
            </w:r>
          </w:p>
        </w:tc>
        <w:tc>
          <w:tcPr>
            <w:tcW w:type="dxa" w:w="252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CFET-SiGe</w:t>
            </w:r>
          </w:p>
        </w:tc>
      </w:tr>
      <w:tr>
        <w:tc>
          <w:tcPr>
            <w:tcW w:type="dxa" w:w="252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Lowest </w:t>
            </w:r>
            <w:r>
              <w:rPr>
                <w:rFonts w:ascii="Times New Roman" w:cs="Times New Roman" w:eastAsia="Times New Roman" w:hAnsi="Times New Roman"/>
                <w:b w:val="false"/>
                <w:bCs w:val="false"/>
                <w:i/>
                <w:iCs/>
                <w:sz w:val="14"/>
                <w:szCs w:val="14"/>
              </w:rPr>
              <w:t xml:space="preserve">V</w:t>
            </w:r>
            <w:r>
              <w:rPr>
                <w:rFonts w:ascii="Times New Roman" w:cs="Times New Roman" w:eastAsia="Times New Roman" w:hAnsi="Times New Roman"/>
                <w:b w:val="false"/>
                <w:bCs w:val="false"/>
                <w:i/>
                <w:iCs/>
                <w:sz w:val="14"/>
                <w:szCs w:val="14"/>
                <w:vertAlign w:val="subscript"/>
              </w:rPr>
              <w:t xml:space="preserve">DD</w:t>
            </w:r>
            <w:r>
              <w:rPr>
                <w:rFonts w:ascii="Times New Roman" w:cs="Times New Roman" w:eastAsia="Times New Roman" w:hAnsi="Times New Roman"/>
                <w:b w:val="false"/>
                <w:bCs w:val="false"/>
                <w:i w:val="false"/>
                <w:iCs w:val="false"/>
                <w:sz w:val="14"/>
                <w:szCs w:val="14"/>
              </w:rPr>
              <w:t xml:space="preserve">, leakage-sensitive logic</w:t>
            </w:r>
          </w:p>
        </w:tc>
        <w:tc>
          <w:tcPr>
            <w:tcW w:type="dxa" w:w="252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CFET-TMD, if </w:t>
            </w:r>
            <w:r>
              <w:rPr>
                <w:rFonts w:ascii="Times New Roman" w:cs="Times New Roman" w:eastAsia="Times New Roman" w:hAnsi="Times New Roman"/>
                <w:b w:val="false"/>
                <w:bCs w:val="false"/>
                <w:i/>
                <w:iCs/>
                <w:sz w:val="14"/>
                <w:szCs w:val="14"/>
              </w:rPr>
              <w:t xml:space="preserve">R</w:t>
            </w:r>
            <w:r>
              <w:rPr>
                <w:rFonts w:ascii="Times New Roman" w:cs="Times New Roman" w:eastAsia="Times New Roman" w:hAnsi="Times New Roman"/>
                <w:b w:val="false"/>
                <w:bCs w:val="false"/>
                <w:i/>
                <w:iCs/>
                <w:sz w:val="14"/>
                <w:szCs w:val="14"/>
                <w:vertAlign w:val="subscript"/>
              </w:rPr>
              <w:t xml:space="preserve">C</w:t>
            </w:r>
            <w:r>
              <w:rPr>
                <w:rFonts w:ascii="Times New Roman" w:cs="Times New Roman" w:eastAsia="Times New Roman" w:hAnsi="Times New Roman"/>
                <w:b w:val="false"/>
                <w:bCs w:val="false"/>
                <w:i w:val="false"/>
                <w:iCs w:val="false"/>
                <w:sz w:val="14"/>
                <w:szCs w:val="14"/>
              </w:rPr>
              <w:t xml:space="preserve"> is below the crossover value (Fig. 13)</w:t>
            </w:r>
          </w:p>
        </w:tc>
      </w:tr>
      <w:tr>
        <w:tc>
          <w:tcPr>
            <w:tcW w:type="dxa" w:w="252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Highest performance post-Si research</w:t>
            </w:r>
          </w:p>
        </w:tc>
        <w:tc>
          <w:tcPr>
            <w:tcW w:type="dxa" w:w="252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CFET-CNT, if purity and density are controlled (Fig. 14)</w:t>
            </w:r>
          </w:p>
        </w:tc>
      </w:tr>
      <w:tr>
        <w:tc>
          <w:tcPr>
            <w:tcW w:type="dxa" w:w="252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left"/>
            </w:pPr>
            <w:r>
              <w:rPr>
                <w:rFonts w:ascii="Times New Roman" w:cs="Times New Roman" w:eastAsia="Times New Roman" w:hAnsi="Times New Roman"/>
                <w:b w:val="false"/>
                <w:bCs w:val="false"/>
                <w:i w:val="false"/>
                <w:iCs w:val="false"/>
                <w:sz w:val="14"/>
                <w:szCs w:val="14"/>
              </w:rPr>
              <w:t xml:space="preserve">High-temperature / integrated power-control logic</w:t>
            </w:r>
          </w:p>
        </w:tc>
        <w:tc>
          <w:tcPr>
            <w:tcW w:type="dxa" w:w="252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spacing w:after="0"/>
              <w:jc w:val="center"/>
            </w:pPr>
            <w:r>
              <w:rPr>
                <w:rFonts w:ascii="Times New Roman" w:cs="Times New Roman" w:eastAsia="Times New Roman" w:hAnsi="Times New Roman"/>
                <w:b w:val="false"/>
                <w:bCs w:val="false"/>
                <w:i w:val="false"/>
                <w:iCs w:val="false"/>
                <w:sz w:val="14"/>
                <w:szCs w:val="14"/>
              </w:rPr>
              <w:t xml:space="preserve">CFET-GaN (projected p-GaN)</w:t>
            </w:r>
          </w:p>
        </w:tc>
      </w:tr>
    </w:tbl>
    <w:p>
      <w:pPr>
        <w:spacing w:after="120"/>
      </w:pPr>
    </w:p>
    <w:p>
      <w:pPr>
        <w:pStyle w:val="Heading1"/>
        <w:keepNext/>
        <w:spacing w:after="120" w:before="240"/>
        <w:jc w:val="center"/>
      </w:pPr>
      <w:r>
        <w:rPr>
          <w:rFonts w:ascii="Times New Roman" w:cs="Times New Roman" w:eastAsia="Times New Roman" w:hAnsi="Times New Roman"/>
          <w:b w:val="false"/>
          <w:bCs w:val="false"/>
          <w:sz w:val="20"/>
          <w:szCs w:val="20"/>
        </w:rPr>
        <w:t xml:space="preserve">VII. LIMITATIONS</w:t>
      </w: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The reference data are literature-anchored reconstructions, not measurements; the MAPE values quantify the model's ability to follow an independent formulation, not agreement with hardware, and must be re-established with measured or TCAD curves before the models are used for a specific technology. The p-GaN device is a projection. The TMD block omits Schottky-barrier bias dependence of the contacts and the CNT block uses a single transmission parameter; the charge model uses a symmetric end-point partition rather than a full Ward–Dutton partition; CFET parasitics are lumped. The sensitivity and Monte Carlo trends, which are the main results, are driven by the physical parameters of the model and are therefore expected to be robust to these simplifications, but the absolute numbers should be read as platform-level projections.</w:t>
      </w:r>
    </w:p>
    <w:p>
      <w:pPr>
        <w:pStyle w:val="Heading1"/>
        <w:keepNext/>
        <w:spacing w:after="120" w:before="240"/>
        <w:jc w:val="center"/>
      </w:pPr>
      <w:r>
        <w:rPr>
          <w:rFonts w:ascii="Times New Roman" w:cs="Times New Roman" w:eastAsia="Times New Roman" w:hAnsi="Times New Roman"/>
          <w:b w:val="false"/>
          <w:bCs w:val="false"/>
          <w:sz w:val="20"/>
          <w:szCs w:val="20"/>
        </w:rPr>
        <w:t xml:space="preserve">VIII. CONCLUSION</w:t>
      </w:r>
    </w:p>
    <w:p>
      <w:pPr>
        <w:spacing w:after="0" w:before="0" w:line="240"/>
        <w:ind w:firstLine="200"/>
        <w:jc w:val="both"/>
      </w:pPr>
      <w:r>
        <w:rPr>
          <w:rFonts w:ascii="Times New Roman" w:cs="Times New Roman" w:eastAsia="Times New Roman" w:hAnsi="Times New Roman"/>
          <w:b w:val="false"/>
          <w:bCs w:val="false"/>
          <w:i w:val="false"/>
          <w:iCs w:val="false"/>
          <w:sz w:val="20"/>
          <w:szCs w:val="20"/>
        </w:rPr>
        <w:t xml:space="preserve">A single compact-model core with four material blocks, implemented once in Verilog-A for Spectre/ADE and mirrored in ngspice, allows Si, SiGe, MoS</w:t>
      </w:r>
      <w:r>
        <w:rPr>
          <w:rFonts w:ascii="Times New Roman" w:cs="Times New Roman" w:eastAsia="Times New Roman" w:hAnsi="Times New Roman"/>
          <w:b w:val="false"/>
          <w:bCs w:val="false"/>
          <w:i w:val="false"/>
          <w:iCs w:val="false"/>
          <w:sz w:val="20"/>
          <w:szCs w:val="20"/>
          <w:vertAlign w:val="subscript"/>
        </w:rPr>
        <w:t xml:space="preserve">2</w:t>
      </w:r>
      <w:r>
        <w:rPr>
          <w:rFonts w:ascii="Times New Roman" w:cs="Times New Roman" w:eastAsia="Times New Roman" w:hAnsi="Times New Roman"/>
          <w:b w:val="false"/>
          <w:bCs w:val="false"/>
          <w:i w:val="false"/>
          <w:iCs w:val="false"/>
          <w:sz w:val="20"/>
          <w:szCs w:val="20"/>
        </w:rPr>
        <w:t xml:space="preserve">/WSe</w:t>
      </w:r>
      <w:r>
        <w:rPr>
          <w:rFonts w:ascii="Times New Roman" w:cs="Times New Roman" w:eastAsia="Times New Roman" w:hAnsi="Times New Roman"/>
          <w:b w:val="false"/>
          <w:bCs w:val="false"/>
          <w:i w:val="false"/>
          <w:iCs w:val="false"/>
          <w:sz w:val="20"/>
          <w:szCs w:val="20"/>
          <w:vertAlign w:val="subscript"/>
        </w:rPr>
        <w:t xml:space="preserve">2</w:t>
      </w:r>
      <w:r>
        <w:rPr>
          <w:rFonts w:ascii="Times New Roman" w:cs="Times New Roman" w:eastAsia="Times New Roman" w:hAnsi="Times New Roman"/>
          <w:b w:val="false"/>
          <w:bCs w:val="false"/>
          <w:i w:val="false"/>
          <w:iCs w:val="false"/>
          <w:sz w:val="20"/>
          <w:szCs w:val="20"/>
        </w:rPr>
        <w:t xml:space="preserve">, CNT and GaN CFET logic to be calibrated, simulated and compared with one flow and one set of measurement definitions. The flow reproduces a 5-stage RO at 19.39 GHz and 2.09 fJ/cycle for the Si baseline and yields a material-selection map: SiGe for p/n balance, TMD for the lowest energy at low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iCs/>
          <w:sz w:val="20"/>
          <w:szCs w:val="20"/>
          <w:vertAlign w:val="subscript"/>
        </w:rPr>
        <w:t xml:space="preserve">DD</w:t>
      </w:r>
      <w:r>
        <w:rPr>
          <w:rFonts w:ascii="Times New Roman" w:cs="Times New Roman" w:eastAsia="Times New Roman" w:hAnsi="Times New Roman"/>
          <w:b w:val="false"/>
          <w:bCs w:val="false"/>
          <w:i w:val="false"/>
          <w:iCs w:val="false"/>
          <w:sz w:val="20"/>
          <w:szCs w:val="20"/>
        </w:rPr>
        <w:t xml:space="preserve"> provided the contact resistance stays below the crossover value, CNT for the highest speed provided the metallic-tube fraction stays below </w:t>
      </w:r>
      <w:r>
        <w:rPr>
          <w:rFonts w:ascii="Times New Roman" w:cs="Times New Roman" w:eastAsia="Times New Roman" w:hAnsi="Times New Roman"/>
          <w:b w:val="false"/>
          <w:bCs w:val="false"/>
          <w:i w:val="false"/>
          <w:iCs w:val="false"/>
          <w:sz w:val="20"/>
          <w:szCs w:val="20"/>
        </w:rPr>
        <w:t xml:space="preserve">10</w:t>
      </w:r>
      <w:r>
        <w:rPr>
          <w:rFonts w:ascii="Times New Roman" w:cs="Times New Roman" w:eastAsia="Times New Roman" w:hAnsi="Times New Roman"/>
          <w:b w:val="false"/>
          <w:bCs w:val="false"/>
          <w:i/>
          <w:iCs/>
          <w:sz w:val="20"/>
          <w:szCs w:val="20"/>
          <w:vertAlign w:val="superscript"/>
        </w:rPr>
        <w:t xml:space="preserve">-3</w:t>
      </w:r>
      <w:r>
        <w:rPr>
          <w:rFonts w:ascii="Times New Roman" w:cs="Times New Roman" w:eastAsia="Times New Roman" w:hAnsi="Times New Roman"/>
          <w:b w:val="false"/>
          <w:bCs w:val="false"/>
          <w:i w:val="false"/>
          <w:iCs w:val="false"/>
          <w:sz w:val="20"/>
          <w:szCs w:val="20"/>
        </w:rPr>
        <w:t xml:space="preserve">, and GaN for high-temperature operation at an energy penalty set by the p-channel device. All models, scripts, layouts and results are released for reuse.</w:t>
      </w:r>
    </w:p>
    <w:p>
      <w:pPr>
        <w:spacing w:after="0" w:before="0" w:line="240"/>
        <w:ind w:firstLine="200"/>
        <w:jc w:val="both"/>
      </w:pPr>
    </w:p>
    <w:p>
      <w:pPr>
        <w:pStyle w:val="Heading1"/>
        <w:spacing w:after="120" w:before="240"/>
        <w:jc w:val="center"/>
      </w:pPr>
      <w:r>
        <w:rPr>
          <w:rFonts w:ascii="Times New Roman" w:cs="Times New Roman" w:eastAsia="Times New Roman" w:hAnsi="Times New Roman"/>
          <w:sz w:val="20"/>
          <w:szCs w:val="20"/>
        </w:rPr>
        <w:t xml:space="preserve">REFERENCES</w:t>
      </w:r>
    </w:p>
    <w:p>
      <w:pPr>
        <w:spacing w:after="40"/>
        <w:ind w:left="400" w:hanging="40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Ryckaert, J. and Schuddinck, P. and Weckx, P. et al., “The complementary FET (CFET) for CMOS scaling beyond N3,”, Proc. IEEE Symp. VLSI Technology (VLSIT), pp. 141–142, 2018. doi: 10.1109/VLSIT.2018.8510618</w:t>
      </w:r>
    </w:p>
    <w:p>
      <w:pPr>
        <w:spacing w:after="40"/>
        <w:ind w:left="400" w:hanging="40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Subramanian, S. and Hosseini, M. and Chiarella, T. et al., “First monolithic integration of 3D complementary FET (CFET) on 300mm wafers,”, Proc. IEEE Symp. VLSI Technology (VLSIT), pp. 1–2, 2020. doi: 10.1109/VLSITechnology18217.2020.9265073</w:t>
      </w:r>
    </w:p>
    <w:p>
      <w:pPr>
        <w:spacing w:after="40"/>
        <w:ind w:left="400" w:hanging="40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Huang, C.-Y. and Dewey, G. and Mannebach, E. et al., “3-D self-aligned stacked NMOS-on-PMOS nanoribbon transistors for continued Moore's law scaling,”, Proc. IEEE Int. Electron Devices Meeting (IEDM), pp. 20.6.1–20.6.4, 2020. doi: 10.1109/IEDM13553.2020.9372066</w:t>
      </w:r>
    </w:p>
    <w:p>
      <w:pPr>
        <w:spacing w:after="40"/>
        <w:ind w:left="400" w:hanging="40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Mertens, H. and Ritzenthaler, R. and Hikavyy, A. et al., “Gate-all-around MOSFETs based on vertically stacked horizontal Si nanowires in a replacement metal gate process on bulk Si substrates,”, Proc. IEEE Symp. VLSI Technology (VLSIT), pp. 1–2, 2016. doi: 10.1109/VLSIT.2016.7573416</w:t>
      </w:r>
    </w:p>
    <w:p>
      <w:pPr>
        <w:spacing w:after="40"/>
        <w:ind w:left="400" w:hanging="40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Mochizuki, S. and Bhuiyan, M. and Zhou, H. et al., “,”, Proc. IEEE Int. Electron Devices Meeting (IEDM), pp. 2.3.1–2.3.4, 2020. doi: 10.1109/IEDM13553.2020.9372041</w:t>
      </w:r>
    </w:p>
    <w:p>
      <w:pPr>
        <w:spacing w:after="40"/>
        <w:ind w:left="400" w:hanging="40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O'Brien, K. P. and Dorow, C. J. and Penumatcha, A. et al., “Advancing 2D monolayer CMOS through contact, channel and interface engineering,”, Proc. IEEE Int. Electron Devices Meeting (IEDM), pp. 7.1.1–7.1.4, 2021. doi: 10.1109/IEDM19574.2021.9720651</w:t>
      </w:r>
    </w:p>
    <w:p>
      <w:pPr>
        <w:spacing w:after="40"/>
        <w:ind w:left="400" w:hanging="40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O'Brien, Kevin P. and Naylor, Carl H. and Dorow, Chelsey et al., “Process integration and future outlook of 2D transistors,”, Nature Communications, vol. 14, pp. 6400, 2023. doi: 10.1038/s41467-023-41779-5</w:t>
      </w:r>
    </w:p>
    <w:p>
      <w:pPr>
        <w:spacing w:after="40"/>
        <w:ind w:left="400" w:hanging="40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 “Approaching the quantum limit in two-dimensional semiconductor contacts,”, Nature, vol. 613, no. 7943, pp. 274–279, 2023. doi: 10.1038/s41586-022-05431-4</w:t>
      </w:r>
    </w:p>
    <w:p>
      <w:pPr>
        <w:spacing w:after="40"/>
        <w:ind w:left="400" w:hanging="40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Shen, Pin-Chun and Su, Cong and Lin, Yuxuan et al., “Ultralow contact resistance between semimetal and monolayer semiconductors,”, Nature, vol. 593, no. 7858, pp. 211–217, 2021. doi: 10.1038/s41586-021-03472-9</w:t>
      </w:r>
    </w:p>
    <w:p>
      <w:pPr>
        <w:spacing w:after="40"/>
        <w:ind w:left="400" w:hanging="40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Chou, Ang-Sheng et al., “High-performance monolayer WSe$_2$ p/n FETs via antimony-platinum modulated contact technology towards 2D CMOS electronics,”, Proc. IEEE Int. Electron Devices Meeting (IEDM), pp. 7.2.1–7.2.4, 2022. doi: 10.1109/IEDM45625.2022.10019491</w:t>
      </w:r>
    </w:p>
    <w:p>
      <w:pPr>
        <w:spacing w:after="40"/>
        <w:ind w:left="400" w:hanging="40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Liu, Lijun and Han, Jie and Xu, Lin et al., “Aligned, high-density semiconducting carbon nanotube arrays for high-performance electronics,”, Science, vol. 368, no. 6493, pp. 850–856, 2020. doi: 10.1126/science.aba5980</w:t>
      </w:r>
    </w:p>
    <w:p>
      <w:pPr>
        <w:spacing w:after="40"/>
        <w:ind w:left="400" w:hanging="40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Hills, Gage and Lau, Christian and Wright, Andrew et al., “Modern microprocessor built from complementary carbon nanotube transistors,”, Nature, vol. 572, no. 7771, pp. 595–602, 2019. doi: 10.1038/s41586-019-1493-8</w:t>
      </w:r>
    </w:p>
    <w:p>
      <w:pPr>
        <w:spacing w:after="40"/>
        <w:ind w:left="400" w:hanging="40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Shulaker, Max M. and Hills, Gage and Park, Rebecca S. et al., “Three-dimensional integration of nanotechnologies for computing and data storage on a single chip,”, Nature, vol. 547, no. 7661, pp. 74–78, 2017. doi: 10.1038/nature22994</w:t>
      </w:r>
    </w:p>
    <w:p>
      <w:pPr>
        <w:spacing w:after="40"/>
        <w:ind w:left="400" w:hanging="40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Bader, Samuel James and Lee, Hyunjea and Chaudhuri, Reet et al., “Prospects for wide bandgap and ultrawide bandgap CMOS devices,”, IEEE Transactions on Electron Devices, vol. 67, no. 10, pp. 4010–4020, 2020. doi: 10.1109/TED.2020.3010471</w:t>
      </w:r>
    </w:p>
    <w:p>
      <w:pPr>
        <w:spacing w:after="40"/>
        <w:ind w:left="400" w:hanging="40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Zheng, Zheyang and Zhang, Li and Song, Wenjie et al., “Gallium nitride-based complementary logic integrated circuits,”, Nature Electronics, vol. 4, pp. 595–603, 2021. doi: 10.1038/s41928-021-00611-y</w:t>
      </w:r>
    </w:p>
    <w:p>
      <w:pPr>
        <w:spacing w:after="40"/>
        <w:ind w:left="400" w:hanging="40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Chowdhury, N. and Xie, Q. and Yuan, M. et al., “Regrowth-free GaN-based complementary logic on a Si substrate,”, IEEE Electron Device Letters, vol. 41, no. 6, pp. 820–823, 2020. doi: 10.1109/LED.2020.2987003</w:t>
      </w:r>
    </w:p>
    <w:p>
      <w:pPr>
        <w:spacing w:after="40"/>
        <w:ind w:left="400" w:hanging="40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Amano, Hiroshi and Baines, Yvon and Beam, Eric et al., “The 2018 GaN power electronics roadmap,”, Journal of Physics D: Applied Physics, vol. 51, no. 16, pp. 163001, 2018. doi: 10.1088/1361-6463/aaaf9d</w:t>
      </w:r>
    </w:p>
    <w:p>
      <w:pPr>
        <w:spacing w:after="40"/>
        <w:ind w:left="400" w:hanging="40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Chauhan, Yogesh Singh and Lu, Darsen and Venugopalan, Sriramkumar et al., “FinFET Modeling for IC Simulation and Design: Using the BSIM-CMG Standard,”, Academic Press, 2015.</w:t>
      </w:r>
    </w:p>
    <w:p>
      <w:pPr>
        <w:spacing w:after="40"/>
        <w:ind w:left="400" w:hanging="40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Pasadas, Francisco and Mar\'in, Enrique G. and Toral-L\'opez, Alejandro et al., “Large-signal model of 2DFETs: compact modeling of terminal charges and intrinsic capacitances,”, npj 2D Materials and Applications, vol. 3, pp. 47, 2019. doi: 10.1038/s41699-019-0130-6</w:t>
      </w:r>
    </w:p>
    <w:p>
      <w:pPr>
        <w:spacing w:after="40"/>
        <w:ind w:left="400" w:hanging="40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Deng, Jie and Wong, H.-S. Philip, “A compact SPICE model for carbon-nanotube field-effect transistors including nonidealities and its application---Part I: Model of the intrinsic channel region,”, IEEE Transactions on Electron Devices, vol. 54, no. 12, pp. 3186–3194, 2007. doi: 10.1109/TED.2007.909030</w:t>
      </w:r>
    </w:p>
    <w:p>
      <w:pPr>
        <w:spacing w:after="40"/>
        <w:ind w:left="400" w:hanging="40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Cadence Design Systems, Inc., “Cadence Verilog-A Language Reference,”, 2014.</w:t>
      </w:r>
    </w:p>
    <w:p>
      <w:pPr>
        <w:spacing w:after="40"/>
        <w:ind w:left="400" w:hanging="400"/>
        <w:jc w:val="both"/>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Cadence Design Systems, Inc., “Spectre Circuit Simulator Reference,”, 2020.</w:t>
      </w:r>
    </w:p>
    <w:p>
      <w:pPr>
        <w:spacing w:after="40"/>
        <w:ind w:left="400" w:hanging="400"/>
        <w:jc w:val="both"/>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Cadence Design Systems, Inc., “Virtuoso ADE Explorer and Virtuoso ADE Assembler User Guides,”, 2024.</w:t>
      </w:r>
    </w:p>
    <w:p>
      <w:pPr>
        <w:spacing w:after="40"/>
        <w:ind w:left="400" w:hanging="400"/>
        <w:jc w:val="both"/>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Vogt, Holger and Atkinson, Giles and Nenzi, Paolo, “Ngspice User's Manual, Version 42,”, 2023. https://ngspice.sourceforge.io/docs/ngspice-42-manual.pdf</w:t>
      </w:r>
    </w:p>
    <w:p>
      <w:pPr>
        <w:spacing w:after="40"/>
        <w:ind w:left="400" w:hanging="400"/>
        <w:jc w:val="both"/>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rPr>
        <w:t xml:space="preserve">, “An analytical MOS transistor model valid in all regions of operation and dedicated to low-voltage and low-current applications,”, Analog Integrated Circuits and Signal Processing, vol. 8, no. 1, pp. 83–114, 1995. doi: 10.1007/BF01239381</w:t>
      </w:r>
    </w:p>
    <w:p>
      <w:pPr>
        <w:spacing w:after="40"/>
        <w:ind w:left="400" w:hanging="400"/>
        <w:jc w:val="both"/>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rPr>
        <w:t xml:space="preserve">Lundstrom, Mark and Ren, Zhibin, “Essential physics of carrier transport in nanoscale MOSFETs,”, IEEE Transactions on Electron Devices, vol. 49, no. 1, pp. 133–141, 2002. doi: 10.1109/16.974760</w:t>
      </w:r>
    </w:p>
    <w:p>
      <w:pPr>
        <w:spacing w:after="40"/>
        <w:ind w:left="400" w:hanging="400"/>
        <w:jc w:val="both"/>
      </w:pPr>
      <w:r>
        <w:rPr>
          <w:rFonts w:ascii="Times New Roman" w:cs="Times New Roman" w:eastAsia="Times New Roman" w:hAnsi="Times New Roman"/>
          <w:sz w:val="16"/>
          <w:szCs w:val="16"/>
        </w:rPr>
        <w:t xml:space="preserve">[27] </w:t>
      </w:r>
      <w:r>
        <w:rPr>
          <w:rFonts w:ascii="Times New Roman" w:cs="Times New Roman" w:eastAsia="Times New Roman" w:hAnsi="Times New Roman"/>
          <w:sz w:val="16"/>
          <w:szCs w:val="16"/>
        </w:rPr>
        <w:t xml:space="preserve">IEEE International Roadmap for Devices and Systems (IRDS), “International Roadmap for Devices and Systems, 2023 Edition: More Moore,”, IEEE, 2023. https://irds.ieee.org/images/files/pdf/2023/2023IRDS_MM.pdf</w:t>
      </w:r>
    </w:p>
    <w:p>
      <w:pPr>
        <w:spacing w:after="40"/>
        <w:ind w:left="400" w:hanging="400"/>
        <w:jc w:val="both"/>
      </w:pPr>
      <w:r>
        <w:rPr>
          <w:rFonts w:ascii="Times New Roman" w:cs="Times New Roman" w:eastAsia="Times New Roman" w:hAnsi="Times New Roman"/>
          <w:sz w:val="16"/>
          <w:szCs w:val="16"/>
        </w:rPr>
        <w:t xml:space="preserve">[28] </w:t>
      </w:r>
      <w:r>
        <w:rPr>
          <w:rFonts w:ascii="Times New Roman" w:cs="Times New Roman" w:eastAsia="Times New Roman" w:hAnsi="Times New Roman"/>
          <w:sz w:val="16"/>
          <w:szCs w:val="16"/>
        </w:rPr>
        <w:t xml:space="preserve">Loubet, N. and Hook, T. and Montanini, P. et al., “Stacked nanosheet gate-all-around transistor to enable scaling beyond FinFET,”, Proc. Symp. VLSI Technology (VLSIT), pp. T230–T231, 2017. doi: 10.23919/VLSIT.2017.7998183</w:t>
      </w:r>
    </w:p>
    <w:sectPr>
      <w:type w:val="continuous"/>
      <w:pgSz w:w="11906" w:h="16838" w:orient="portrait"/>
      <w:pgMar w:top="1080" w:right="900" w:bottom="108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val="false"/>
      <w:bCs w:val="false"/>
      <w:color w:val="000000"/>
      <w:sz w:val="20"/>
      <w:szCs w:val="20"/>
    </w:rPr>
  </w:style>
  <w:style w:type="paragraph" w:styleId="Heading2">
    <w:name w:val="Heading 2"/>
    <w:basedOn w:val="Normal"/>
    <w:next w:val="Normal"/>
    <w:qFormat/>
    <w:pPr>
      <w:outlineLvl w:val="1"/>
    </w:pPr>
    <w:rPr>
      <w:rFonts w:ascii="Times New Roman" w:cs="Times New Roman" w:eastAsia="Times New Roman" w:hAnsi="Times New Roman"/>
      <w:b w:val="false"/>
      <w:bCs w:val="false"/>
      <w:i/>
      <w:iCs/>
      <w:color w:val="000000"/>
      <w:sz w:val="20"/>
      <w:szCs w:val="20"/>
    </w:rPr>
  </w:style>
  <w:style w:type="paragraph" w:styleId="Heading3">
    <w:name w:val="Heading 3"/>
    <w:basedOn w:val="Normal"/>
    <w:next w:val="Normal"/>
    <w:qFormat/>
    <w:pPr>
      <w:outlineLvl w:val="2"/>
    </w:pPr>
    <w:rPr>
      <w:rFonts w:ascii="Times New Roman" w:cs="Times New Roman" w:eastAsia="Times New Roman" w:hAnsi="Times New Roman"/>
      <w:b w:val="false"/>
      <w:bCs w:val="false"/>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53287f1fd4d8665f10f7197ff98b43c0fe4a1d5.png"/><Relationship Id="rId9" Type="http://schemas.openxmlformats.org/officeDocument/2006/relationships/image" Target="media/896c937de7b32c1916cc92e109fd9be7ef588058.png"/><Relationship Id="rId10" Type="http://schemas.openxmlformats.org/officeDocument/2006/relationships/image" Target="media/396b8524955fb17642ed25f1175cebe502c48fe4.png"/><Relationship Id="rId11" Type="http://schemas.openxmlformats.org/officeDocument/2006/relationships/image" Target="media/7bf6b53dc30ef42f76cebaa4728d0c0b11fe869b.png"/><Relationship Id="rId12" Type="http://schemas.openxmlformats.org/officeDocument/2006/relationships/image" Target="media/bf97ef5adf185a6eb6c04fd042ee068c4976c2ad.png"/><Relationship Id="rId13" Type="http://schemas.openxmlformats.org/officeDocument/2006/relationships/image" Target="media/bf7325f9270f1e6eed908fedefb1a5ca715f7c53.png"/><Relationship Id="rId14" Type="http://schemas.openxmlformats.org/officeDocument/2006/relationships/image" Target="media/d6145b83ec5197cbfd68942091bd0f0e70cd9d8f.png"/><Relationship Id="rId15" Type="http://schemas.openxmlformats.org/officeDocument/2006/relationships/image" Target="media/7c8a662fee35ff17740e5252bd525fc3b3d548d5.png"/><Relationship Id="rId16" Type="http://schemas.openxmlformats.org/officeDocument/2006/relationships/image" Target="media/d1afe3f76c0380a2a71db8badd162fe39c5ad2a3.png"/><Relationship Id="rId17" Type="http://schemas.openxmlformats.org/officeDocument/2006/relationships/image" Target="media/c8f5ecc3bef5ab18f7f201a5ed01619b3b0bcf86.png"/><Relationship Id="rId18" Type="http://schemas.openxmlformats.org/officeDocument/2006/relationships/image" Target="media/bd7b59dd92d734fad0c10daddab27e62e51b9f0c.png"/><Relationship Id="rId19" Type="http://schemas.openxmlformats.org/officeDocument/2006/relationships/image" Target="media/483eefac4f20e2b47621510b03c47cf510679b36.png"/><Relationship Id="rId20" Type="http://schemas.openxmlformats.org/officeDocument/2006/relationships/image" Target="media/7643fa9f4916077873af1fdde2c89a78125932ca.png"/><Relationship Id="rId21" Type="http://schemas.openxmlformats.org/officeDocument/2006/relationships/image" Target="media/325271d55d758844cccf1ab06c8aa6473f4b47f4.png"/><Relationship Id="rId22" Type="http://schemas.openxmlformats.org/officeDocument/2006/relationships/image" Target="media/7c2fdb7db6035331c83490cf720ef34456a1c188.png"/><Relationship Id="rId23" Type="http://schemas.openxmlformats.org/officeDocument/2006/relationships/image" Target="media/e79907b9f3ff9d1ada12a3af8e38fb2e24c21ffb.png"/><Relationship Id="rId24" Type="http://schemas.openxmlformats.org/officeDocument/2006/relationships/image" Target="media/431a5ade5d1cdaa234ab6719d0d7b3cb31d3e16e.png"/><Relationship Id="rId25" Type="http://schemas.openxmlformats.org/officeDocument/2006/relationships/image" Target="media/6c56eda08ac8aaa0da1a3a90a29b7e02c4b325f0.png"/><Relationship Id="rId26" Type="http://schemas.openxmlformats.org/officeDocument/2006/relationships/image" Target="media/b3fbf5ff91492dea5aa8a44b12d592b0a4842b5c.png"/><Relationship Id="rId27" Type="http://schemas.openxmlformats.org/officeDocument/2006/relationships/image" Target="media/b1f918d242bf2f74c791f63822ba8e118ed03a13.png"/><Relationship Id="rId28" Type="http://schemas.openxmlformats.org/officeDocument/2006/relationships/image" Target="media/326c48a1e6aa6f80d31c5022f09194cfa8b4a7d4.png"/><Relationship Id="rId29" Type="http://schemas.openxmlformats.org/officeDocument/2006/relationships/image" Target="media/ca2e4f7d149490afef48d35f6661f630a5c34f70.png"/><Relationship Id="rId30" Type="http://schemas.openxmlformats.org/officeDocument/2006/relationships/image" Target="media/dee855e08967907de5f2180b223b60c70f907f23.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Unified Physics-Based Compact Model and Calibrated Circuit-Validation Flow for Multi-Material CFET Logic: Si, SiGe, MoS2/WSe2, CNT and GaN</dc:title>
  <dc:creator>M. Nisha Angeline</dc:creator>
  <cp:lastModifiedBy>Un-named</cp:lastModifiedBy>
  <cp:revision>1</cp:revision>
  <dcterms:created xsi:type="dcterms:W3CDTF">2026-10-06T09:34:38.781Z</dcterms:created>
  <dcterms:modified xsi:type="dcterms:W3CDTF">2026-10-06T09:34:38.787Z</dcterms:modified>
</cp:coreProperties>
</file>

<file path=docProps/custom.xml><?xml version="1.0" encoding="utf-8"?>
<Properties xmlns="http://schemas.openxmlformats.org/officeDocument/2006/custom-properties" xmlns:vt="http://schemas.openxmlformats.org/officeDocument/2006/docPropsVTypes"/>
</file>