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Closed-loop cold plasma delivery is limited by sensing, not by control theory.</w:t>
      </w:r>
    </w:p>
    <w:p>
      <w:pPr>
        <w:numPr>
          <w:ilvl w:val="0"/>
          <w:numId w:val="1001"/>
        </w:numPr>
        <w:pStyle w:val="Compact"/>
      </w:pPr>
      <w:r>
        <w:t xml:space="preserve">Constrained MPC already regulates CAP thermal dose under safety limits.</w:t>
      </w:r>
    </w:p>
    <w:p>
      <w:pPr>
        <w:numPr>
          <w:ilvl w:val="0"/>
          <w:numId w:val="1001"/>
        </w:numPr>
        <w:pStyle w:val="Compact"/>
      </w:pPr>
      <w:r>
        <w:t xml:space="preserve">In-silico: feedback cuts median thermal-dose error from 89% to 17%.</w:t>
      </w:r>
    </w:p>
    <w:p>
      <w:pPr>
        <w:numPr>
          <w:ilvl w:val="0"/>
          <w:numId w:val="1001"/>
        </w:numPr>
        <w:pStyle w:val="Compact"/>
      </w:pPr>
      <w:r>
        <w:t xml:space="preserve">Residual closed-loop error is set by sensor bias and lag, not plant variation.</w:t>
      </w:r>
    </w:p>
    <w:p>
      <w:pPr>
        <w:numPr>
          <w:ilvl w:val="0"/>
          <w:numId w:val="1001"/>
        </w:numPr>
        <w:pStyle w:val="Compact"/>
      </w:pPr>
      <w:r>
        <w:t xml:space="preserve">We propose six benchmark metrics for reporting closed-loop CAP devices.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2026-10-16T12:20:42Z</dcterms:created>
  <dcterms:modified xsi:type="dcterms:W3CDTF">2026-10-16T12:20:42Z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