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Leachate-Centric In-Silico Pipeline for Predicting Polymer-Dependent Neuroinflammatory Potential of Microplastics</w:t>
      </w:r>
    </w:p>
    <w:bookmarkStart w:id="39" w:name="X2268107269c3345c0c58fc5075cebc35ff0e83a"/>
    <w:p>
      <w:pPr>
        <w:pStyle w:val="Heading1"/>
      </w:pPr>
      <w:r>
        <w:t xml:space="preserve">A Leachate-Centric In-Silico Pipeline for Predicting Polymer-Dependent Neuroinflammatory Potential of Microplastics</w:t>
      </w:r>
    </w:p>
    <w:p>
      <w:pPr>
        <w:pStyle w:val="FirstParagraph"/>
      </w:pPr>
      <w:r>
        <w:rPr>
          <w:bCs/>
          <w:b/>
        </w:rPr>
        <w:t xml:space="preserve">M. Nisha Angeline</w:t>
      </w:r>
      <w:r>
        <w:t xml:space="preserve"> </w:t>
      </w:r>
      <w:r>
        <w:t xml:space="preserve">— Professor and Head, Department of Electronics and</w:t>
      </w:r>
      <w:r>
        <w:t xml:space="preserve"> </w:t>
      </w:r>
      <w:r>
        <w:t xml:space="preserve">Communication Engineering, Velalar College of Engineering and Technology,</w:t>
      </w:r>
      <w:r>
        <w:t xml:space="preserve"> </w:t>
      </w:r>
      <w:r>
        <w:t xml:space="preserve">Thindal, Erode, Tamil Nadu, India · nishavlsidesign@gmail.com</w:t>
      </w:r>
    </w:p>
    <w:p>
      <w:pPr>
        <w:pStyle w:val="BodyText"/>
      </w:pPr>
      <w:r>
        <w:rPr>
          <w:iCs/>
          <w:i/>
        </w:rPr>
        <w:t xml:space="preserve">Companion computational manuscript to a PRISMA systematic review on</w:t>
      </w:r>
      <w:r>
        <w:rPr>
          <w:iCs/>
          <w:i/>
        </w:rPr>
        <w:t xml:space="preserve"> </w:t>
      </w:r>
      <w:r>
        <w:rPr>
          <w:iCs/>
          <w:i/>
        </w:rPr>
        <w:t xml:space="preserve">microplastics and neuroinflammation. October 2026.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Whether microplastic</w:t>
      </w:r>
      <w:r>
        <w:t xml:space="preserve"> </w:t>
      </w:r>
      <w:r>
        <w:rPr>
          <w:iCs/>
          <w:i/>
        </w:rPr>
        <w:t xml:space="preserve">polymer type</w:t>
      </w:r>
      <w:r>
        <w:t xml:space="preserve"> </w:t>
      </w:r>
      <w:r>
        <w:t xml:space="preserve">governs neuroinflammatory risk is confounded</w:t>
      </w:r>
      <w:r>
        <w:t xml:space="preserve"> </w:t>
      </w:r>
      <w:r>
        <w:t xml:space="preserve">in the experimental literature by particle size and by the chemical additives and</w:t>
      </w:r>
      <w:r>
        <w:t xml:space="preserve"> </w:t>
      </w:r>
      <w:r>
        <w:t xml:space="preserve">leachates each polymer carries. We test a falsifiable hypothesis: that predicted</w:t>
      </w:r>
      <w:r>
        <w:t xml:space="preserve"> </w:t>
      </w:r>
      <w:r>
        <w:t xml:space="preserve">neuroinflammatory potential across polyethylene (PE), polypropylene (PP),</w:t>
      </w:r>
      <w:r>
        <w:t xml:space="preserve"> </w:t>
      </w:r>
      <w:r>
        <w:t xml:space="preserve">polystyrene (PS), polyvinyl chloride (PVC) and polyurethane (PU) tracks</w:t>
      </w:r>
      <w:r>
        <w:t xml:space="preserve"> </w:t>
      </w:r>
      <w:r>
        <w:rPr>
          <w:iCs/>
          <w:i/>
        </w:rPr>
        <w:t xml:space="preserve">leachate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</w:t>
      </w:r>
      <w:r>
        <w:t xml:space="preserve"> </w:t>
      </w:r>
      <w:r>
        <w:t xml:space="preserve">engaging neuroinflammation receptors rather than the inert polymer</w:t>
      </w:r>
      <w:r>
        <w:t xml:space="preserve"> </w:t>
      </w:r>
      <w:r>
        <w:t xml:space="preserve">backbone. We assemble a curated, structure-validated inventory of 56 documented</w:t>
      </w:r>
      <w:r>
        <w:t xml:space="preserve"> </w:t>
      </w:r>
      <w:r>
        <w:t xml:space="preserve">leachates (11–12 per polymer), triage every compound with scaffold-split</w:t>
      </w:r>
      <w:r>
        <w:t xml:space="preserve"> </w:t>
      </w:r>
      <w:r>
        <w:t xml:space="preserve">RandomForest classifiers trained on three inflammation-relevant Tox21 endpoints</w:t>
      </w:r>
      <w:r>
        <w:t xml:space="preserve"> </w:t>
      </w:r>
      <w:r>
        <w:t xml:space="preserve">(NR-AhR, SR-ARE, SR-p53), and propagate the aggregated per-polymer signal through</w:t>
      </w:r>
      <w:r>
        <w:t xml:space="preserve"> </w:t>
      </w:r>
      <w:r>
        <w:t xml:space="preserve">a minimal microglial ODE model (receptor → NF-κB → {TNF-α, IL-6}) to obtain a</w:t>
      </w:r>
      <w:r>
        <w:t xml:space="preserve"> </w:t>
      </w:r>
      <w:r>
        <w:t xml:space="preserve">normalised neuroinflammation index. The NR-AhR classifier attains a scaffold-split</w:t>
      </w:r>
      <w:r>
        <w:t xml:space="preserve"> </w:t>
      </w:r>
      <w:r>
        <w:t xml:space="preserve">ROC-AUC of 0.84 and AUPRC of 0.55 (test base rate 0.14). The pipeline predicts</w:t>
      </w:r>
      <w:r>
        <w:t xml:space="preserve"> </w:t>
      </w:r>
      <w:r>
        <w:rPr>
          <w:bCs/>
          <w:b/>
        </w:rPr>
        <w:t xml:space="preserve">PU &gt; PVC &gt; PE &gt; PS &gt; PP</w:t>
      </w:r>
      <w:r>
        <w:t xml:space="preserve">, with PU elevated by aromatic-amine hydrolysis products</w:t>
      </w:r>
      <w:r>
        <w:t xml:space="preserve"> </w:t>
      </w:r>
      <w:r>
        <w:t xml:space="preserve">(toluenediamine, methylenedianiline) and PVC by bisphenol A and phthalates. We</w:t>
      </w:r>
      <w:r>
        <w:t xml:space="preserve"> </w:t>
      </w:r>
      <w:r>
        <w:t xml:space="preserve">preserve the governing caveat that binding affinity is strength, not activation</w:t>
      </w:r>
      <w:r>
        <w:t xml:space="preserve"> </w:t>
      </w:r>
      <w:r>
        <w:t xml:space="preserve">direction, and that virtual-cell kinetics are illustrative rather than fitted;</w:t>
      </w:r>
      <w:r>
        <w:t xml:space="preserve"> </w:t>
      </w:r>
      <w:r>
        <w:t xml:space="preserve">receptor docking into AhR, TLR4–MD2 and NLRP3 is specified and implemented but was</w:t>
      </w:r>
      <w:r>
        <w:t xml:space="preserve"> </w:t>
      </w:r>
      <w:r>
        <w:t xml:space="preserve">not executed here due to restricted access to structure databases, and no</w:t>
      </w:r>
      <w:r>
        <w:t xml:space="preserve"> </w:t>
      </w:r>
      <w:r>
        <w:t xml:space="preserve">affinities were fabricated. The ranking is offered as a prioritised, testable</w:t>
      </w:r>
      <w:r>
        <w:t xml:space="preserve"> </w:t>
      </w:r>
      <w:r>
        <w:t xml:space="preserve">hypothesis for wet-lab confirmation, and the framework directly addresses the</w:t>
      </w:r>
      <w:r>
        <w:t xml:space="preserve"> </w:t>
      </w:r>
      <w:r>
        <w:t xml:space="preserve">PS-over-study / PE-under-study imbalance in the current evidence base.</w:t>
      </w:r>
    </w:p>
    <w:p>
      <w:pPr>
        <w:pStyle w:val="BodyText"/>
      </w:pPr>
      <w:r>
        <w:rPr>
          <w:bCs/>
          <w:b/>
        </w:rPr>
        <w:t xml:space="preserve">Index Terms —</w:t>
      </w:r>
      <w:r>
        <w:t xml:space="preserve"> </w:t>
      </w:r>
      <w:r>
        <w:t xml:space="preserve">Microplastics, neuroinflammation, leachates, aryl hydrocarbon</w:t>
      </w:r>
      <w:r>
        <w:t xml:space="preserve"> </w:t>
      </w:r>
      <w:r>
        <w:t xml:space="preserve">receptor, Tox21, machine learning, molecular docking, systems biology, in-silico</w:t>
      </w:r>
      <w:r>
        <w:t xml:space="preserve"> </w:t>
      </w:r>
      <w:r>
        <w:t xml:space="preserve">toxicology.</w:t>
      </w:r>
    </w:p>
    <w:p>
      <w:r>
        <w:pict>
          <v:rect style="width:0;height:1.5pt" o:hralign="center" o:hrstd="t" o:hr="t"/>
        </w:pict>
      </w:r>
    </w:p>
    <w:bookmarkEnd w:id="20"/>
    <w:bookmarkStart w:id="21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Microplastics are now detected in human blood, placenta and brain tissue, and</w:t>
      </w:r>
      <w:r>
        <w:t xml:space="preserve"> </w:t>
      </w:r>
      <w:r>
        <w:t xml:space="preserve">micro- and nanoplastics are reported to cross the blood–brain barrier and provoke</w:t>
      </w:r>
      <w:r>
        <w:t xml:space="preserve"> </w:t>
      </w:r>
      <w:r>
        <w:t xml:space="preserve">glial activation [1]. A central, unresolved question is whether the</w:t>
      </w:r>
      <w:r>
        <w:t xml:space="preserve"> </w:t>
      </w:r>
      <w:r>
        <w:rPr>
          <w:iCs/>
          <w:i/>
        </w:rPr>
        <w:t xml:space="preserve">polymer type</w:t>
      </w:r>
      <w:r>
        <w:t xml:space="preserve"> </w:t>
      </w:r>
      <w:r>
        <w:t xml:space="preserve">of a particle (PE, PP, PS, PVC, PU) determines the magnitude of the</w:t>
      </w:r>
      <w:r>
        <w:t xml:space="preserve"> </w:t>
      </w:r>
      <w:r>
        <w:t xml:space="preserve">neuroinflammatory response. The experimental record cannot answer this cleanly:</w:t>
      </w:r>
      <w:r>
        <w:t xml:space="preserve"> </w:t>
      </w:r>
      <w:r>
        <w:t xml:space="preserve">polymer identity is entangled with particle size, surface chemistry and,</w:t>
      </w:r>
      <w:r>
        <w:t xml:space="preserve"> </w:t>
      </w:r>
      <w:r>
        <w:t xml:space="preserve">critically, with the distinct sets of additives, residual monomers and adsorbed</w:t>
      </w:r>
      <w:r>
        <w:t xml:space="preserve"> </w:t>
      </w:r>
      <w:r>
        <w:t xml:space="preserve">contaminants — collectively</w:t>
      </w:r>
      <w:r>
        <w:t xml:space="preserve"> </w:t>
      </w:r>
      <w:r>
        <w:rPr>
          <w:iCs/>
          <w:i/>
        </w:rPr>
        <w:t xml:space="preserve">leachates</w:t>
      </w:r>
      <w:r>
        <w:t xml:space="preserve"> </w:t>
      </w:r>
      <w:r>
        <w:t xml:space="preserve">— each polymer carries.</w:t>
      </w:r>
    </w:p>
    <w:p>
      <w:pPr>
        <w:pStyle w:val="BodyText"/>
      </w:pPr>
      <w:r>
        <w:t xml:space="preserve">We test the hypothesis that polymer-to-polymer differences are driven largely by</w:t>
      </w:r>
      <w:r>
        <w:t xml:space="preserve"> </w:t>
      </w:r>
      <w:r>
        <w:t xml:space="preserve">leachate chemistry acting on specific xenobiotic-sensing and innate-immune</w:t>
      </w:r>
      <w:r>
        <w:t xml:space="preserve"> </w:t>
      </w:r>
      <w:r>
        <w:t xml:space="preserve">receptors — the aryl hydrocarbon receptor (AhR) [2], the TLR4–MD2 complex [3], and</w:t>
      </w:r>
      <w:r>
        <w:t xml:space="preserve"> </w:t>
      </w:r>
      <w:r>
        <w:t xml:space="preserve">the NLRP3 inflammasome [4] — rather than by the inert backbone. If the computed</w:t>
      </w:r>
      <w:r>
        <w:t xml:space="preserve"> </w:t>
      </w:r>
      <w:r>
        <w:t xml:space="preserve">ranking matches an experimental ranking from systematic-review screening, the</w:t>
      </w:r>
      <w:r>
        <w:t xml:space="preserve"> </w:t>
      </w:r>
      <w:r>
        <w:t xml:space="preserve">framework is validated; if not, the discrepancy is itself a falsifiable</w:t>
      </w:r>
      <w:r>
        <w:t xml:space="preserve"> </w:t>
      </w:r>
      <w:r>
        <w:t xml:space="preserve">prediction.</w:t>
      </w:r>
    </w:p>
    <w:p>
      <w:pPr>
        <w:pStyle w:val="BodyText"/>
      </w:pPr>
      <w:r>
        <w:rPr>
          <w:bCs/>
          <w:b/>
        </w:rPr>
        <w:t xml:space="preserve">Contributions:</w:t>
      </w:r>
      <w:r>
        <w:t xml:space="preserve"> </w:t>
      </w:r>
      <w:r>
        <w:t xml:space="preserve">(i) a transparent, reproducible five-stage pipeline from</w:t>
      </w:r>
      <w:r>
        <w:t xml:space="preserve"> </w:t>
      </w:r>
      <w:r>
        <w:t xml:space="preserve">polymer to per-polymer neuroinflammation index; (ii) real scaffold-split ML</w:t>
      </w:r>
      <w:r>
        <w:t xml:space="preserve"> </w:t>
      </w:r>
      <w:r>
        <w:t xml:space="preserve">performance on inflammation-relevant Tox21 endpoints; (iii) a prioritised polymer</w:t>
      </w:r>
      <w:r>
        <w:t xml:space="preserve"> </w:t>
      </w:r>
      <w:r>
        <w:t xml:space="preserve">ranking with the dominant leachate and receptor axis per polymer; and (iv) an</w:t>
      </w:r>
      <w:r>
        <w:t xml:space="preserve"> </w:t>
      </w:r>
      <w:r>
        <w:t xml:space="preserve">explicit, preserved set of caveats so predictions are never mistaken for fact.</w:t>
      </w:r>
    </w:p>
    <w:bookmarkEnd w:id="21"/>
    <w:bookmarkStart w:id="22" w:name="ii.-related-work"/>
    <w:p>
      <w:pPr>
        <w:pStyle w:val="Heading2"/>
      </w:pPr>
      <w:r>
        <w:t xml:space="preserve">II. Related Work</w:t>
      </w:r>
    </w:p>
    <w:p>
      <w:pPr>
        <w:pStyle w:val="FirstParagraph"/>
      </w:pPr>
      <w:r>
        <w:t xml:space="preserve">QSAR models trained on the Tox21 ~10k library are a standard first-pass triage,</w:t>
      </w:r>
      <w:r>
        <w:t xml:space="preserve"> </w:t>
      </w:r>
      <w:r>
        <w:t xml:space="preserve">with NR-AhR and SR-ARE among the most predictive, interpretable endpoints [5].</w:t>
      </w:r>
      <w:r>
        <w:t xml:space="preserve"> </w:t>
      </w:r>
      <w:r>
        <w:t xml:space="preserve">Molecular docking with AutoDock Vina [6], [7] is the workhorse for</w:t>
      </w:r>
      <w:r>
        <w:t xml:space="preserve"> </w:t>
      </w:r>
      <w:r>
        <w:t xml:space="preserve">receptor-engagement screening, and AlphaFold [8] supplements experimental PDB</w:t>
      </w:r>
      <w:r>
        <w:t xml:space="preserve"> </w:t>
      </w:r>
      <w:r>
        <w:t xml:space="preserve">structures [9] where co-crystals are unavailable. Open inventories such as</w:t>
      </w:r>
      <w:r>
        <w:t xml:space="preserve"> </w:t>
      </w:r>
      <w:r>
        <w:t xml:space="preserve">PlastChem [10] now catalogue plastic-associated chemicals at a scale usable for</w:t>
      </w:r>
      <w:r>
        <w:t xml:space="preserve"> </w:t>
      </w:r>
      <w:r>
        <w:t xml:space="preserve">systematic in-silico screening. Our contribution chains these into a single</w:t>
      </w:r>
      <w:r>
        <w:t xml:space="preserve"> </w:t>
      </w:r>
      <w:r>
        <w:t xml:space="preserve">leachate-to-microglia prediction and foregrounds the affinity-versus-direction</w:t>
      </w:r>
      <w:r>
        <w:t xml:space="preserve"> </w:t>
      </w:r>
      <w:r>
        <w:t xml:space="preserve">problem that docking-only studies leave implicit.</w:t>
      </w:r>
    </w:p>
    <w:bookmarkEnd w:id="22"/>
    <w:bookmarkStart w:id="23" w:name="iii.-materials-and-methods"/>
    <w:p>
      <w:pPr>
        <w:pStyle w:val="Heading2"/>
      </w:pPr>
      <w:r>
        <w:t xml:space="preserve">III. Materials and Methods</w:t>
      </w:r>
    </w:p>
    <w:p>
      <w:pPr>
        <w:pStyle w:val="FirstParagraph"/>
      </w:pPr>
      <w:r>
        <w:rPr>
          <w:bCs/>
          <w:b/>
        </w:rPr>
        <w:t xml:space="preserve">Stage 1 — Leachate inventory.</w:t>
      </w:r>
      <w:r>
        <w:t xml:space="preserve"> </w:t>
      </w:r>
      <w:r>
        <w:t xml:space="preserve">Documented additives, residual monomers and</w:t>
      </w:r>
      <w:r>
        <w:t xml:space="preserve"> </w:t>
      </w:r>
      <w:r>
        <w:t xml:space="preserve">adsorbed contaminants were curated as canonical SMILES, validated and standardised</w:t>
      </w:r>
      <w:r>
        <w:t xml:space="preserve"> </w:t>
      </w:r>
      <w:r>
        <w:t xml:space="preserve">in RDKit [11]; any string failing to parse was discarded. The inventory holds 56</w:t>
      </w:r>
      <w:r>
        <w:t xml:space="preserve"> </w:t>
      </w:r>
      <w:r>
        <w:t xml:space="preserve">compounds (PE 12; PP/PS/PVC/PU 11 each), deliberately covering the under-studied</w:t>
      </w:r>
      <w:r>
        <w:t xml:space="preserve"> </w:t>
      </w:r>
      <w:r>
        <w:t xml:space="preserve">PE and additive-rich PVC/PU as strongly as the frequently studied PS.</w:t>
      </w:r>
    </w:p>
    <w:p>
      <w:pPr>
        <w:pStyle w:val="BodyText"/>
      </w:pPr>
      <w:r>
        <w:rPr>
          <w:bCs/>
          <w:b/>
        </w:rPr>
        <w:t xml:space="preserve">Stage 2 — Tox21 ML triage.</w:t>
      </w:r>
      <w:r>
        <w:t xml:space="preserve"> </w:t>
      </w:r>
      <w:r>
        <w:t xml:space="preserve">One classifier per endpoint:</w:t>
      </w:r>
      <w:r>
        <w:t xml:space="preserve"> </w:t>
      </w:r>
      <w:r>
        <w:rPr>
          <w:bCs/>
          <w:b/>
        </w:rPr>
        <w:t xml:space="preserve">NR-AhR</w:t>
      </w:r>
      <w:r>
        <w:t xml:space="preserve"> </w:t>
      </w:r>
      <w:r>
        <w:t xml:space="preserve">(aryl</w:t>
      </w:r>
      <w:r>
        <w:t xml:space="preserve"> </w:t>
      </w:r>
      <w:r>
        <w:t xml:space="preserve">hydrocarbon receptor),</w:t>
      </w:r>
      <w:r>
        <w:t xml:space="preserve"> </w:t>
      </w:r>
      <w:r>
        <w:rPr>
          <w:bCs/>
          <w:b/>
        </w:rPr>
        <w:t xml:space="preserve">SR-ARE</w:t>
      </w:r>
      <w:r>
        <w:t xml:space="preserve"> </w:t>
      </w:r>
      <w:r>
        <w:t xml:space="preserve">(Nrf2/antioxidant response),</w:t>
      </w:r>
      <w:r>
        <w:t xml:space="preserve"> </w:t>
      </w:r>
      <w:r>
        <w:rPr>
          <w:bCs/>
          <w:b/>
        </w:rPr>
        <w:t xml:space="preserve">SR-p53</w:t>
      </w:r>
      <w:r>
        <w:t xml:space="preserve"> </w:t>
      </w:r>
      <w:r>
        <w:t xml:space="preserve">(genotoxic stress). Molecules were featurised as 2048-bit Morgan fingerprints</w:t>
      </w:r>
      <w:r>
        <w:t xml:space="preserve"> </w:t>
      </w:r>
      <w:r>
        <w:t xml:space="preserve">(radius 2); 7,823 structures survived featurisation. Validation used a</w:t>
      </w:r>
      <w:r>
        <w:t xml:space="preserve"> </w:t>
      </w:r>
      <w:r>
        <w:t xml:space="preserve">deterministic Bemis–Murcko scaffold split [12] (80/20) so test scaffolds are</w:t>
      </w:r>
      <w:r>
        <w:t xml:space="preserve"> </w:t>
      </w:r>
      <w:r>
        <w:t xml:space="preserve">unseen. Each endpoint used a RandomForest (300 trees, balanced weights). Positive</w:t>
      </w:r>
      <w:r>
        <w:t xml:space="preserve"> </w:t>
      </w:r>
      <w:r>
        <w:t xml:space="preserve">classes are rare, so we report ROC-AUC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AUPRC; accuracy is not reported.</w:t>
      </w:r>
      <w:r>
        <w:t xml:space="preserve"> </w:t>
      </w:r>
      <w:r>
        <w:t xml:space="preserve">Models were refit on all labelled rows to score every leachate.</w:t>
      </w:r>
    </w:p>
    <w:p>
      <w:pPr>
        <w:pStyle w:val="BodyText"/>
      </w:pPr>
      <w:r>
        <w:rPr>
          <w:bCs/>
          <w:b/>
        </w:rPr>
        <w:t xml:space="preserve">Stage 3 — Receptor structure and docking.</w:t>
      </w:r>
      <w:r>
        <w:t xml:space="preserve"> </w:t>
      </w:r>
      <w:r>
        <w:t xml:space="preserve">Targets/boxes: AhR PAS-B (AlphaFold</w:t>
      </w:r>
      <w:r>
        <w:t xml:space="preserve"> </w:t>
      </w:r>
      <w:r>
        <w:t xml:space="preserve">P35869, 22.5³ Å); TLR4–MD2 (PDB 3FXI, 25³ Å); NLRP3 NACHT/LRR (PDB 6NPY, 24³ Å),</w:t>
      </w:r>
      <w:r>
        <w:t xml:space="preserve"> </w:t>
      </w:r>
      <w:r>
        <w:t xml:space="preserve">with AutoDock Vina [6], [7] and Meeko. Each pose would be recorded</w:t>
      </w:r>
      <w:r>
        <w:t xml:space="preserve"> </w:t>
      </w:r>
      <w:r>
        <w:rPr>
          <w:bCs/>
          <w:b/>
        </w:rPr>
        <w:t xml:space="preserve">paired with</w:t>
      </w:r>
      <w:r>
        <w:rPr>
          <w:bCs/>
          <w:b/>
        </w:rPr>
        <w:t xml:space="preserve"> </w:t>
      </w:r>
      <w:r>
        <w:rPr>
          <w:bCs/>
          <w:b/>
        </w:rPr>
        <w:t xml:space="preserve">its Tox21 label</w:t>
      </w:r>
      <w:r>
        <w:t xml:space="preserve">, because Vina affinity is binding strength, not</w:t>
      </w:r>
      <w:r>
        <w:t xml:space="preserve"> </w:t>
      </w:r>
      <w:r>
        <w:t xml:space="preserve">agonist/antagonist direction. In the present environment RCSB PDB, AlphaFold DB</w:t>
      </w:r>
      <w:r>
        <w:t xml:space="preserve"> </w:t>
      </w:r>
      <w:r>
        <w:t xml:space="preserve">and UniProt were unreachable, so docking was</w:t>
      </w:r>
      <w:r>
        <w:t xml:space="preserve"> </w:t>
      </w:r>
      <w:r>
        <w:rPr>
          <w:bCs/>
          <w:b/>
        </w:rPr>
        <w:t xml:space="preserve">not run and no affinities were</w:t>
      </w:r>
      <w:r>
        <w:rPr>
          <w:bCs/>
          <w:b/>
        </w:rPr>
        <w:t xml:space="preserve"> </w:t>
      </w:r>
      <w:r>
        <w:rPr>
          <w:bCs/>
          <w:b/>
        </w:rPr>
        <w:t xml:space="preserve">fabricated</w:t>
      </w:r>
      <w:r>
        <w:t xml:space="preserve">; the receptor-engagement signal derives from the Stage-2 triage,</w:t>
      </w:r>
      <w:r>
        <w:t xml:space="preserve"> </w:t>
      </w:r>
      <w:r>
        <w:t xml:space="preserve">with TLR4–MD2/NLRP3 docking pending structure access.</w:t>
      </w:r>
    </w:p>
    <w:p>
      <w:pPr>
        <w:pStyle w:val="BodyText"/>
      </w:pPr>
      <w:r>
        <w:rPr>
          <w:bCs/>
          <w:b/>
        </w:rPr>
        <w:t xml:space="preserve">Stage 4 — Virtual microglial cell.</w:t>
      </w:r>
      <w:r>
        <w:t xml:space="preserve"> </w:t>
      </w:r>
      <w:r>
        <w:t xml:space="preserve">A minimal ODE couples a lumped receptor</w:t>
      </w:r>
      <w:r>
        <w:t xml:space="preserve"> </w:t>
      </w:r>
      <w:r>
        <w:t xml:space="preserve">drive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∈ [0,1] to NF-κB [13] and downstream TNF-α and IL-6:</w:t>
      </w:r>
    </w:p>
    <w:p>
      <w:pPr>
        <w:numPr>
          <w:ilvl w:val="0"/>
          <w:numId w:val="1001"/>
        </w:numPr>
        <w:pStyle w:val="Compact"/>
      </w:pPr>
      <w:r>
        <w:t xml:space="preserve">dN/dt = k_on·u·(N_tot − N) − k_off·N</w:t>
      </w:r>
    </w:p>
    <w:p>
      <w:pPr>
        <w:numPr>
          <w:ilvl w:val="0"/>
          <w:numId w:val="1001"/>
        </w:numPr>
        <w:pStyle w:val="Compact"/>
      </w:pPr>
      <w:r>
        <w:t xml:space="preserve">dT/dt = s_T·N</w:t>
      </w:r>
      <w:r>
        <w:rPr>
          <w:vertAlign w:val="superscript"/>
        </w:rPr>
        <w:t xml:space="preserve">n/(K</w:t>
      </w:r>
      <w:r>
        <w:t xml:space="preserve">n+N^n) − d_T·T</w:t>
      </w:r>
    </w:p>
    <w:p>
      <w:pPr>
        <w:numPr>
          <w:ilvl w:val="0"/>
          <w:numId w:val="1001"/>
        </w:numPr>
        <w:pStyle w:val="Compact"/>
      </w:pPr>
      <w:r>
        <w:t xml:space="preserve">dI/dt = s_I·N</w:t>
      </w:r>
      <w:r>
        <w:rPr>
          <w:vertAlign w:val="superscript"/>
        </w:rPr>
        <w:t xml:space="preserve">n/(K</w:t>
      </w:r>
      <w:r>
        <w:t xml:space="preserve">n+N^n) − d_I·I</w:t>
      </w:r>
    </w:p>
    <w:p>
      <w:pPr>
        <w:pStyle w:val="FirstParagraph"/>
      </w:pPr>
      <w:r>
        <w:t xml:space="preserve">Per polymer,</w:t>
      </w:r>
      <w:r>
        <w:t xml:space="preserve"> </w:t>
      </w:r>
      <w:r>
        <w:rPr>
          <w:iCs/>
          <w:i/>
        </w:rPr>
        <w:t xml:space="preserve">u</w:t>
      </w:r>
      <w:r>
        <w:t xml:space="preserve"> </w:t>
      </w:r>
      <w:r>
        <w:t xml:space="preserve">is the weighted top-3 mean of endpoint probabilities (NR-AhR</w:t>
      </w:r>
      <w:r>
        <w:t xml:space="preserve"> </w:t>
      </w:r>
      <w:r>
        <w:t xml:space="preserve">0.50, SR-ARE 0.30, SR-p53 0.20). Integrated to steady state (SciPy LSODA); the</w:t>
      </w:r>
      <w:r>
        <w:t xml:space="preserve"> </w:t>
      </w:r>
      <w:r>
        <w:t xml:space="preserve">normalised steady-state cytokine sum is the index.</w:t>
      </w:r>
      <w:r>
        <w:t xml:space="preserve"> </w:t>
      </w:r>
      <w:r>
        <w:rPr>
          <w:bCs/>
          <w:b/>
        </w:rPr>
        <w:t xml:space="preserve">All rate constants are</w:t>
      </w:r>
      <w:r>
        <w:rPr>
          <w:bCs/>
          <w:b/>
        </w:rPr>
        <w:t xml:space="preserve"> </w:t>
      </w:r>
      <w:r>
        <w:rPr>
          <w:bCs/>
          <w:b/>
        </w:rPr>
        <w:t xml:space="preserve">illustrative, not fitted.</w:t>
      </w:r>
    </w:p>
    <w:p>
      <w:pPr>
        <w:pStyle w:val="BodyText"/>
      </w:pPr>
      <w:r>
        <w:rPr>
          <w:bCs/>
          <w:b/>
        </w:rPr>
        <w:t xml:space="preserve">Stage 5 — Ranking and validation.</w:t>
      </w:r>
      <w:r>
        <w:t xml:space="preserve"> </w:t>
      </w:r>
      <w:r>
        <w:t xml:space="preserve">Polymers are ranked by index; a Spearman</w:t>
      </w:r>
      <w:r>
        <w:t xml:space="preserve"> </w:t>
      </w:r>
      <w:r>
        <w:t xml:space="preserve">correlation to an author-supplied experimental ranking is computed when provided.</w:t>
      </w:r>
      <w:r>
        <w:t xml:space="preserve"> </w:t>
      </w:r>
      <w:r>
        <w:t xml:space="preserve">Built on scikit-learn [14]; each stage reproducible from one script.</w:t>
      </w:r>
    </w:p>
    <w:bookmarkEnd w:id="23"/>
    <w:bookmarkStart w:id="33" w:name="iv.-results"/>
    <w:p>
      <w:pPr>
        <w:pStyle w:val="Heading2"/>
      </w:pPr>
      <w:r>
        <w:t xml:space="preserve">IV. Results</w:t>
      </w:r>
    </w:p>
    <w:p>
      <w:pPr>
        <w:pStyle w:val="FirstParagraph"/>
      </w:pPr>
      <w:r>
        <w:rPr>
          <w:bCs/>
          <w:b/>
        </w:rPr>
        <w:t xml:space="preserve">Scaffold-split triage (Table I).</w:t>
      </w:r>
      <w:r>
        <w:t xml:space="preserve"> </w:t>
      </w:r>
      <w:r>
        <w:t xml:space="preserve">NR-AhR is strongest and most relevant</w:t>
      </w:r>
      <w:r>
        <w:t xml:space="preserve"> </w:t>
      </w:r>
      <w:r>
        <w:t xml:space="preserve">(ROC-AUC 0.84, AUPRC 0.55 vs a 0.14 base rate — 3.8× enrichment). SR-ARE and</w:t>
      </w:r>
      <w:r>
        <w:t xml:space="preserve"> </w:t>
      </w:r>
      <w:r>
        <w:t xml:space="preserve">SR-p53 remain informative (AUPRC 0.47, 0.35). Values are consistent with published</w:t>
      </w:r>
      <w:r>
        <w:t xml:space="preserve"> </w:t>
      </w:r>
      <w:r>
        <w:t xml:space="preserve">Tox21 scaffold-split baselines.</w:t>
      </w:r>
    </w:p>
    <w:p>
      <w:pPr>
        <w:pStyle w:val="BodyText"/>
      </w:pPr>
      <w:r>
        <w:rPr>
          <w:bCs/>
          <w:b/>
        </w:rPr>
        <w:t xml:space="preserve">TABLE I — Stage-2 scaffold-split performance (imbalance-aware)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AUPRC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NR-AhR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SR-p53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Predicted ranking (Fig. 1, Table II): PU &gt; PVC &gt; PE &gt; PS &gt; PP.</w:t>
      </w:r>
      <w:r>
        <w:t xml:space="preserve"> </w:t>
      </w:r>
      <w:r>
        <w:t xml:space="preserve">PU is sharply</w:t>
      </w:r>
      <w:r>
        <w:t xml:space="preserve"> </w:t>
      </w:r>
      <w:r>
        <w:t xml:space="preserve">elevated (0.98) by aromatic-amine hydrolysis products, led by 2,4-toluenediamine,</w:t>
      </w:r>
      <w:r>
        <w:t xml:space="preserve"> </w:t>
      </w:r>
      <w:r>
        <w:t xml:space="preserve">scoring high on both AhR and ARE. PVC (0.74) is driven by bisphenol A and</w:t>
      </w:r>
      <w:r>
        <w:t xml:space="preserve"> </w:t>
      </w:r>
      <w:r>
        <w:t xml:space="preserve">phthalates on the oxidative-stress axis; PE (0.70) by alkylphenols; PS (0.64) by</w:t>
      </w:r>
      <w:r>
        <w:t xml:space="preserve"> </w:t>
      </w:r>
      <w:r>
        <w:t xml:space="preserve">hexabromocyclododecane and styrene; PP (0.57) is lowest. The heatmap (Fig. 2)</w:t>
      </w:r>
      <w:r>
        <w:t xml:space="preserve"> </w:t>
      </w:r>
      <w:r>
        <w:t xml:space="preserve">localises differences to specific endpoints — the ranking is leachate–receptor</w:t>
      </w:r>
      <w:r>
        <w:t xml:space="preserve"> </w:t>
      </w:r>
      <w:r>
        <w:t xml:space="preserve">matching, not a single global toxicity scale.</w:t>
      </w:r>
    </w:p>
    <w:p>
      <w:pPr>
        <w:pStyle w:val="BodyText"/>
      </w:pPr>
      <w:r>
        <w:rPr>
          <w:bCs/>
          <w:b/>
        </w:rPr>
        <w:t xml:space="preserve">TABLE II — Predicted index and dominant driver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Polymer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Dominant leachate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NR-AhR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2,4-Toluenediamine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Bisphenol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</w:t>
            </w:r>
            <w:r>
              <w:rPr>
                <w:iCs/>
                <w:i/>
              </w:rPr>
              <w:t xml:space="preserve">tert</w:t>
            </w:r>
            <w:r>
              <w:t xml:space="preserve">-Octylphenol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Hexabromocyclododecane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NR-AhR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2,4-di-</w:t>
            </w:r>
            <w:r>
              <w:rPr>
                <w:iCs/>
                <w:i/>
              </w:rPr>
              <w:t xml:space="preserve">tert</w:t>
            </w:r>
            <w:r>
              <w:t xml:space="preserve">-butylphenol</w:t>
            </w:r>
          </w:p>
        </w:tc>
      </w:tr>
    </w:tbl>
    <w:p>
      <w:pPr>
        <w:pStyle w:val="BodyText"/>
      </w:pPr>
      <w:r>
        <w:drawing>
          <wp:inline>
            <wp:extent cx="4919472" cy="3858767"/>
            <wp:effectExtent b="0" l="0" r="0" t="0"/>
            <wp:docPr descr="Figure 1" title="" id="25" name="Picture"/>
            <a:graphic>
              <a:graphicData uri="http://schemas.openxmlformats.org/drawingml/2006/picture">
                <pic:pic>
                  <pic:nvPicPr>
                    <pic:cNvPr descr="../results/figures/fig1_polymer_index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472" cy="3858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Fig. 1.</w:t>
      </w:r>
      <w:r>
        <w:t xml:space="preserve"> </w:t>
      </w:r>
      <w:r>
        <w:t xml:space="preserve">Predicted neuroinflammatory potential by polymer (0–1). Computational</w:t>
      </w:r>
      <w:r>
        <w:t xml:space="preserve"> </w:t>
      </w:r>
      <w:r>
        <w:t xml:space="preserve">prediction with illustrative kinetics; affinity ≠ activation direction.</w:t>
      </w:r>
    </w:p>
    <w:p>
      <w:pPr>
        <w:pStyle w:val="BodyText"/>
      </w:pPr>
      <w:r>
        <w:drawing>
          <wp:inline>
            <wp:extent cx="5334000" cy="3000750"/>
            <wp:effectExtent b="0" l="0" r="0" t="0"/>
            <wp:docPr descr="Figure 2" title="" id="28" name="Picture"/>
            <a:graphic>
              <a:graphicData uri="http://schemas.openxmlformats.org/drawingml/2006/picture">
                <pic:pic>
                  <pic:nvPicPr>
                    <pic:cNvPr descr="../results/figures/fig2_receptor_heatm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Fig. 2.</w:t>
      </w:r>
      <w:r>
        <w:t xml:space="preserve"> </w:t>
      </w:r>
      <w:r>
        <w:t xml:space="preserve">Receptor-proxy signal (Tox21 top-3 mean) across polymers.</w:t>
      </w:r>
    </w:p>
    <w:p>
      <w:pPr>
        <w:pStyle w:val="BodyText"/>
      </w:pPr>
      <w:r>
        <w:drawing>
          <wp:inline>
            <wp:extent cx="5334000" cy="3478946"/>
            <wp:effectExtent b="0" l="0" r="0" t="0"/>
            <wp:docPr descr="Figure 3" title="" id="31" name="Picture"/>
            <a:graphic>
              <a:graphicData uri="http://schemas.openxmlformats.org/drawingml/2006/picture">
                <pic:pic>
                  <pic:nvPicPr>
                    <pic:cNvPr descr="../results/figures/fig3_leachate_breakdow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8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Fig. 3.</w:t>
      </w:r>
      <w:r>
        <w:t xml:space="preserve"> </w:t>
      </w:r>
      <w:r>
        <w:t xml:space="preserve">Endpoint contribution breakdown. PU is AhR-dominated; PVC/PE/PS are</w:t>
      </w:r>
      <w:r>
        <w:t xml:space="preserve"> </w:t>
      </w:r>
      <w:r>
        <w:t xml:space="preserve">oxidative-stress-dominated.</w:t>
      </w:r>
    </w:p>
    <w:p>
      <w:pPr>
        <w:pStyle w:val="BodyText"/>
      </w:pPr>
      <w:r>
        <w:rPr>
          <w:bCs/>
          <w:b/>
        </w:rPr>
        <w:t xml:space="preserve">Validation.</w:t>
      </w:r>
      <w:r>
        <w:t xml:space="preserve"> </w:t>
      </w:r>
      <w:r>
        <w:t xml:space="preserve">An experimental-ranking 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data/experimental_ranking.csv</w:t>
      </w:r>
      <w:r>
        <w:t xml:space="preserve">) is provided for the author to populate from</w:t>
      </w:r>
      <w:r>
        <w:t xml:space="preserve"> </w:t>
      </w:r>
      <w:r>
        <w:t xml:space="preserve">review screening; Stage 5 then computes Spearman ρ automatically. It is currently</w:t>
      </w:r>
      <w:r>
        <w:t xml:space="preserve"> </w:t>
      </w:r>
      <w:r>
        <w:t xml:space="preserve">unpopulated, so quantitative validation is deferred and the ranking stands as a</w:t>
      </w:r>
      <w:r>
        <w:t xml:space="preserve"> </w:t>
      </w:r>
      <w:r>
        <w:t xml:space="preserve">prediction.</w:t>
      </w:r>
    </w:p>
    <w:bookmarkEnd w:id="33"/>
    <w:bookmarkStart w:id="34" w:name="v.-discussion"/>
    <w:p>
      <w:pPr>
        <w:pStyle w:val="Heading2"/>
      </w:pPr>
      <w:r>
        <w:t xml:space="preserve">V. Discussion</w:t>
      </w:r>
    </w:p>
    <w:p>
      <w:pPr>
        <w:pStyle w:val="FirstParagraph"/>
      </w:pPr>
      <w:r>
        <w:t xml:space="preserve">PU and PVC heading the ranking is mechanistically coherent: both carry the most</w:t>
      </w:r>
      <w:r>
        <w:t xml:space="preserve"> </w:t>
      </w:r>
      <w:r>
        <w:t xml:space="preserve">potent, best-documented bioactive leachates (aromatic amines/isocyanates for PU;</w:t>
      </w:r>
      <w:r>
        <w:t xml:space="preserve"> </w:t>
      </w:r>
      <w:r>
        <w:t xml:space="preserve">plasticisers/bisphenols for PVC), whereas polyolefins PE/PP carry comparatively</w:t>
      </w:r>
      <w:r>
        <w:t xml:space="preserve"> </w:t>
      </w:r>
      <w:r>
        <w:t xml:space="preserve">inert antioxidant packages. This supports the review’s thesis that leachate</w:t>
      </w:r>
      <w:r>
        <w:t xml:space="preserve"> </w:t>
      </w:r>
      <w:r>
        <w:t xml:space="preserve">chemistry, not backbone identity, is the dominant lever. It also reframes PS’s</w:t>
      </w:r>
      <w:r>
        <w:t xml:space="preserve"> </w:t>
      </w:r>
      <w:r>
        <w:t xml:space="preserve">prominence as a reflection of study effort rather than intrinsically higher</w:t>
      </w:r>
      <w:r>
        <w:t xml:space="preserve"> </w:t>
      </w:r>
      <w:r>
        <w:t xml:space="preserve">potential — PS ranks only mid-table here.</w:t>
      </w:r>
    </w:p>
    <w:bookmarkEnd w:id="34"/>
    <w:bookmarkStart w:id="35" w:name="vi.-limitations"/>
    <w:p>
      <w:pPr>
        <w:pStyle w:val="Heading2"/>
      </w:pPr>
      <w:r>
        <w:t xml:space="preserve">VI. Limitations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Affinity ≠ activation direction</w:t>
      </w:r>
      <w:r>
        <w:t xml:space="preserve"> </w:t>
      </w:r>
      <w:r>
        <w:t xml:space="preserve">— engagement does not establish agonism;</w:t>
      </w:r>
      <w:r>
        <w:t xml:space="preserve"> </w:t>
      </w:r>
      <w:r>
        <w:t xml:space="preserve">the Tox21 label supplies direction only for the AhR/stress axes.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Static structures</w:t>
      </w:r>
      <w:r>
        <w:t xml:space="preserve"> </w:t>
      </w:r>
      <w:r>
        <w:t xml:space="preserve">— AlphaFold gives one fold, not an ensemble; no MD</w:t>
      </w:r>
      <w:r>
        <w:t xml:space="preserve"> </w:t>
      </w:r>
      <w:r>
        <w:t xml:space="preserve">refinement was performed.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Illustrative kinetics</w:t>
      </w:r>
      <w:r>
        <w:t xml:space="preserve"> </w:t>
      </w:r>
      <w:r>
        <w:t xml:space="preserve">— every virtual-cell parameter must be refit to</w:t>
      </w:r>
      <w:r>
        <w:t xml:space="preserve"> </w:t>
      </w:r>
      <w:r>
        <w:t xml:space="preserve">microglial time-course data before any absolute cytokine claim.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Missing docking stage</w:t>
      </w:r>
      <w:r>
        <w:t xml:space="preserve"> </w:t>
      </w:r>
      <w:r>
        <w:t xml:space="preserve">— TLR4–MD2/NLRP3 engagement was not computed</w:t>
      </w:r>
      <w:r>
        <w:t xml:space="preserve"> </w:t>
      </w:r>
      <w:r>
        <w:t xml:space="preserve">(structure databases unreachable); a stated gap, not a result. The ranking may</w:t>
      </w:r>
      <w:r>
        <w:t xml:space="preserve"> </w:t>
      </w:r>
      <w:r>
        <w:t xml:space="preserve">shift once direct inflammasome/TLR4 docking is added.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concentration weighting</w:t>
      </w:r>
      <w:r>
        <w:t xml:space="preserve"> </w:t>
      </w:r>
      <w:r>
        <w:t xml:space="preserve">— leachates are aggregated by predicted potency,</w:t>
      </w:r>
      <w:r>
        <w:t xml:space="preserve"> </w:t>
      </w:r>
      <w:r>
        <w:t xml:space="preserve">not realistic release concentrations.</w:t>
      </w:r>
    </w:p>
    <w:bookmarkEnd w:id="35"/>
    <w:bookmarkStart w:id="36" w:name="vii.-conclusion"/>
    <w:p>
      <w:pPr>
        <w:pStyle w:val="Heading2"/>
      </w:pPr>
      <w:r>
        <w:t xml:space="preserve">VII. Conclusion</w:t>
      </w:r>
    </w:p>
    <w:p>
      <w:pPr>
        <w:pStyle w:val="FirstParagraph"/>
      </w:pPr>
      <w:r>
        <w:t xml:space="preserve">A transparent, reproducible, leachate-centric pipeline converts polymer identity</w:t>
      </w:r>
      <w:r>
        <w:t xml:space="preserve"> </w:t>
      </w:r>
      <w:r>
        <w:t xml:space="preserve">into a testable neuroinflammation ranking (PU &gt; PVC &gt; PE &gt; PS &gt; PP) via real</w:t>
      </w:r>
      <w:r>
        <w:t xml:space="preserve"> </w:t>
      </w:r>
      <w:r>
        <w:t xml:space="preserve">scaffold-split Tox21 ML and a minimal microglial systems model, without</w:t>
      </w:r>
      <w:r>
        <w:t xml:space="preserve"> </w:t>
      </w:r>
      <w:r>
        <w:t xml:space="preserve">fabricating any quantity that could not be computed. It operationalises the</w:t>
      </w:r>
      <w:r>
        <w:t xml:space="preserve"> </w:t>
      </w:r>
      <w:r>
        <w:t xml:space="preserve">hypothesis that polymer type matters chiefly through its leachate chemistry.</w:t>
      </w:r>
      <w:r>
        <w:t xml:space="preserve"> </w:t>
      </w:r>
      <w:r>
        <w:t xml:space="preserve">Executed receptor docking and data-fitted microglial kinetics are the immediate</w:t>
      </w:r>
      <w:r>
        <w:t xml:space="preserve"> </w:t>
      </w:r>
      <w:r>
        <w:t xml:space="preserve">next steps toward validation.</w:t>
      </w:r>
    </w:p>
    <w:bookmarkEnd w:id="36"/>
    <w:bookmarkStart w:id="37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scripts, the validated leachate inventory, scaffold-split metrics, per-polymer</w:t>
      </w:r>
      <w:r>
        <w:t xml:space="preserve"> </w:t>
      </w:r>
      <w:r>
        <w:t xml:space="preserve">index and figures are in the accompanying repository (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). Each result file is reproducible from a single command; Tox21 is</w:t>
      </w:r>
      <w:r>
        <w:t xml:space="preserve"> </w:t>
      </w:r>
      <w:r>
        <w:t xml:space="preserve">downloaded and cached at first run.</w:t>
      </w:r>
    </w:p>
    <w:bookmarkEnd w:id="37"/>
    <w:bookmarkStart w:id="3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M. Prüst, J. Meijer, R. H. S. Westerink,</w:t>
      </w:r>
      <w:r>
        <w:t xml:space="preserve"> </w:t>
      </w:r>
      <w:r>
        <w:t xml:space="preserve">“</w:t>
      </w:r>
      <w:r>
        <w:t xml:space="preserve">The plastic brain: neurotoxicity of</w:t>
      </w:r>
      <w:r>
        <w:t xml:space="preserve"> </w:t>
      </w:r>
      <w:r>
        <w:t xml:space="preserve">micro- and nanoplastics,</w:t>
      </w:r>
      <w:r>
        <w:t xml:space="preserve">”</w:t>
      </w:r>
      <w:r>
        <w:t xml:space="preserve"> </w:t>
      </w:r>
      <w:r>
        <w:rPr>
          <w:iCs/>
          <w:i/>
        </w:rPr>
        <w:t xml:space="preserve">Part. Fibre Toxicol.</w:t>
      </w:r>
      <w:r>
        <w:t xml:space="preserve">, 17:24, 2020.</w:t>
      </w:r>
      <w:r>
        <w:t xml:space="preserve"> </w:t>
      </w:r>
      <w:r>
        <w:t xml:space="preserve">[2] V. Rothhammer, F. J. Quintana,</w:t>
      </w:r>
      <w:r>
        <w:t xml:space="preserve"> </w:t>
      </w:r>
      <w:r>
        <w:t xml:space="preserve">“</w:t>
      </w:r>
      <w:r>
        <w:t xml:space="preserve">The aryl hydrocarbon receptor…,</w:t>
      </w:r>
      <w:r>
        <w:t xml:space="preserve">”</w:t>
      </w:r>
      <w:r>
        <w:t xml:space="preserve"> </w:t>
      </w:r>
      <w:r>
        <w:rPr>
          <w:iCs/>
          <w:i/>
        </w:rPr>
        <w:t xml:space="preserve">Nat. Rev.</w:t>
      </w:r>
      <w:r>
        <w:rPr>
          <w:iCs/>
          <w:i/>
        </w:rPr>
        <w:t xml:space="preserve"> </w:t>
      </w:r>
      <w:r>
        <w:rPr>
          <w:iCs/>
          <w:i/>
        </w:rPr>
        <w:t xml:space="preserve">Immunol.</w:t>
      </w:r>
      <w:r>
        <w:t xml:space="preserve">, 19:184–197, 2019.</w:t>
      </w:r>
      <w:r>
        <w:t xml:space="preserve"> </w:t>
      </w:r>
      <w:r>
        <w:t xml:space="preserve">[3] B. S. Park, J.-O. Lee,</w:t>
      </w:r>
      <w:r>
        <w:t xml:space="preserve"> </w:t>
      </w:r>
      <w:r>
        <w:t xml:space="preserve">“</w:t>
      </w:r>
      <w:r>
        <w:t xml:space="preserve">Recognition of lipopolysaccharide pattern by TLR4</w:t>
      </w:r>
      <w:r>
        <w:t xml:space="preserve"> </w:t>
      </w:r>
      <w:r>
        <w:t xml:space="preserve">complexes,</w:t>
      </w:r>
      <w:r>
        <w:t xml:space="preserve">”</w:t>
      </w:r>
      <w:r>
        <w:t xml:space="preserve"> </w:t>
      </w:r>
      <w:r>
        <w:rPr>
          <w:iCs/>
          <w:i/>
        </w:rPr>
        <w:t xml:space="preserve">Exp. Mol. Med.</w:t>
      </w:r>
      <w:r>
        <w:t xml:space="preserve">, 45:e66, 2013.</w:t>
      </w:r>
      <w:r>
        <w:t xml:space="preserve"> </w:t>
      </w:r>
      <w:r>
        <w:t xml:space="preserve">[4] K. V. Swanson, M. Deng, J. P.-Y. Ting,</w:t>
      </w:r>
      <w:r>
        <w:t xml:space="preserve"> </w:t>
      </w:r>
      <w:r>
        <w:t xml:space="preserve">“</w:t>
      </w:r>
      <w:r>
        <w:t xml:space="preserve">The NLRP3 inflammasome,</w:t>
      </w:r>
      <w:r>
        <w:t xml:space="preserve">”</w:t>
      </w:r>
      <w:r>
        <w:t xml:space="preserve"> </w:t>
      </w:r>
      <w:r>
        <w:rPr>
          <w:iCs/>
          <w:i/>
        </w:rPr>
        <w:t xml:space="preserve">Nat. Rev.</w:t>
      </w:r>
      <w:r>
        <w:rPr>
          <w:iCs/>
          <w:i/>
        </w:rPr>
        <w:t xml:space="preserve"> </w:t>
      </w:r>
      <w:r>
        <w:rPr>
          <w:iCs/>
          <w:i/>
        </w:rPr>
        <w:t xml:space="preserve">Immunol.</w:t>
      </w:r>
      <w:r>
        <w:t xml:space="preserve">, 19:477–489, 2019.</w:t>
      </w:r>
      <w:r>
        <w:t xml:space="preserve"> </w:t>
      </w:r>
      <w:r>
        <w:t xml:space="preserve">[5] A. M. Richard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The Tox21 10K compound library,</w:t>
      </w:r>
      <w:r>
        <w:t xml:space="preserve">”</w:t>
      </w:r>
      <w:r>
        <w:t xml:space="preserve"> </w:t>
      </w:r>
      <w:r>
        <w:rPr>
          <w:iCs/>
          <w:i/>
        </w:rPr>
        <w:t xml:space="preserve">Chem. Res.</w:t>
      </w:r>
      <w:r>
        <w:rPr>
          <w:iCs/>
          <w:i/>
        </w:rPr>
        <w:t xml:space="preserve"> </w:t>
      </w:r>
      <w:r>
        <w:rPr>
          <w:iCs/>
          <w:i/>
        </w:rPr>
        <w:t xml:space="preserve">Toxicol.</w:t>
      </w:r>
      <w:r>
        <w:t xml:space="preserve">, 34(2):189–216, 2021.</w:t>
      </w:r>
      <w:r>
        <w:t xml:space="preserve"> </w:t>
      </w:r>
      <w:r>
        <w:t xml:space="preserve">[6] O. Trott, A. J. Olson,</w:t>
      </w:r>
      <w:r>
        <w:t xml:space="preserve"> </w:t>
      </w:r>
      <w:r>
        <w:t xml:space="preserve">“</w:t>
      </w:r>
      <w:r>
        <w:t xml:space="preserve">AutoDock Vina,</w:t>
      </w:r>
      <w:r>
        <w:t xml:space="preserve">”</w:t>
      </w:r>
      <w:r>
        <w:t xml:space="preserve"> </w:t>
      </w:r>
      <w:r>
        <w:rPr>
          <w:iCs/>
          <w:i/>
        </w:rPr>
        <w:t xml:space="preserve">J. Comput. Chem.</w:t>
      </w:r>
      <w:r>
        <w:t xml:space="preserve">, 31(2):455–461,</w:t>
      </w:r>
      <w:r>
        <w:t xml:space="preserve"> </w:t>
      </w:r>
      <w:r>
        <w:t xml:space="preserve">2010.</w:t>
      </w:r>
      <w:r>
        <w:t xml:space="preserve"> </w:t>
      </w:r>
      <w:r>
        <w:t xml:space="preserve">[7] J. Eberhardt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AutoDock Vina 1.2.0,</w:t>
      </w:r>
      <w:r>
        <w:t xml:space="preserve">”</w:t>
      </w:r>
      <w:r>
        <w:t xml:space="preserve"> </w:t>
      </w:r>
      <w:r>
        <w:rPr>
          <w:iCs/>
          <w:i/>
        </w:rPr>
        <w:t xml:space="preserve">J. Chem. Inf. Model.</w:t>
      </w:r>
      <w:r>
        <w:t xml:space="preserve">,</w:t>
      </w:r>
      <w:r>
        <w:t xml:space="preserve"> </w:t>
      </w:r>
      <w:r>
        <w:t xml:space="preserve">61(8):3891–3898, 2021.</w:t>
      </w:r>
      <w:r>
        <w:t xml:space="preserve"> </w:t>
      </w:r>
      <w:r>
        <w:t xml:space="preserve">[8] J. Jumper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Highly accurate protein structure prediction with</w:t>
      </w:r>
      <w:r>
        <w:t xml:space="preserve"> </w:t>
      </w:r>
      <w:r>
        <w:t xml:space="preserve">AlphaFold,</w:t>
      </w:r>
      <w:r>
        <w:t xml:space="preserve">”</w:t>
      </w:r>
      <w:r>
        <w:t xml:space="preserve"> </w:t>
      </w:r>
      <w:r>
        <w:rPr>
          <w:iCs/>
          <w:i/>
        </w:rPr>
        <w:t xml:space="preserve">Nature</w:t>
      </w:r>
      <w:r>
        <w:t xml:space="preserve">, 596:583–589, 2021.</w:t>
      </w:r>
      <w:r>
        <w:t xml:space="preserve"> </w:t>
      </w:r>
      <w:r>
        <w:t xml:space="preserve">[9] H. M. Berman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The Protein Data Bank,</w:t>
      </w:r>
      <w:r>
        <w:t xml:space="preserve">”</w:t>
      </w:r>
      <w:r>
        <w:t xml:space="preserve"> </w:t>
      </w:r>
      <w:r>
        <w:rPr>
          <w:iCs/>
          <w:i/>
        </w:rPr>
        <w:t xml:space="preserve">Nucleic Acids Res.</w:t>
      </w:r>
      <w:r>
        <w:t xml:space="preserve">,</w:t>
      </w:r>
      <w:r>
        <w:t xml:space="preserve"> </w:t>
      </w:r>
      <w:r>
        <w:t xml:space="preserve">28(1):235–242, 2000.</w:t>
      </w:r>
      <w:r>
        <w:t xml:space="preserve"> </w:t>
      </w:r>
      <w:r>
        <w:t xml:space="preserve">[10] M. Wagner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PlastChem: State of the science on plastic chemicals,</w:t>
      </w:r>
      <w:r>
        <w:t xml:space="preserve">”</w:t>
      </w:r>
      <w:r>
        <w:t xml:space="preserve"> </w:t>
      </w:r>
      <w:r>
        <w:t xml:space="preserve">Report, 2024.</w:t>
      </w:r>
      <w:r>
        <w:t xml:space="preserve"> </w:t>
      </w:r>
      <w:r>
        <w:t xml:space="preserve">[11] G. Landrum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RDKit: Open-source cheminformatics,</w:t>
      </w:r>
      <w:r>
        <w:t xml:space="preserve">”</w:t>
      </w:r>
      <w:r>
        <w:t xml:space="preserve"> </w:t>
      </w:r>
      <w:r>
        <w:t xml:space="preserve">https://www.rdkit.org.</w:t>
      </w:r>
      <w:r>
        <w:t xml:space="preserve"> </w:t>
      </w:r>
      <w:r>
        <w:t xml:space="preserve">[12] G. W. Bemis, M. A. Murcko,</w:t>
      </w:r>
      <w:r>
        <w:t xml:space="preserve"> </w:t>
      </w:r>
      <w:r>
        <w:t xml:space="preserve">“</w:t>
      </w:r>
      <w:r>
        <w:t xml:space="preserve">The properties of known drugs. 1. Molecular</w:t>
      </w:r>
      <w:r>
        <w:t xml:space="preserve"> </w:t>
      </w:r>
      <w:r>
        <w:t xml:space="preserve">frameworks,</w:t>
      </w:r>
      <w:r>
        <w:t xml:space="preserve">”</w:t>
      </w:r>
      <w:r>
        <w:t xml:space="preserve"> </w:t>
      </w:r>
      <w:r>
        <w:rPr>
          <w:iCs/>
          <w:i/>
        </w:rPr>
        <w:t xml:space="preserve">J. Med. Chem.</w:t>
      </w:r>
      <w:r>
        <w:t xml:space="preserve">, 39(15):2887–2893, 1996.</w:t>
      </w:r>
      <w:r>
        <w:t xml:space="preserve"> </w:t>
      </w:r>
      <w:r>
        <w:t xml:space="preserve">[13] T. Lawrence,</w:t>
      </w:r>
      <w:r>
        <w:t xml:space="preserve"> </w:t>
      </w:r>
      <w:r>
        <w:t xml:space="preserve">“</w:t>
      </w:r>
      <w:r>
        <w:t xml:space="preserve">The nuclear factor NF-κB pathway in inflammation,</w:t>
      </w:r>
      <w:r>
        <w:t xml:space="preserve">”</w:t>
      </w:r>
      <w:r>
        <w:t xml:space="preserve"> </w:t>
      </w:r>
      <w:r>
        <w:rPr>
          <w:iCs/>
          <w:i/>
        </w:rPr>
        <w:t xml:space="preserve">Cold Spring</w:t>
      </w:r>
      <w:r>
        <w:rPr>
          <w:iCs/>
          <w:i/>
        </w:rPr>
        <w:t xml:space="preserve"> </w:t>
      </w:r>
      <w:r>
        <w:rPr>
          <w:iCs/>
          <w:i/>
        </w:rPr>
        <w:t xml:space="preserve">Harb. Perspect. Biol.</w:t>
      </w:r>
      <w:r>
        <w:t xml:space="preserve">, 1(6):a001651, 2009.</w:t>
      </w:r>
      <w:r>
        <w:t xml:space="preserve"> </w:t>
      </w:r>
      <w:r>
        <w:t xml:space="preserve">[14] F. Pedregosa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Scikit-learn: Machine learning in Python,</w:t>
      </w:r>
      <w:r>
        <w:t xml:space="preserve">”</w:t>
      </w:r>
      <w:r>
        <w:t xml:space="preserve"> </w:t>
      </w:r>
      <w:r>
        <w:rPr>
          <w:iCs/>
          <w:i/>
        </w:rPr>
        <w:t xml:space="preserve">J. Mach.</w:t>
      </w:r>
      <w:r>
        <w:rPr>
          <w:iCs/>
          <w:i/>
        </w:rPr>
        <w:t xml:space="preserve"> </w:t>
      </w:r>
      <w:r>
        <w:rPr>
          <w:iCs/>
          <w:i/>
        </w:rPr>
        <w:t xml:space="preserve">Learn. Res.</w:t>
      </w:r>
      <w:r>
        <w:t xml:space="preserve">, 12:2825–2830, 2011.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Leachate-Centric In-Silico Pipeline for Predicting Polymer-Dependent Neuroinflammatory Potential of Microplastics</dc:title>
  <dc:creator/>
  <cp:keywords/>
  <dcterms:created xsi:type="dcterms:W3CDTF">2026-10-20T13:56:04Z</dcterms:created>
  <dcterms:modified xsi:type="dcterms:W3CDTF">2026-10-20T13:56:04Z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