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Information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Wearable</w:t>
      </w:r>
      <w:r>
        <w:t xml:space="preserve"> </w:t>
      </w:r>
      <w:r>
        <w:t xml:space="preserve">Phased-Array</w:t>
      </w:r>
      <w:r>
        <w:t xml:space="preserve"> </w:t>
      </w:r>
      <w:r>
        <w:t xml:space="preserve">CMUT</w:t>
      </w:r>
      <w:r>
        <w:t xml:space="preserve"> </w:t>
      </w:r>
      <w:r>
        <w:t xml:space="preserve">Ultrasound</w:t>
      </w:r>
      <w:r>
        <w:t xml:space="preserve"> </w:t>
      </w:r>
      <w:r>
        <w:t xml:space="preserve">Platform</w:t>
      </w:r>
      <w:r>
        <w:t xml:space="preserve"> </w:t>
      </w:r>
      <w:r>
        <w:t xml:space="preserve">for</w:t>
      </w:r>
      <w:r>
        <w:t xml:space="preserve"> </w:t>
      </w:r>
      <w:r>
        <w:t xml:space="preserve">Mechanotransductive</w:t>
      </w:r>
      <w:r>
        <w:t xml:space="preserve"> </w:t>
      </w:r>
      <w:r>
        <w:t xml:space="preserve">Modulation</w:t>
      </w:r>
      <w:r>
        <w:t xml:space="preserve"> </w:t>
      </w:r>
      <w:r>
        <w:t xml:space="preserve">of</w:t>
      </w:r>
      <w:r>
        <w:t xml:space="preserve"> </w:t>
      </w:r>
      <w:r>
        <w:t xml:space="preserve">Tumour</w:t>
      </w:r>
      <w:r>
        <w:t xml:space="preserve"> </w:t>
      </w:r>
      <w:r>
        <w:t xml:space="preserve">Proliferation:</w:t>
      </w:r>
      <w:r>
        <w:t xml:space="preserve"> </w:t>
      </w:r>
      <w:r>
        <w:t xml:space="preserve">An</w:t>
      </w:r>
      <w:r>
        <w:t xml:space="preserve"> </w:t>
      </w:r>
      <w:r>
        <w:t xml:space="preserve">In-Silico</w:t>
      </w:r>
      <w:r>
        <w:t xml:space="preserve"> </w:t>
      </w: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Feasibility</w:t>
      </w:r>
      <w:r>
        <w:t xml:space="preserve"> </w:t>
      </w:r>
      <w:r>
        <w:t xml:space="preserve">Study</w:t>
      </w:r>
    </w:p>
    <w:p>
      <w:pPr>
        <w:pStyle w:val="Author"/>
      </w:pPr>
      <w:r>
        <w:t xml:space="preserve">M.</w:t>
      </w:r>
      <w:r>
        <w:t xml:space="preserve"> </w:t>
      </w:r>
      <w:r>
        <w:t xml:space="preserve">Nisha</w:t>
      </w:r>
      <w:r>
        <w:t xml:space="preserve"> </w:t>
      </w:r>
      <w:r>
        <w:t xml:space="preserve">Angeline</w:t>
      </w:r>
      <w:r>
        <w:t xml:space="preserve"> </w:t>
      </w:r>
      <w:r>
        <w:t xml:space="preserve">and</w:t>
      </w:r>
      <w:r>
        <w:t xml:space="preserve"> </w:t>
      </w:r>
      <w:r>
        <w:t xml:space="preserve">S.</w:t>
      </w:r>
      <w:r>
        <w:t xml:space="preserve"> </w:t>
      </w:r>
      <w:r>
        <w:t xml:space="preserve">K.</w:t>
      </w:r>
      <w:r>
        <w:t xml:space="preserve"> </w:t>
      </w:r>
      <w:r>
        <w:t xml:space="preserve">Manikandan</w:t>
      </w:r>
    </w:p>
    <w:bookmarkStart w:id="20" w:name="contents"/>
    <w:p>
      <w:pPr>
        <w:pStyle w:val="Heading1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Note S1. Model implementation and assumptions</w:t>
      </w:r>
    </w:p>
    <w:p>
      <w:pPr>
        <w:numPr>
          <w:ilvl w:val="0"/>
          <w:numId w:val="1001"/>
        </w:numPr>
        <w:pStyle w:val="Compact"/>
      </w:pPr>
      <w:r>
        <w:t xml:space="preserve">Note S2. Governing equations</w:t>
      </w:r>
    </w:p>
    <w:p>
      <w:pPr>
        <w:numPr>
          <w:ilvl w:val="0"/>
          <w:numId w:val="1001"/>
        </w:numPr>
        <w:pStyle w:val="Compact"/>
      </w:pPr>
      <w:r>
        <w:t xml:space="preserve">Note S3. Reproduction results (Tables S0–S12, Figs S1–S12)</w:t>
      </w:r>
    </w:p>
    <w:p>
      <w:pPr>
        <w:numPr>
          <w:ilvl w:val="0"/>
          <w:numId w:val="1001"/>
        </w:numPr>
        <w:pStyle w:val="Compact"/>
      </w:pPr>
      <w:r>
        <w:t xml:space="preserve">Note S4. Hardware digital twin: emulated bench characterisation (Tables E1–E5, Figs E1–E5)</w:t>
      </w:r>
    </w:p>
    <w:p>
      <w:pPr>
        <w:numPr>
          <w:ilvl w:val="0"/>
          <w:numId w:val="1001"/>
        </w:numPr>
        <w:pStyle w:val="Compact"/>
      </w:pPr>
      <w:r>
        <w:t xml:space="preserve">Note S5. Code and data availability</w:t>
      </w:r>
    </w:p>
    <w:p>
      <w:pPr>
        <w:pStyle w:val="BlockText"/>
      </w:pPr>
      <w:r>
        <w:rPr>
          <w:bCs/>
          <w:b/>
        </w:rPr>
        <w:t xml:space="preserve">Status of results.</w:t>
      </w:r>
      <w:r>
        <w:t xml:space="preserve"> </w:t>
      </w:r>
      <w:r>
        <w:t xml:space="preserve">Every number in this document comes from a</w:t>
      </w:r>
      <w:r>
        <w:t xml:space="preserve"> </w:t>
      </w:r>
      <w:r>
        <w:t xml:space="preserve">simulation. Notes S1–S3 are deterministic model results. Note S4 is a</w:t>
      </w:r>
      <w:r>
        <w:t xml:space="preserve"> </w:t>
      </w:r>
      <w:r>
        <w:t xml:space="preserve">Monte Carlo emulation of expected hardware measurements. No device has</w:t>
      </w:r>
      <w:r>
        <w:t xml:space="preserve"> </w:t>
      </w:r>
      <w:r>
        <w:t xml:space="preserve">been fabricated and no measurement has been made. All Note S4 items are</w:t>
      </w:r>
      <w:r>
        <w:t xml:space="preserve"> </w:t>
      </w:r>
      <w:r>
        <w:t xml:space="preserve">labelled</w:t>
      </w:r>
      <w:r>
        <w:t xml:space="preserve"> </w:t>
      </w:r>
      <w:r>
        <w:rPr>
          <w:iCs/>
          <w:i/>
        </w:rPr>
        <w:t xml:space="preserve">EMULATED</w:t>
      </w:r>
      <w:r>
        <w:t xml:space="preserve">.</w:t>
      </w:r>
    </w:p>
    <w:bookmarkEnd w:id="20"/>
    <w:bookmarkStart w:id="21" w:name="X0254f3b08b9f45db266f6ddf5d3e47a50b5ee28"/>
    <w:p>
      <w:pPr>
        <w:pStyle w:val="Heading1"/>
      </w:pPr>
      <w:r>
        <w:t xml:space="preserve">Note S1. Model implementation and assumptions</w:t>
      </w:r>
    </w:p>
    <w:p>
      <w:pPr>
        <w:pStyle w:val="FirstParagraph"/>
      </w:pPr>
      <w:r>
        <w:t xml:space="preserve">The models were implemented independently in Python (NumPy/SciPy) in the</w:t>
      </w:r>
      <w:r>
        <w:t xml:space="preserve"> </w:t>
      </w:r>
      <w:r>
        <w:t xml:space="preserve">open-source package</w:t>
      </w:r>
      <w:r>
        <w:t xml:space="preserve"> </w:t>
      </w:r>
      <w:r>
        <w:rPr>
          <w:rStyle w:val="VerbatimChar"/>
        </w:rPr>
        <w:t xml:space="preserve">cmutsim</w:t>
      </w:r>
      <w:r>
        <w:t xml:space="preserve">. One script,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, regenerates every</w:t>
      </w:r>
      <w:r>
        <w:t xml:space="preserve"> </w:t>
      </w:r>
      <w:r>
        <w:t xml:space="preserve">table and figure, with a fixed random seed (20261019). A full</w:t>
      </w:r>
      <w:r>
        <w:t xml:space="preserve"> </w:t>
      </w:r>
      <w:r>
        <w:t xml:space="preserve">run takes about 184 s on a single CPU core.</w:t>
      </w:r>
    </w:p>
    <w:p>
      <w:pPr>
        <w:pStyle w:val="BodyText"/>
      </w:pPr>
      <w:r>
        <w:rPr>
          <w:bCs/>
          <w:b/>
        </w:rPr>
        <w:t xml:space="preserve">Table S-A. Parameters used in addition to manuscript Tables I–II.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Si₃N₄, E = 250 GPa, ν = 0.23, ρ = 3100 kg/m³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 values for LPCVD nitride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µm SiO₂ (ε_r = 3.9)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CMUT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elevation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mm (unfocused)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pitch / cells per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 µm / 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clamped capacitance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67.6 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coupling k² (BVD)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(biased near 0.8 V_c)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Homogeneous attenuation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 dB/cm/MHz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tissue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discretisation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strips per element; Fresnel elevation 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mm (maps); 5 µm lateral, 20 µm axial (profiles)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Convergence-checked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Thermal/elastic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mm, 3-D, 48 × 48 × 64 mm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IT’IS v4.1 (tumour; fat as worst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[18] of the manuscript</w:t>
            </w:r>
          </w:p>
        </w:tc>
      </w:tr>
    </w:tbl>
    <w:bookmarkEnd w:id="21"/>
    <w:bookmarkStart w:id="22" w:name="note-s2.-governing-equations"/>
    <w:p>
      <w:pPr>
        <w:pStyle w:val="Heading1"/>
      </w:pPr>
      <w:r>
        <w:t xml:space="preserve">Note S2. Governing equations</w:t>
      </w:r>
    </w:p>
    <w:p>
      <w:pPr>
        <w:pStyle w:val="FirstParagraph"/>
      </w:pPr>
      <w:r>
        <w:rPr>
          <w:bCs/>
          <w:b/>
        </w:rPr>
        <w:t xml:space="preserve">CMUT cell.</w:t>
      </w:r>
      <w:r>
        <w:t xml:space="preserve"> </w:t>
      </w:r>
      <w:r>
        <w:t xml:space="preserve">Clamped-plate rigidity D = Et³/12(1−ν²) and piston-equivalent</w:t>
      </w:r>
      <w:r>
        <w:t xml:space="preserve"> </w:t>
      </w:r>
      <w:r>
        <w:t xml:space="preserve">stiffness k = 64πD/a². The collapse voltage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8</m:t>
                  </m:r>
                  <m:r>
                    <m:t>k</m:t>
                  </m:r>
                  <m:r>
                    <m:t> 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27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π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ε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vacuum resonance is f = 10.21/(2πa²)·√(D/ρt). Fluid loading enters</w:t>
      </w:r>
      <w:r>
        <w:t xml:space="preserve"> </w:t>
      </w:r>
      <w:r>
        <w:t xml:space="preserve">through the added-mass factor β = 0.6689(ρ_f/ρ_p)(a/t), and the bias</w:t>
      </w:r>
      <w:r>
        <w:t xml:space="preserve"> </w:t>
      </w:r>
      <w:r>
        <w:t xml:space="preserve">softens the spring as k − ε₀AV²/(g−x)³.</w:t>
      </w:r>
    </w:p>
    <w:p>
      <w:pPr>
        <w:pStyle w:val="BodyText"/>
      </w:pPr>
      <w:r>
        <w:rPr>
          <w:bCs/>
          <w:b/>
        </w:rPr>
        <w:t xml:space="preserve">Acoustic field.</w:t>
      </w:r>
      <w:r>
        <w:t xml:space="preserve"> </w:t>
      </w:r>
      <w:r>
        <w:t xml:space="preserve">The Rayleigh–Sommerfeld integral is discretised over</w:t>
      </w:r>
      <w:r>
        <w:t xml:space="preserve"> </w:t>
      </w:r>
      <w:r>
        <w:t xml:space="preserve">element strips, and the elevation integral is evaluated in closed form</w:t>
      </w:r>
      <w:r>
        <w:t xml:space="preserve"> </w:t>
      </w:r>
      <w:r>
        <w:t xml:space="preserve">(Fresnel):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r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sSub>
                <m:e>
                  <m:r>
                    <m:t>τ</m:t>
                  </m:r>
                </m:e>
                <m:sub>
                  <m:r>
                    <m:t>n</m:t>
                  </m:r>
                </m:sub>
              </m:sSub>
            </m:sup>
          </m:sSup>
          <m:f>
            <m:fPr>
              <m:type m:val="bar"/>
            </m:fPr>
            <m:num>
              <m:r>
                <m:t>j</m:t>
              </m:r>
              <m:r>
                <m:t>k</m:t>
              </m:r>
            </m:num>
            <m:den>
              <m:r>
                <m:t>2</m:t>
              </m:r>
              <m:r>
                <m:t>π</m:t>
              </m:r>
            </m:den>
          </m:f>
          <m:r>
            <m:t> 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2</m:t>
              </m:r>
            </m:den>
          </m:f>
          <m:r>
            <m:t> 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k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</m:num>
            <m:den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H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r>
                    <m:t>k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</m:e>
          </m:nary>
          <m:r>
            <m:t>d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layered model, phase, attenuation and normal-incidence transmission</w:t>
      </w:r>
      <w:r>
        <w:t xml:space="preserve"> </w:t>
      </w:r>
      <w:r>
        <w:t xml:space="preserve">coefficients accumulate along straight rays through each layer.</w:t>
      </w:r>
    </w:p>
    <w:p>
      <w:pPr>
        <w:pStyle w:val="BodyText"/>
      </w:pPr>
      <w:r>
        <w:rPr>
          <w:bCs/>
          <w:b/>
        </w:rPr>
        <w:t xml:space="preserve">Safety indices.</w:t>
      </w:r>
      <w:r>
        <w:t xml:space="preserve"> </w:t>
      </w:r>
      <w:r>
        <w:t xml:space="preserve">I = |p|²/2ρc and MI = p_r[MPa]/√f[MHz]. TIS = W·f/210</w:t>
      </w:r>
      <w:r>
        <w:t xml:space="preserve"> </w:t>
      </w:r>
      <w:r>
        <w:t xml:space="preserve">mW·MHz and TIB = √(W·I_ta)/50, following IEC 62359.</w:t>
      </w:r>
    </w:p>
    <w:p>
      <w:pPr>
        <w:pStyle w:val="BodyText"/>
      </w:pPr>
      <w:r>
        <w:rPr>
          <w:bCs/>
          <w:b/>
        </w:rPr>
        <w:t xml:space="preserve">Bioheat.</w:t>
      </w:r>
      <w:r>
        <w:t xml:space="preserve"> </w:t>
      </w:r>
      <w:r>
        <w:t xml:space="preserve">The Pennes equation is solved exactly in k-space: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T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</m:num>
            <m:den>
              <m:r>
                <m:t>ρ</m:t>
              </m:r>
              <m:r>
                <m:t>c</m:t>
              </m:r>
              <m:r>
                <m:t> </m:t>
              </m:r>
              <m:r>
                <m:t>λ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κ</m:t>
              </m:r>
            </m:num>
            <m:den>
              <m:r>
                <m:t>ρ</m:t>
              </m:r>
              <m:r>
                <m:t>c</m:t>
              </m:r>
            </m:den>
          </m:f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b"/>
                    </m:rPr>
                    <m:t>k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ρ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=</m:t>
          </m:r>
          <m:r>
            <m:t>2</m:t>
          </m:r>
          <m:r>
            <m:t>α</m:t>
          </m:r>
          <m:sSub>
            <m:e>
              <m:r>
                <m:t>I</m:t>
              </m:r>
            </m:e>
            <m:sub>
              <m:r>
                <m:t>t</m:t>
              </m:r>
              <m: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Radiation force.</w:t>
      </w:r>
      <w:r>
        <w:t xml:space="preserve"> </w:t>
      </w:r>
      <w:r>
        <w:t xml:space="preserve">The body force is F = 2αI_ta/c. The static</w:t>
      </w:r>
      <w:r>
        <w:t xml:space="preserve"> </w:t>
      </w:r>
      <w:r>
        <w:t xml:space="preserve">displacement uses the incompressible Kelvin solution</w:t>
      </w:r>
      <w:r>
        <w:t xml:space="preserve"> </w:t>
      </w:r>
      <w:r>
        <w:t xml:space="preserve">u_z = F/(8πμr)(1 + Δz²/r²), convolved by FFT.</w:t>
      </w:r>
    </w:p>
    <w:p>
      <w:pPr>
        <w:pStyle w:val="BodyText"/>
      </w:pPr>
      <w:r>
        <w:rPr>
          <w:bCs/>
          <w:b/>
        </w:rPr>
        <w:t xml:space="preserve">Control.</w:t>
      </w:r>
      <w:r>
        <w:t xml:space="preserve"> </w:t>
      </w:r>
      <w:r>
        <w:t xml:space="preserve">The plant is first-order-plus-dead-time,</w:t>
      </w:r>
      <w:r>
        <w:t xml:space="preserve"> </w:t>
      </w:r>
      <w:r>
        <w:t xml:space="preserve">G(s) = K e^(−θs)/(τs + 1), with K = 1, τ = 60 ms and θ = 5 ms (zero-order</w:t>
      </w:r>
      <w:r>
        <w:t xml:space="preserve"> </w:t>
      </w:r>
      <w:r>
        <w:t xml:space="preserve">hold of a 100 Hz estimate). The controller is a discrete PI (K_p = 4,</w:t>
      </w:r>
      <w:r>
        <w:t xml:space="preserve"> </w:t>
      </w:r>
      <w:r>
        <w:t xml:space="preserve">K_i = 55 s⁻¹) with conditional-integration anti-windup, and the plant</w:t>
      </w:r>
      <w:r>
        <w:t xml:space="preserve"> </w:t>
      </w:r>
      <w:r>
        <w:t xml:space="preserve">output is clipped at 0.</w:t>
      </w:r>
    </w:p>
    <w:p>
      <w:pPr>
        <w:pStyle w:val="BodyText"/>
      </w:pPr>
      <w:r>
        <w:rPr>
          <w:bCs/>
          <w:b/>
        </w:rPr>
        <w:t xml:space="preserve">Sample size.</w:t>
      </w:r>
      <w:r>
        <w:t xml:space="preserve"> </w:t>
      </w:r>
      <w:r>
        <w:t xml:space="preserve">A two-sided two-sample t-test, using the non-central t</w:t>
      </w:r>
      <w:r>
        <w:t xml:space="preserve"> </w:t>
      </w:r>
      <w:r>
        <w:t xml:space="preserve">distribution, at α = 0.05 (Bonferroni-corrected for 4 doses) and power 0.8.</w:t>
      </w:r>
    </w:p>
    <w:bookmarkEnd w:id="22"/>
    <w:bookmarkStart w:id="59" w:name="note-s3.-reproduction-results"/>
    <w:p>
      <w:pPr>
        <w:pStyle w:val="Heading1"/>
      </w:pPr>
      <w:r>
        <w:t xml:space="preserve">Note S3. Reproduction results</w:t>
      </w:r>
    </w:p>
    <w:p>
      <w:pPr>
        <w:pStyle w:val="FirstParagraph"/>
      </w:pPr>
      <w:r>
        <w:rPr>
          <w:bCs/>
          <w:b/>
        </w:rPr>
        <w:t xml:space="preserve">Table S0. Manuscript values vs independent reproduction vs emulated hardware.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Reproduced (model)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Emulated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Collapse voltage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51.6 +/- 3.2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11 %; depends on E and insulator (assumed)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Immersed cell resonance (MHz)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(implied)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MISMATCH: a ~ 37.7 um needed for 1.5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-6 dB fractional BW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Q = 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FWHM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 (-6 dB) / 0.69 (-3 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 +/- 0.023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value equals the -3 dB (intensity)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Axial FWHM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 (-6 dB) / 3.95 (-3 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5.476 +/- 0.020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value close to -3 dB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focal pressure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 (set)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12.365 +/- 0.842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spread from cal. uncertainty + element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Steering loss at +/-20 deg (dB)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Isppa (mW/cm^2)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rho*c = 1050*1540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dT, 20 % duty (mK)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0.37-0.4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thermocouple LOD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order; 3-D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 (= dT)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 6.58e-04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TI equals dT numerically; use IEC 62359 TIS/TIB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Settling time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fitted (FOPDT)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Disturbance recovery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disturbance definition (n.r. in manuscript)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with HW errors, flat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11.803 +/- 0.224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 ~0.5-1 dB loss on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 at target, curved R=60 mm uncorrected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3.344 +/- 0.177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moves toward skin; shape sensing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 at target, curved R=60 mm corrected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11.365 +/- 0.230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Restored by correction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S1. CMUT cell and element.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Collapse voltage Vc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Clamped capacitance per cell C0 (pF)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Vacuum resonance (MHz)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Immersed resonance, 0 V (MHz)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Immersed resonance, 0.8 Vc (MHz)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(implied)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 for 1.5 MHz immersed at 0.8 Vc (um)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Cells per element (assumed 6 mm elevation)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C0 (pF)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-6 dB fractional bandwidth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-3 dB fractional bandwidth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pressure per volt at 0.8 Vc (Pa/V)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5428</w:t>
            </w:r>
          </w:p>
        </w:tc>
      </w:tr>
    </w:tbl>
    <w:p>
      <w:pPr>
        <w:pStyle w:val="CaptionedFigure"/>
      </w:pPr>
      <w:r>
        <w:drawing>
          <wp:inline>
            <wp:extent cx="5334000" cy="1619696"/>
            <wp:effectExtent b="0" l="0" r="0" t="0"/>
            <wp:docPr descr="Fig. S1. (a) Element input impedance (BVD). (b) Normalised transmit response. (c) Immersed first resonance against plate radius, at 0 V and 0.8 Vc. The 1.5 MHz line crosses the biased curve at a ≈ 37.7 µm." title="" id="24" name="Picture"/>
            <a:graphic>
              <a:graphicData uri="http://schemas.openxmlformats.org/drawingml/2006/picture">
                <pic:pic>
                  <pic:nvPicPr>
                    <pic:cNvPr descr="../results/figures/Fig_S1_cmut_elemen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S1. (a) Element input impedance (BVD). (b) Normalised transmit response. (c) Immersed first resonance against plate radius, at 0 V and 0.8 Vc. The 1.5 MHz line crosses the biased curve at a ≈ 37.7 µm.</w:t>
      </w:r>
    </w:p>
    <w:p>
      <w:pPr>
        <w:pStyle w:val="BodyText"/>
      </w:pPr>
      <w:r>
        <w:rPr>
          <w:bCs/>
          <w:b/>
        </w:rPr>
        <w:t xml:space="preserve">Table S2. Focused field at 20 mm (homogeneous medium, rectangular apodization).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Focal depth of peak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focal pressure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FWHM, pressure -6 dB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FWHM, intensity -3 dB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Axial FWHM, pressure -6 dB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Axial FWHM, intensity -3 dB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Isppa (mW/cm^2)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Ispta at 20 % duty (mW/cm^2)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surface pressure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AC drive at 0.8 Vc bias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Acoustic output power, CW (mW)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</w:t>
            </w:r>
          </w:p>
        </w:tc>
      </w:tr>
    </w:tbl>
    <w:p>
      <w:pPr>
        <w:pStyle w:val="CaptionedFigure"/>
      </w:pPr>
      <w:r>
        <w:drawing>
          <wp:inline>
            <wp:extent cx="5334000" cy="1830843"/>
            <wp:effectExtent b="0" l="0" r="0" t="0"/>
            <wp:docPr descr="Fig. S2. (a) Pressure map at 12 kPa. (b) Lateral profile through the peak. (c) Axial profile. Widths are given at both −6 dB (pressure FWHM) and −3 dB (intensity FWHM)." title="" id="27" name="Picture"/>
            <a:graphic>
              <a:graphicData uri="http://schemas.openxmlformats.org/drawingml/2006/picture">
                <pic:pic>
                  <pic:nvPicPr>
                    <pic:cNvPr descr="../results/figures/Fig_S2_focal_fiel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S2. (a) Pressure map at 12 kPa. (b) Lateral profile through the peak. (c) Axial profile. Widths are given at both −6 dB (pressure FWHM) and −3 dB (intensity FWHM).</w:t>
      </w:r>
    </w:p>
    <w:p>
      <w:pPr>
        <w:pStyle w:val="BodyText"/>
      </w:pPr>
      <w:r>
        <w:rPr>
          <w:bCs/>
          <w:b/>
        </w:rPr>
        <w:t xml:space="preserve">Table S3. Beam steering at a 20 mm focal range.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Steer (deg)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change (dB)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Lateral FWHM along x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FWHM perp. to beam -6 dB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FWHM perp. to beam -3 dB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Focal position error (mm)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</w:tr>
    </w:tbl>
    <w:p>
      <w:pPr>
        <w:pStyle w:val="CaptionedFigure"/>
      </w:pPr>
      <w:r>
        <w:drawing>
          <wp:inline>
            <wp:extent cx="5334000" cy="1393758"/>
            <wp:effectExtent b="0" l="0" r="0" t="0"/>
            <wp:docPr descr="Fig. S3. Steered fields from −20° to +20°, on a common colour scale." title="" id="30" name="Picture"/>
            <a:graphic>
              <a:graphicData uri="http://schemas.openxmlformats.org/drawingml/2006/picture">
                <pic:pic>
                  <pic:nvPicPr>
                    <pic:cNvPr descr="../results/figures/Fig_S3_steer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S3. Steered fields from −20° to +20°, on a common colour scale.</w:t>
      </w:r>
    </w:p>
    <w:p>
      <w:pPr>
        <w:pStyle w:val="BodyText"/>
      </w:pPr>
      <w:r>
        <w:rPr>
          <w:bCs/>
          <w:b/>
        </w:rPr>
        <w:t xml:space="preserve">Table S4. Grating lobes against pitch, 20° steer, evaluated on the 20 mm arc.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Pitch (lambda)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GL angle (deg)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Grating-lobe level (dB)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lobe outside main lobe (dB)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-5.011</w:t>
            </w:r>
          </w:p>
        </w:tc>
      </w:tr>
    </w:tbl>
    <w:p>
      <w:pPr>
        <w:pStyle w:val="CaptionedFigure"/>
      </w:pPr>
      <w:r>
        <w:drawing>
          <wp:inline>
            <wp:extent cx="3169105" cy="2161586"/>
            <wp:effectExtent b="0" l="0" r="0" t="0"/>
            <wp:docPr descr="Fig. S4. Arc beam patterns for pitches of 0.5–1.5 λ. A grating lobe is predicted at sin θg = sin θs − λ/p." title="" id="33" name="Picture"/>
            <a:graphic>
              <a:graphicData uri="http://schemas.openxmlformats.org/drawingml/2006/picture">
                <pic:pic>
                  <pic:nvPicPr>
                    <pic:cNvPr descr="../results/figures/Fig_S4_grating_lob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105" cy="216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S4. Arc beam patterns for pitches of 0.5–1.5 λ. A grating lobe is predicted at sin θg = sin θs − λ/p.</w:t>
      </w:r>
    </w:p>
    <w:p>
      <w:pPr>
        <w:pStyle w:val="BodyText"/>
      </w:pPr>
      <w:r>
        <w:rPr>
          <w:bCs/>
          <w:b/>
        </w:rPr>
        <w:t xml:space="preserve">Table S5. Apodization trade-off.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lobe -6 dB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lobe -3 dB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side lobe (dB)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Focal gain vs rect (dB)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-2.173</w:t>
            </w:r>
          </w:p>
        </w:tc>
      </w:tr>
    </w:tbl>
    <w:p>
      <w:pPr>
        <w:pStyle w:val="CaptionedFigure"/>
      </w:pPr>
      <w:r>
        <w:drawing>
          <wp:inline>
            <wp:extent cx="3169105" cy="2161586"/>
            <wp:effectExtent b="0" l="0" r="0" t="0"/>
            <wp:docPr descr="Fig. S5. Lateral beam profiles at the focus for four apodization windows." title="" id="36" name="Picture"/>
            <a:graphic>
              <a:graphicData uri="http://schemas.openxmlformats.org/drawingml/2006/picture">
                <pic:pic>
                  <pic:nvPicPr>
                    <pic:cNvPr descr="../results/figures/Fig_S5_apodiz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105" cy="216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S5. Lateral beam profiles at the focus for four apodization windows.</w:t>
      </w:r>
    </w:p>
    <w:p>
      <w:pPr>
        <w:pStyle w:val="BodyText"/>
      </w:pPr>
      <w:r>
        <w:rPr>
          <w:bCs/>
          <w:b/>
        </w:rPr>
        <w:t xml:space="preserve">Table S6. Effect of the skin–fat–muscle–tumour stack.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Delay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depth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Lateral FWHM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Axial FWHM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increase vs homogeneous (dB)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homogeneous-delay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layer-corrected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0.436</w:t>
            </w:r>
          </w:p>
        </w:tc>
      </w:tr>
    </w:tbl>
    <w:p>
      <w:pPr>
        <w:pStyle w:val="CaptionedFigure"/>
      </w:pPr>
      <w:r>
        <w:drawing>
          <wp:inline>
            <wp:extent cx="5334000" cy="1693864"/>
            <wp:effectExtent b="0" l="0" r="0" t="0"/>
            <wp:docPr descr="Fig. S6. (a) Field in the layered model with layer-corrected delays. (b) Sound-speed profile. (c) On-axis pressure with homogeneous and with layer-corrected delays." title="" id="39" name="Picture"/>
            <a:graphic>
              <a:graphicData uri="http://schemas.openxmlformats.org/drawingml/2006/picture">
                <pic:pic>
                  <pic:nvPicPr>
                    <pic:cNvPr descr="../results/figures/Fig_S6_layered_tissu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3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S6. (a) Field in the layered model with layer-corrected delays. (b) Sound-speed profile. (c) On-axis pressure with homogeneous and with layer-corrected delays.</w:t>
      </w:r>
    </w:p>
    <w:p>
      <w:pPr>
        <w:pStyle w:val="BodyText"/>
      </w:pPr>
      <w:r>
        <w:rPr>
          <w:bCs/>
          <w:b/>
        </w:rPr>
        <w:t xml:space="preserve">Table S7. Pennes bioheat (3-D) and IEC thermal indices.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Thermal 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dT (mK)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at 4 min (mK)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Hot-spot depth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Ispta (mW/cm^2)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0.0286</w:t>
            </w:r>
          </w:p>
        </w:tc>
      </w:tr>
    </w:tbl>
    <w:p>
      <w:pPr>
        <w:pStyle w:val="CaptionedFigure"/>
      </w:pPr>
      <w:r>
        <w:drawing>
          <wp:inline>
            <wp:extent cx="5334000" cy="1768425"/>
            <wp:effectExtent b="0" l="0" r="0" t="0"/>
            <wp:docPr descr="Fig. S7. (a) Steady-state temperature rise at 20 % duty. (b) Peak-temperature transients over 4 min. Solid lines: tumour thermal properties. Dashed lines: fat thermal properties (worst case)." title="" id="42" name="Picture"/>
            <a:graphic>
              <a:graphicData uri="http://schemas.openxmlformats.org/drawingml/2006/picture">
                <pic:pic>
                  <pic:nvPicPr>
                    <pic:cNvPr descr="../results/figures/Fig_S7_therma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S7. (a) Steady-state temperature rise at 20 % duty. (b) Peak-temperature transients over 4 min. Solid lines: tumour thermal properties. Dashed lines: fat thermal properties (worst case).</w:t>
      </w:r>
    </w:p>
    <w:p>
      <w:pPr>
        <w:pStyle w:val="BodyText"/>
      </w:pPr>
      <w:r>
        <w:rPr>
          <w:bCs/>
          <w:b/>
        </w:rPr>
        <w:t xml:space="preserve">Table S8. Mechanical index and cavitation margin.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Isppa (mW/cm^2)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to FDA MI 1.9 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to MI 0.7 nucleation 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17.15</w:t>
            </w:r>
          </w:p>
        </w:tc>
      </w:tr>
    </w:tbl>
    <w:p>
      <w:pPr>
        <w:pStyle w:val="CaptionedFigure"/>
      </w:pPr>
      <w:r>
        <w:drawing>
          <wp:inline>
            <wp:extent cx="3156893" cy="2253179"/>
            <wp:effectExtent b="0" l="0" r="0" t="0"/>
            <wp:docPr descr="Fig. S8. Mechanical index over the frequency–pressure plane, with the MI = 0.5 design limit and the MI = 1.9 regulatory limit marked." title="" id="45" name="Picture"/>
            <a:graphic>
              <a:graphicData uri="http://schemas.openxmlformats.org/drawingml/2006/picture">
                <pic:pic>
                  <pic:nvPicPr>
                    <pic:cNvPr descr="../results/figures/Fig_S8_mechanical_index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893" cy="2253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S8. Mechanical index over the frequency–pressure plane, with the MI = 0.5 design limit and the MI = 1.9 regulatory limit marked.</w:t>
      </w:r>
    </w:p>
    <w:p>
      <w:pPr>
        <w:pStyle w:val="BodyText"/>
      </w:pPr>
      <w:r>
        <w:rPr>
          <w:bCs/>
          <w:b/>
        </w:rPr>
        <w:t xml:space="preserve">Table S9. Acoustic radiation force and static displacement (20 % duty).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Isppa on axis (W/m^2)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Ispta at 20 % (W/m^2)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body force (N/m^3)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static displacement (nm)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axial strain (-)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1.23e-10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1.5e-09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9.74e-10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3.84e-10</w:t>
            </w:r>
          </w:p>
        </w:tc>
      </w:tr>
    </w:tbl>
    <w:p>
      <w:pPr>
        <w:pStyle w:val="CaptionedFigure"/>
      </w:pPr>
      <w:r>
        <w:drawing>
          <wp:inline>
            <wp:extent cx="5334000" cy="1678557"/>
            <wp:effectExtent b="0" l="0" r="0" t="0"/>
            <wp:docPr descr="Fig. S9. (a) On-axis radiation body force. (b) Static axial displacement in each layer, from the Kelvin solution with the local shear modulus." title="" id="48" name="Picture"/>
            <a:graphic>
              <a:graphicData uri="http://schemas.openxmlformats.org/drawingml/2006/picture">
                <pic:pic>
                  <pic:nvPicPr>
                    <pic:cNvPr descr="../results/figures/Fig_S9_radiation_forc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8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S9. (a) On-axis radiation body force. (b) Static axial displacement in each layer, from the Kelvin solution with the local shear modulus.</w:t>
      </w:r>
    </w:p>
    <w:p>
      <w:pPr>
        <w:pStyle w:val="CaptionedFigure"/>
      </w:pPr>
      <w:r>
        <w:drawing>
          <wp:inline>
            <wp:extent cx="5334000" cy="1618558"/>
            <wp:effectExtent b="0" l="0" r="0" t="0"/>
            <wp:docPr descr="Fig. S10. (a) Burst gating at a 100 Hz PRF and 20 % duty: 3000 cycles per 2 ms burst. (b) Spectrum, with the PRF sidebands shown inset." title="" id="51" name="Picture"/>
            <a:graphic>
              <a:graphicData uri="http://schemas.openxmlformats.org/drawingml/2006/picture">
                <pic:pic>
                  <pic:nvPicPr>
                    <pic:cNvPr descr="../results/figures/Fig_S10_waveform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8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S10. (a) Burst gating at a 100 Hz PRF and 20 % duty: 3000 cycles per 2 ms burst. (b) Spectrum, with the PRF sidebands shown inset.</w:t>
      </w:r>
    </w:p>
    <w:p>
      <w:pPr>
        <w:pStyle w:val="BodyText"/>
      </w:pPr>
      <w:r>
        <w:rPr>
          <w:bCs/>
          <w:b/>
        </w:rPr>
        <w:t xml:space="preserve">Table S10. Closed-loop regulation.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 / Ki / 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55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55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 (K, tau, dead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FOPDT (n.r.)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60 ms, 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Settling time, 2 %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Overshoot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Steady-state error (Pa)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after 40 % coupling loss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 dip during disturbance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Settling, 5 % band, with 0.3 kPa sensor noise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 +/-50 % plant: settling median [95th pct]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 [244]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 +/-50 % plant: overshoot max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55.89</w:t>
            </w:r>
          </w:p>
        </w:tc>
      </w:tr>
    </w:tbl>
    <w:p>
      <w:pPr>
        <w:pStyle w:val="CaptionedFigure"/>
      </w:pPr>
      <w:r>
        <w:drawing>
          <wp:inline>
            <wp:extent cx="5334000" cy="1688747"/>
            <wp:effectExtent b="0" l="0" r="0" t="0"/>
            <wp:docPr descr="Fig. S11. (a) Step response and response to a 40 % coupling loss, with and without sensor noise. (b) Settling time across 200 plants with ±50 % uncertainty in gain and lag." title="" id="54" name="Picture"/>
            <a:graphic>
              <a:graphicData uri="http://schemas.openxmlformats.org/drawingml/2006/picture">
                <pic:pic>
                  <pic:nvPicPr>
                    <pic:cNvPr descr="../results/figures/Fig_S11_contro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S11. (a) Step response and response to a 40 % coupling loss, with and without sensor noise. (b) Settling time across 200 plants with ±50 % uncertainty in gain and lag.</w:t>
      </w:r>
    </w:p>
    <w:p>
      <w:pPr>
        <w:pStyle w:val="BodyText"/>
      </w:pPr>
      <w:r>
        <w:rPr>
          <w:bCs/>
          <w:b/>
        </w:rPr>
        <w:t xml:space="preserve">Table S11. Phase III spheroid sample size.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Effect (% reduction)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of spheroid assay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n/group (2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n/group (4 doses vs sham, Bonferroni)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pPr>
        <w:pStyle w:val="CaptionedFigure"/>
      </w:pPr>
      <w:r>
        <w:drawing>
          <wp:inline>
            <wp:extent cx="3547688" cy="2161586"/>
            <wp:effectExtent b="0" l="0" r="0" t="0"/>
            <wp:docPr descr="Fig. S12. Hypothesised Hill dose–response model. The parameters are placeholders to be estimated in Phase III. This is not a prediction." title="" id="57" name="Picture"/>
            <a:graphic>
              <a:graphicData uri="http://schemas.openxmlformats.org/drawingml/2006/picture">
                <pic:pic>
                  <pic:nvPicPr>
                    <pic:cNvPr descr="../results/figures/Fig_S12_dose_response_model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688" cy="216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S12. Hypothesised Hill dose–response model. The parameters are placeholders to be estimated in Phase III. This is not a prediction.</w:t>
      </w:r>
    </w:p>
    <w:p>
      <w:pPr>
        <w:pStyle w:val="BodyText"/>
      </w:pPr>
      <w:r>
        <w:rPr>
          <w:bCs/>
          <w:b/>
        </w:rPr>
        <w:t xml:space="preserve">Table S12. Estimated wearable power budget.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(mW)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Low-power FPGA (beamformer, sequencer, 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64-ch low-voltage TX drivers (linear, quiescent)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mW/ch assumed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 dynamic C*V^2*f*duty (computed)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Vac=0.51 V, C0=68 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 bias generator (~41 V, leakage-limited)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 + 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 RX/ADC (8 channels, duty-cycled)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MCU + BLE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for 4 h session (Wh)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</w:t>
            </w:r>
            <w:r>
              <w:t xml:space="preserve"> </w:t>
            </w:r>
            <w:r>
              <w:t xml:space="preserve">@3.7</w:t>
            </w:r>
            <w:r>
              <w:t xml:space="preserve"> </w:t>
            </w:r>
            <w:r>
              <w:t xml:space="preserve">V, 80 % usable (mAh)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59"/>
    <w:bookmarkStart w:id="72" w:name="Xd65d05c21d8ba9bbc1508d9635f2776e0ac4bde"/>
    <w:p>
      <w:pPr>
        <w:pStyle w:val="Heading1"/>
      </w:pPr>
      <w:r>
        <w:t xml:space="preserve">Note S4. Hardware digital twin (EMULATED results)</w:t>
      </w:r>
    </w:p>
    <w:p>
      <w:pPr>
        <w:pStyle w:val="BlockText"/>
      </w:pPr>
      <w:r>
        <w:t xml:space="preserve">The tables and figures in this Note are</w:t>
      </w:r>
      <w:r>
        <w:t xml:space="preserve"> </w:t>
      </w:r>
      <w:r>
        <w:rPr>
          <w:bCs/>
          <w:b/>
        </w:rPr>
        <w:t xml:space="preserve">emulated</w:t>
      </w:r>
      <w:r>
        <w:t xml:space="preserve">. They are Monte</w:t>
      </w:r>
      <w:r>
        <w:t xml:space="preserve"> </w:t>
      </w:r>
      <w:r>
        <w:t xml:space="preserve">Carlo predictions of what a bench characterisation would be expected to</w:t>
      </w:r>
      <w:r>
        <w:t xml:space="preserve"> </w:t>
      </w:r>
      <w:r>
        <w:t xml:space="preserve">report, given the error budget in Supplementary file S3. They are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experimental measurements</w:t>
      </w:r>
      <w:r>
        <w:t xml:space="preserve">. They set the acceptance bands for the</w:t>
      </w:r>
      <w:r>
        <w:t xml:space="preserve"> </w:t>
      </w:r>
      <w:r>
        <w:t xml:space="preserve">Phase II protocol (Supplementary file S4).</w:t>
      </w:r>
    </w:p>
    <w:p>
      <w:pPr>
        <w:pStyle w:val="FirstParagraph"/>
      </w:pPr>
      <w:r>
        <w:rPr>
          <w:bCs/>
          <w:b/>
        </w:rPr>
        <w:t xml:space="preserve">Table E1. Fabrication Monte Carlo (EMULATED).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Emulated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Arrays simulated (64 elements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Collapse voltage mean +/- SD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51.6 +/- 3.2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Collapse voltage 1st-99th percentile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44.5 - 59.2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sensitivity spread SD (dB)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phase spread SD (deg)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 yield at fixed 41 V bias (no trim)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 for 99 % array yield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</w:t>
            </w:r>
          </w:p>
        </w:tc>
      </w:tr>
    </w:tbl>
    <w:p>
      <w:pPr>
        <w:pStyle w:val="CaptionedFigure"/>
      </w:pPr>
      <w:r>
        <w:drawing>
          <wp:inline>
            <wp:extent cx="5334000" cy="1679679"/>
            <wp:effectExtent b="0" l="0" r="0" t="0"/>
            <wp:docPr descr="Fig. E1 (EMULATED). (a) Collapse-voltage distribution; the dashed line marks the manuscript value of 46.5 V. (b) Element sensitivity spread. (c) Array yield against a global DC bias." title="" id="61" name="Picture"/>
            <a:graphic>
              <a:graphicData uri="http://schemas.openxmlformats.org/drawingml/2006/picture">
                <pic:pic>
                  <pic:nvPicPr>
                    <pic:cNvPr descr="../results/emulated_measurements/Fig_E1_fabrication_mc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9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E1 (EMULATED). (a) Collapse-voltage distribution; the dashed line marks the manuscript value of 46.5 V. (b) Element sensitivity spread. (c) Array yield against a global DC bias.</w:t>
      </w:r>
    </w:p>
    <w:p>
      <w:pPr>
        <w:pStyle w:val="BodyText"/>
      </w:pPr>
      <w:r>
        <w:rPr>
          <w:bCs/>
          <w:b/>
        </w:rPr>
        <w:t xml:space="preserve">Table E2. Beam quality under hardware non-idealities (EMULATED).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at 20 mm target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Lateral FWHM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Axial FWHM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Axial focus shift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Lateral focus shift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side lobe (dB)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Ideal (model)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 patch + HW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11.803 +/- 0.224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11.753 +/- 0.223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 +/- 0.009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5.501 +/- 0.068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-0.225 +/- 0.018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-11.351 +/- 0.458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Curved R=60 mm, uncorrected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12.040 +/- 0.209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3.344 +/- 0.177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0.736 +/- 0.007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3.178 +/- 0.043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-5.293 +/- 0.010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-10.720 +/- 0.390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Curved R=60 mm, shape-corrected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11.402 +/- 0.228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11.365 +/- 0.230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 +/- 0.009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4.874 +/- 0.075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-0.156 +/- 0.076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-11.593 +/- 0.671</w:t>
            </w:r>
          </w:p>
        </w:tc>
      </w:tr>
    </w:tbl>
    <w:p>
      <w:pPr>
        <w:pStyle w:val="CaptionedFigure"/>
      </w:pPr>
      <w:r>
        <w:drawing>
          <wp:inline>
            <wp:extent cx="5334000" cy="1753728"/>
            <wp:effectExtent b="0" l="0" r="0" t="0"/>
            <wp:docPr descr="Fig. E2 (EMULATED). Monte Carlo results for a flat patch, an uncorrected curved patch (R = 60 mm) and a shape-corrected curved patch. The dashed lines show the ideal model." title="" id="64" name="Picture"/>
            <a:graphic>
              <a:graphicData uri="http://schemas.openxmlformats.org/drawingml/2006/picture">
                <pic:pic>
                  <pic:nvPicPr>
                    <pic:cNvPr descr="../results/emulated_measurements/Fig_E2_beam_mc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3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E2 (EMULATED). Monte Carlo results for a flat patch, an uncorrected curved patch (R = 60 mm) and a shape-corrected curved patch. The dashed lines show the ideal model.</w:t>
      </w:r>
    </w:p>
    <w:p>
      <w:pPr>
        <w:pStyle w:val="BodyText"/>
      </w:pPr>
      <w:r>
        <w:rPr>
          <w:bCs/>
          <w:b/>
        </w:rPr>
        <w:t xml:space="preserve">Table E3. Emulated needle-hydrophone characterisation, n = 5 scans (EMULATED).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(ideal)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Emulated mean +/- SD (n=5)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12.365 +/- 0.842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[11.320, 13.411]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FWHM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 +/- 0.023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[0.909, 0.966]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Axial FWHM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5.476 +/- 0.020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[5.451, 5.500]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depth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19.550 +/- 0.209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[19.290, 19.810]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</w:t>
            </w:r>
          </w:p>
        </w:tc>
      </w:tr>
    </w:tbl>
    <w:p>
      <w:pPr>
        <w:pStyle w:val="CaptionedFigure"/>
      </w:pPr>
      <w:r>
        <w:drawing>
          <wp:inline>
            <wp:extent cx="5334000" cy="1731296"/>
            <wp:effectExtent b="0" l="0" r="0" t="0"/>
            <wp:docPr descr="Fig. E3 (EMULATED). Emulated hydrophone scans (mean ± SD, n = 5) against the model." title="" id="67" name="Picture"/>
            <a:graphic>
              <a:graphicData uri="http://schemas.openxmlformats.org/drawingml/2006/picture">
                <pic:pic>
                  <pic:nvPicPr>
                    <pic:cNvPr descr="../results/emulated_measurements/Fig_E3_hydrophon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1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E3 (EMULATED). Emulated hydrophone scans (mean ± SD, n = 5) against the model.</w:t>
      </w:r>
    </w:p>
    <w:p>
      <w:pPr>
        <w:pStyle w:val="BodyText"/>
      </w:pPr>
      <w:r>
        <w:rPr>
          <w:bCs/>
          <w:b/>
        </w:rPr>
        <w:t xml:space="preserve">Table E4. Emulated phantom thermometry (EMULATED).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Focal p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dT 100 % duty (mK)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Viscous artefact (mK)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Emulated reading mean (mK)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(mK)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LOD 3sigma (mK)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E5. Emulated 4 h closed-loop session (EMULATED).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Emulated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length 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within 10-15 kPa window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within +/-5 % of 12 kPa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focal pressure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focal pressure (kPa)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 increase end vs start (dB)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4.046</w:t>
            </w:r>
          </w:p>
        </w:tc>
      </w:tr>
    </w:tbl>
    <w:p>
      <w:pPr>
        <w:pStyle w:val="CaptionedFigure"/>
      </w:pPr>
      <w:r>
        <w:drawing>
          <wp:inline>
            <wp:extent cx="5334000" cy="2121505"/>
            <wp:effectExtent b="0" l="0" r="0" t="0"/>
            <wp:docPr descr="Fig. E5 (EMULATED). Focal pressure over a 4 h session with gel drying, a random-walk drift in coupling, and motion events." title="" id="70" name="Picture"/>
            <a:graphic>
              <a:graphicData uri="http://schemas.openxmlformats.org/drawingml/2006/picture">
                <pic:pic>
                  <pic:nvPicPr>
                    <pic:cNvPr descr="../results/emulated_measurements/Fig_E5_4h_sessio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1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E5 (EMULATED). Focal pressure over a 4 h session with gel drying, a random-walk drift in coupling, and motion events.</w:t>
      </w:r>
    </w:p>
    <w:bookmarkEnd w:id="72"/>
    <w:bookmarkStart w:id="73" w:name="note-s5.-code-and-data-availability"/>
    <w:p>
      <w:pPr>
        <w:pStyle w:val="Heading1"/>
      </w:pPr>
      <w:r>
        <w:t xml:space="preserve">Note S5. Code and data availability</w:t>
      </w:r>
    </w:p>
    <w:p>
      <w:pPr>
        <w:pStyle w:val="FirstParagraph"/>
      </w:pPr>
      <w:r>
        <w:t xml:space="preserve">The code (</w:t>
      </w:r>
      <w:r>
        <w:rPr>
          <w:rStyle w:val="VerbatimChar"/>
        </w:rPr>
        <w:t xml:space="preserve">cmutsim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), all raw numerical data (CSV/NPZ) and</w:t>
      </w:r>
      <w:r>
        <w:t xml:space="preserve"> </w:t>
      </w:r>
      <w:r>
        <w:t xml:space="preserve">the figures are released under the MIT licence. They will be deposited in</w:t>
      </w:r>
      <w:r>
        <w:t xml:space="preserve"> </w:t>
      </w:r>
      <w:r>
        <w:t xml:space="preserve">a public repository with a DOI before publication (see file S5).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creator>M. Nisha Angeline and S. K. Manikandan</dc:creator>
  <cp:keywords/>
  <dcterms:created xsi:type="dcterms:W3CDTF">2026-10-19T04:45:22Z</dcterms:created>
  <dcterms:modified xsi:type="dcterms:W3CDTF">2026-10-19T04:45:22Z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Wearable Phased-Array CMUT Ultrasound Platform for Mechanotransductive Modulation of Tumour Proliferation: An In-Silico Design and Feasibility Study</vt:lpwstr>
  </property>
</Properties>
</file>